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719B" w14:textId="77777777" w:rsidR="005052E1" w:rsidRPr="00FB5E3A" w:rsidRDefault="005052E1" w:rsidP="00DE4B52">
      <w:pPr>
        <w:pStyle w:val="BodyText"/>
        <w:ind w:firstLine="0"/>
        <w:rPr>
          <w:szCs w:val="24"/>
        </w:rPr>
      </w:pPr>
    </w:p>
    <w:p w14:paraId="5D9C0F03" w14:textId="77777777" w:rsidR="005052E1" w:rsidRPr="00FB5E3A" w:rsidRDefault="005052E1" w:rsidP="00DE4B52">
      <w:pPr>
        <w:pStyle w:val="BodyText"/>
        <w:ind w:firstLine="0"/>
        <w:rPr>
          <w:szCs w:val="24"/>
        </w:rPr>
      </w:pPr>
    </w:p>
    <w:p w14:paraId="46F8DFC6" w14:textId="77777777" w:rsidR="005052E1" w:rsidRPr="00FB5E3A" w:rsidRDefault="005052E1" w:rsidP="00DE4B52">
      <w:pPr>
        <w:pStyle w:val="BodyText"/>
        <w:ind w:firstLine="0"/>
        <w:rPr>
          <w:szCs w:val="24"/>
        </w:rPr>
      </w:pPr>
    </w:p>
    <w:p w14:paraId="54AD882B" w14:textId="77777777" w:rsidR="005052E1" w:rsidRPr="00FB5E3A" w:rsidRDefault="005052E1" w:rsidP="00DE4B52">
      <w:pPr>
        <w:pStyle w:val="BodyText"/>
        <w:ind w:firstLine="0"/>
        <w:rPr>
          <w:szCs w:val="24"/>
        </w:rPr>
      </w:pPr>
    </w:p>
    <w:p w14:paraId="204DC046" w14:textId="77777777" w:rsidR="005052E1" w:rsidRPr="00FB5E3A" w:rsidRDefault="005052E1" w:rsidP="00DE4B52">
      <w:pPr>
        <w:pStyle w:val="BodyText"/>
        <w:ind w:firstLine="0"/>
        <w:rPr>
          <w:szCs w:val="24"/>
        </w:rPr>
      </w:pPr>
    </w:p>
    <w:p w14:paraId="61D6116C" w14:textId="77777777" w:rsidR="005052E1" w:rsidRPr="00FB5E3A" w:rsidRDefault="005052E1" w:rsidP="00DE4B52">
      <w:pPr>
        <w:pStyle w:val="BodyText"/>
        <w:ind w:firstLine="0"/>
        <w:rPr>
          <w:szCs w:val="24"/>
        </w:rPr>
      </w:pPr>
    </w:p>
    <w:p w14:paraId="6C674DD3" w14:textId="77777777" w:rsidR="005052E1" w:rsidRPr="00FB5E3A" w:rsidRDefault="005052E1" w:rsidP="00DE4B52">
      <w:pPr>
        <w:pStyle w:val="BodyText"/>
        <w:ind w:firstLine="0"/>
        <w:rPr>
          <w:szCs w:val="24"/>
        </w:rPr>
      </w:pPr>
    </w:p>
    <w:p w14:paraId="52217F94" w14:textId="77777777" w:rsidR="005052E1" w:rsidRPr="00FB5E3A" w:rsidRDefault="005052E1" w:rsidP="00DE4B52">
      <w:pPr>
        <w:pStyle w:val="BodyText"/>
        <w:ind w:firstLine="0"/>
        <w:rPr>
          <w:szCs w:val="24"/>
        </w:rPr>
      </w:pPr>
    </w:p>
    <w:p w14:paraId="6A282834" w14:textId="77777777" w:rsidR="005052E1" w:rsidRPr="00FB5E3A"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5AC00F15" w:rsidR="00CD7482" w:rsidRPr="00FB5E3A" w:rsidRDefault="00CD7482"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FB5E3A">
        <w:rPr>
          <w:rFonts w:ascii="Times New Roman" w:eastAsia="Times New Roman" w:hAnsi="Times New Roman" w:cs="Times New Roman"/>
          <w:color w:val="auto"/>
          <w:sz w:val="24"/>
          <w:szCs w:val="24"/>
        </w:rPr>
        <w:t xml:space="preserve">Unit </w:t>
      </w:r>
      <w:r w:rsidR="00EC509D">
        <w:rPr>
          <w:rFonts w:ascii="Times New Roman" w:eastAsia="Times New Roman" w:hAnsi="Times New Roman" w:cs="Times New Roman"/>
          <w:color w:val="auto"/>
          <w:sz w:val="24"/>
          <w:szCs w:val="24"/>
        </w:rPr>
        <w:t>3</w:t>
      </w:r>
      <w:r w:rsidRPr="00FB5E3A">
        <w:rPr>
          <w:rFonts w:ascii="Times New Roman" w:eastAsia="Times New Roman" w:hAnsi="Times New Roman" w:cs="Times New Roman"/>
          <w:color w:val="auto"/>
          <w:sz w:val="24"/>
          <w:szCs w:val="24"/>
        </w:rPr>
        <w:t xml:space="preserve"> Assignment</w:t>
      </w:r>
    </w:p>
    <w:bookmarkEnd w:id="2"/>
    <w:p w14:paraId="5EAA3312" w14:textId="112E893D" w:rsidR="005052E1" w:rsidRPr="00FB5E3A"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42762224" w14:textId="77777777" w:rsidR="005052E1" w:rsidRPr="00FB5E3A"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FB5E3A">
        <w:rPr>
          <w:rFonts w:ascii="Times New Roman" w:eastAsia="Times New Roman" w:hAnsi="Times New Roman" w:cs="Times New Roman"/>
          <w:color w:val="auto"/>
          <w:sz w:val="24"/>
          <w:szCs w:val="24"/>
        </w:rPr>
        <w:t>Herzing University</w:t>
      </w:r>
    </w:p>
    <w:p w14:paraId="1C1357D6" w14:textId="7E3A1F45" w:rsidR="005052E1" w:rsidRPr="00FB5E3A" w:rsidRDefault="00C3654E" w:rsidP="00DE4B52">
      <w:pPr>
        <w:jc w:val="center"/>
        <w:rPr>
          <w:rFonts w:ascii="Times New Roman" w:hAnsi="Times New Roman" w:cs="Times New Roman"/>
          <w:sz w:val="24"/>
          <w:szCs w:val="24"/>
        </w:rPr>
      </w:pPr>
      <w:r w:rsidRPr="00FB5E3A">
        <w:rPr>
          <w:rFonts w:ascii="Times New Roman" w:eastAsia="Times New Roman" w:hAnsi="Times New Roman" w:cs="Times New Roman"/>
          <w:sz w:val="24"/>
          <w:szCs w:val="24"/>
        </w:rPr>
        <w:t>BU 6</w:t>
      </w:r>
      <w:r w:rsidR="00B54943" w:rsidRPr="00FB5E3A">
        <w:rPr>
          <w:rFonts w:ascii="Times New Roman" w:eastAsia="Times New Roman" w:hAnsi="Times New Roman" w:cs="Times New Roman"/>
          <w:sz w:val="24"/>
          <w:szCs w:val="24"/>
        </w:rPr>
        <w:t>42</w:t>
      </w:r>
      <w:r w:rsidRPr="00FB5E3A">
        <w:rPr>
          <w:rFonts w:ascii="Times New Roman" w:eastAsia="Times New Roman" w:hAnsi="Times New Roman" w:cs="Times New Roman"/>
          <w:sz w:val="24"/>
          <w:szCs w:val="24"/>
        </w:rPr>
        <w:t>-</w:t>
      </w:r>
      <w:r w:rsidR="00B54943" w:rsidRPr="00FB5E3A">
        <w:rPr>
          <w:rFonts w:ascii="Times New Roman" w:eastAsia="Times New Roman" w:hAnsi="Times New Roman" w:cs="Times New Roman"/>
          <w:sz w:val="24"/>
          <w:szCs w:val="24"/>
        </w:rPr>
        <w:t>8</w:t>
      </w:r>
      <w:r w:rsidRPr="00FB5E3A">
        <w:rPr>
          <w:rFonts w:ascii="Times New Roman" w:eastAsia="Times New Roman" w:hAnsi="Times New Roman" w:cs="Times New Roman"/>
          <w:sz w:val="24"/>
          <w:szCs w:val="24"/>
        </w:rPr>
        <w:t xml:space="preserve"> </w:t>
      </w:r>
      <w:r w:rsidR="00B54943" w:rsidRPr="00FB5E3A">
        <w:rPr>
          <w:rFonts w:ascii="Times New Roman" w:eastAsia="Times New Roman" w:hAnsi="Times New Roman" w:cs="Times New Roman"/>
          <w:sz w:val="24"/>
          <w:szCs w:val="24"/>
        </w:rPr>
        <w:t>Business and Labor Law</w:t>
      </w:r>
      <w:r w:rsidR="005052E1" w:rsidRPr="00FB5E3A">
        <w:rPr>
          <w:rFonts w:ascii="Times New Roman" w:hAnsi="Times New Roman" w:cs="Times New Roman"/>
          <w:sz w:val="24"/>
          <w:szCs w:val="24"/>
        </w:rPr>
        <w:br w:type="page"/>
      </w:r>
    </w:p>
    <w:p w14:paraId="611A4938" w14:textId="067989AE" w:rsidR="00CF2F7D" w:rsidRPr="00A50D03" w:rsidRDefault="00CF2F7D" w:rsidP="007B71DD">
      <w:pPr>
        <w:spacing w:after="120" w:line="480" w:lineRule="auto"/>
        <w:rPr>
          <w:rFonts w:ascii="Georgia" w:hAnsi="Georgia"/>
          <w:b/>
          <w:bCs/>
          <w:color w:val="333333"/>
          <w:sz w:val="23"/>
          <w:szCs w:val="23"/>
        </w:rPr>
      </w:pPr>
      <w:r w:rsidRPr="00A50D03">
        <w:rPr>
          <w:rFonts w:ascii="Georgia" w:hAnsi="Georgia"/>
          <w:b/>
          <w:bCs/>
          <w:sz w:val="23"/>
          <w:szCs w:val="23"/>
        </w:rPr>
        <w:lastRenderedPageBreak/>
        <w:t>THE CASE BRIEF</w:t>
      </w:r>
    </w:p>
    <w:p w14:paraId="35D83020" w14:textId="366B4FD5" w:rsidR="00CF2F7D" w:rsidRDefault="00CF2F7D" w:rsidP="007B71DD">
      <w:pPr>
        <w:spacing w:after="120" w:line="480" w:lineRule="auto"/>
        <w:rPr>
          <w:rFonts w:ascii="Georgia" w:hAnsi="Georgia"/>
          <w:b/>
          <w:bCs/>
          <w:color w:val="333333"/>
          <w:sz w:val="23"/>
          <w:szCs w:val="23"/>
        </w:rPr>
      </w:pPr>
      <w:r>
        <w:rPr>
          <w:rFonts w:ascii="Georgia" w:hAnsi="Georgia"/>
          <w:b/>
          <w:bCs/>
          <w:color w:val="333333"/>
          <w:sz w:val="23"/>
          <w:szCs w:val="23"/>
        </w:rPr>
        <w:t>Caption: </w:t>
      </w:r>
    </w:p>
    <w:p w14:paraId="508E4873" w14:textId="77777777" w:rsidR="00CF2F7D" w:rsidRDefault="00CF2F7D" w:rsidP="007B71DD">
      <w:pPr>
        <w:spacing w:after="120" w:line="480" w:lineRule="auto"/>
        <w:rPr>
          <w:rFonts w:ascii="Georgia" w:hAnsi="Georgia"/>
          <w:color w:val="333333"/>
          <w:sz w:val="23"/>
          <w:szCs w:val="23"/>
        </w:rPr>
      </w:pPr>
      <w:r w:rsidRPr="00CF2F7D">
        <w:rPr>
          <w:rFonts w:ascii="Georgia" w:hAnsi="Georgia"/>
          <w:color w:val="333333"/>
          <w:sz w:val="23"/>
          <w:szCs w:val="23"/>
        </w:rPr>
        <w:t>United States of America, Plaintiff-appellee, v. Hilton Hotels Corporation et al., Defendants, western International Hotels Company, Defendant-appellant</w:t>
      </w:r>
    </w:p>
    <w:p w14:paraId="41168932" w14:textId="17EF9FB8" w:rsidR="00CF2F7D" w:rsidRDefault="00CF2F7D" w:rsidP="007B71DD">
      <w:pPr>
        <w:spacing w:after="120" w:line="480" w:lineRule="auto"/>
        <w:rPr>
          <w:rFonts w:ascii="Georgia" w:hAnsi="Georgia"/>
          <w:b/>
          <w:bCs/>
          <w:color w:val="333333"/>
          <w:sz w:val="23"/>
          <w:szCs w:val="23"/>
        </w:rPr>
      </w:pPr>
      <w:r>
        <w:rPr>
          <w:rFonts w:ascii="Georgia" w:hAnsi="Georgia"/>
          <w:b/>
          <w:bCs/>
          <w:color w:val="333333"/>
          <w:sz w:val="23"/>
          <w:szCs w:val="23"/>
        </w:rPr>
        <w:t xml:space="preserve">Citation: </w:t>
      </w:r>
    </w:p>
    <w:p w14:paraId="277193A8" w14:textId="77777777" w:rsidR="00A50D03" w:rsidRDefault="00A50D03" w:rsidP="007B71DD">
      <w:pPr>
        <w:shd w:val="clear" w:color="auto" w:fill="FFFFFF"/>
        <w:spacing w:after="120" w:line="480" w:lineRule="auto"/>
        <w:ind w:left="15"/>
        <w:rPr>
          <w:rFonts w:ascii="Times New Roman" w:hAnsi="Times New Roman" w:cs="Times New Roman"/>
          <w:sz w:val="24"/>
          <w:szCs w:val="24"/>
        </w:rPr>
      </w:pPr>
      <w:r w:rsidRPr="00DF3D09">
        <w:rPr>
          <w:rFonts w:ascii="Times New Roman" w:hAnsi="Times New Roman" w:cs="Times New Roman"/>
          <w:sz w:val="24"/>
          <w:szCs w:val="24"/>
        </w:rPr>
        <w:t>United States v. Hilton Hotels Corp</w:t>
      </w:r>
      <w:r>
        <w:rPr>
          <w:rFonts w:ascii="Times New Roman" w:hAnsi="Times New Roman" w:cs="Times New Roman"/>
          <w:sz w:val="24"/>
          <w:szCs w:val="24"/>
        </w:rPr>
        <w:t>.,</w:t>
      </w:r>
      <w:r w:rsidRPr="00DF3D09">
        <w:rPr>
          <w:rFonts w:ascii="Times New Roman" w:hAnsi="Times New Roman" w:cs="Times New Roman"/>
          <w:sz w:val="24"/>
          <w:szCs w:val="24"/>
        </w:rPr>
        <w:t xml:space="preserve"> 22 Ill.459 U.S. 1036, 103 S. Ct. 446, 74 L. Ed. 2d 602 (1982)</w:t>
      </w:r>
    </w:p>
    <w:p w14:paraId="6BB37CE5" w14:textId="77777777" w:rsidR="00CF2F7D" w:rsidRDefault="00CF2F7D" w:rsidP="007B71DD">
      <w:pPr>
        <w:spacing w:after="120" w:line="480" w:lineRule="auto"/>
        <w:rPr>
          <w:rFonts w:ascii="Georgia" w:hAnsi="Georgia"/>
          <w:color w:val="333333"/>
          <w:sz w:val="23"/>
          <w:szCs w:val="23"/>
        </w:rPr>
      </w:pPr>
      <w:r>
        <w:rPr>
          <w:rFonts w:ascii="Georgia" w:hAnsi="Georgia"/>
          <w:b/>
          <w:bCs/>
          <w:color w:val="333333"/>
          <w:sz w:val="23"/>
          <w:szCs w:val="23"/>
        </w:rPr>
        <w:t>Facts:</w:t>
      </w:r>
    </w:p>
    <w:p w14:paraId="693C79B0" w14:textId="703AC8D5" w:rsidR="00A50D03" w:rsidRPr="00357991" w:rsidRDefault="00A50D03" w:rsidP="007B71DD">
      <w:pPr>
        <w:spacing w:after="120" w:line="480" w:lineRule="auto"/>
        <w:rPr>
          <w:rFonts w:ascii="Times New Roman" w:hAnsi="Times New Roman" w:cs="Times New Roman"/>
          <w:sz w:val="24"/>
          <w:szCs w:val="24"/>
        </w:rPr>
      </w:pPr>
      <w:r w:rsidRPr="00357991">
        <w:rPr>
          <w:rFonts w:ascii="Times New Roman" w:hAnsi="Times New Roman" w:cs="Times New Roman"/>
          <w:sz w:val="24"/>
          <w:szCs w:val="24"/>
        </w:rPr>
        <w:t xml:space="preserve">Hilton Hotel Corporation was a member of a Portland-based association. The objectives of the association </w:t>
      </w:r>
      <w:r w:rsidR="000A5D21" w:rsidRPr="00357991">
        <w:rPr>
          <w:rFonts w:ascii="Times New Roman" w:hAnsi="Times New Roman" w:cs="Times New Roman"/>
          <w:sz w:val="24"/>
          <w:szCs w:val="24"/>
        </w:rPr>
        <w:t>were</w:t>
      </w:r>
      <w:r w:rsidRPr="00357991">
        <w:rPr>
          <w:rFonts w:ascii="Times New Roman" w:hAnsi="Times New Roman" w:cs="Times New Roman"/>
          <w:sz w:val="24"/>
          <w:szCs w:val="24"/>
        </w:rPr>
        <w:t xml:space="preserve"> to attract events to the city thereby generating revenue for the event attendees. The association agreed to give preferential treatment to suppliers that contributed money to the association. This was a </w:t>
      </w:r>
      <w:r w:rsidR="00896DD6">
        <w:rPr>
          <w:rFonts w:ascii="Times New Roman" w:hAnsi="Times New Roman" w:cs="Times New Roman"/>
          <w:sz w:val="24"/>
          <w:szCs w:val="24"/>
        </w:rPr>
        <w:t>collective</w:t>
      </w:r>
      <w:r w:rsidRPr="00357991">
        <w:rPr>
          <w:rFonts w:ascii="Times New Roman" w:hAnsi="Times New Roman" w:cs="Times New Roman"/>
          <w:sz w:val="24"/>
          <w:szCs w:val="24"/>
        </w:rPr>
        <w:t xml:space="preserve"> decision of the association. At the time of this collective decision, Hilton Hotel Corporation was an active member and participant. Suppliers were “encouraged” to contribute. Any suppliers that did not pay money toward the association would suffer a business embargo, a boycott of their business. This business boycott would essentially deny the business participation in revenue generating events within the city of Portland, Oregon. If a business did not want to face business restrictions imposed on it by the association, then the business is forced to pay a predetermined amount.  Contrary to this action, Hilton Hotel Corporation’s policy </w:t>
      </w:r>
      <w:r w:rsidRPr="00357991">
        <w:rPr>
          <w:rFonts w:ascii="Times New Roman" w:hAnsi="Times New Roman" w:cs="Times New Roman"/>
          <w:color w:val="000000"/>
          <w:sz w:val="24"/>
          <w:szCs w:val="24"/>
          <w:shd w:val="clear" w:color="auto" w:fill="FFFFFF"/>
        </w:rPr>
        <w:t xml:space="preserve">is against such practices. </w:t>
      </w:r>
      <w:r>
        <w:rPr>
          <w:rFonts w:ascii="Times New Roman" w:hAnsi="Times New Roman" w:cs="Times New Roman"/>
          <w:color w:val="000000"/>
          <w:sz w:val="24"/>
          <w:szCs w:val="24"/>
          <w:shd w:val="clear" w:color="auto" w:fill="FFFFFF"/>
        </w:rPr>
        <w:t xml:space="preserve">Hilton Hotel Corporation’s policy is to purchase supplies based on cost. </w:t>
      </w:r>
      <w:r w:rsidRPr="00357991">
        <w:rPr>
          <w:rFonts w:ascii="Times New Roman" w:hAnsi="Times New Roman" w:cs="Times New Roman"/>
          <w:color w:val="000000"/>
          <w:sz w:val="24"/>
          <w:szCs w:val="24"/>
          <w:shd w:val="clear" w:color="auto" w:fill="FFFFFF"/>
        </w:rPr>
        <w:t xml:space="preserve">A directive was issued by </w:t>
      </w:r>
      <w:r w:rsidRPr="00357991">
        <w:rPr>
          <w:rFonts w:ascii="Times New Roman" w:hAnsi="Times New Roman" w:cs="Times New Roman"/>
          <w:sz w:val="24"/>
          <w:szCs w:val="24"/>
        </w:rPr>
        <w:t>Hilton Hotel Corporation, to its agents, forbidding participation in the Portland-based association.</w:t>
      </w:r>
      <w:r w:rsidRPr="00357991">
        <w:rPr>
          <w:rFonts w:ascii="Times New Roman" w:hAnsi="Times New Roman" w:cs="Times New Roman"/>
          <w:b/>
          <w:bCs/>
          <w:sz w:val="24"/>
          <w:szCs w:val="24"/>
        </w:rPr>
        <w:t xml:space="preserve"> </w:t>
      </w:r>
      <w:r w:rsidRPr="00357991">
        <w:rPr>
          <w:rFonts w:ascii="Times New Roman" w:hAnsi="Times New Roman" w:cs="Times New Roman"/>
          <w:sz w:val="24"/>
          <w:szCs w:val="24"/>
        </w:rPr>
        <w:t xml:space="preserve"> An agent of Hilton Hotel Corporation continued participation in the association and threatened suppliers with business losses if they </w:t>
      </w:r>
      <w:r w:rsidRPr="00357991">
        <w:rPr>
          <w:rFonts w:ascii="Times New Roman" w:hAnsi="Times New Roman" w:cs="Times New Roman"/>
          <w:sz w:val="24"/>
          <w:szCs w:val="24"/>
        </w:rPr>
        <w:lastRenderedPageBreak/>
        <w:t xml:space="preserve">failed to provide funds to the association. </w:t>
      </w:r>
      <w:r w:rsidR="00BA16C7">
        <w:rPr>
          <w:rFonts w:ascii="Times New Roman" w:hAnsi="Times New Roman" w:cs="Times New Roman"/>
          <w:sz w:val="24"/>
          <w:szCs w:val="24"/>
        </w:rPr>
        <w:t xml:space="preserve">The agent acknowledged that he received the instructions on two occasions. </w:t>
      </w:r>
    </w:p>
    <w:p w14:paraId="7F9E5265" w14:textId="77777777" w:rsidR="00CF2F7D" w:rsidRDefault="00CF2F7D" w:rsidP="007B71DD">
      <w:pPr>
        <w:spacing w:after="120" w:line="480" w:lineRule="auto"/>
        <w:rPr>
          <w:rFonts w:ascii="Georgia" w:hAnsi="Georgia"/>
          <w:color w:val="333333"/>
          <w:sz w:val="23"/>
          <w:szCs w:val="23"/>
        </w:rPr>
      </w:pPr>
      <w:r>
        <w:rPr>
          <w:rFonts w:ascii="Georgia" w:hAnsi="Georgia"/>
          <w:b/>
          <w:bCs/>
          <w:color w:val="333333"/>
          <w:sz w:val="23"/>
          <w:szCs w:val="23"/>
        </w:rPr>
        <w:t>Legal History/Procedure:</w:t>
      </w:r>
    </w:p>
    <w:p w14:paraId="77CBD67D" w14:textId="524A9D8D" w:rsidR="00CF2F7D" w:rsidRPr="007A4C9E" w:rsidRDefault="008D0680" w:rsidP="00314DC1">
      <w:pPr>
        <w:pStyle w:val="ListParagraph"/>
        <w:numPr>
          <w:ilvl w:val="0"/>
          <w:numId w:val="1"/>
        </w:numPr>
        <w:spacing w:after="120" w:line="480" w:lineRule="auto"/>
        <w:contextualSpacing w:val="0"/>
        <w:textAlignment w:val="baseline"/>
        <w:rPr>
          <w:rFonts w:ascii="Times New Roman" w:hAnsi="Times New Roman" w:cs="Times New Roman"/>
          <w:sz w:val="24"/>
          <w:szCs w:val="24"/>
        </w:rPr>
      </w:pPr>
      <w:r w:rsidRPr="007A4C9E">
        <w:rPr>
          <w:rFonts w:ascii="Georgia" w:hAnsi="Georgia"/>
          <w:color w:val="333333"/>
          <w:sz w:val="23"/>
          <w:szCs w:val="23"/>
        </w:rPr>
        <w:t>United States of America</w:t>
      </w:r>
      <w:r w:rsidRPr="007A4C9E">
        <w:rPr>
          <w:rFonts w:ascii="Times New Roman" w:hAnsi="Times New Roman" w:cs="Times New Roman"/>
          <w:sz w:val="24"/>
          <w:szCs w:val="24"/>
        </w:rPr>
        <w:t xml:space="preserve"> </w:t>
      </w:r>
      <w:r w:rsidR="00CF2F7D" w:rsidRPr="007A4C9E">
        <w:rPr>
          <w:rFonts w:ascii="Times New Roman" w:hAnsi="Times New Roman" w:cs="Times New Roman"/>
          <w:sz w:val="24"/>
          <w:szCs w:val="24"/>
        </w:rPr>
        <w:t xml:space="preserve">filed a suit (“complaint”) against </w:t>
      </w:r>
      <w:r w:rsidR="007A4C9E">
        <w:rPr>
          <w:rFonts w:ascii="Times New Roman" w:hAnsi="Times New Roman" w:cs="Times New Roman"/>
          <w:sz w:val="24"/>
          <w:szCs w:val="24"/>
        </w:rPr>
        <w:t>Hilton Hotel Corporation</w:t>
      </w:r>
      <w:r w:rsidR="00CF2F7D" w:rsidRPr="007A4C9E">
        <w:rPr>
          <w:rFonts w:ascii="Times New Roman" w:hAnsi="Times New Roman" w:cs="Times New Roman"/>
          <w:sz w:val="24"/>
          <w:szCs w:val="24"/>
        </w:rPr>
        <w:t>.</w:t>
      </w:r>
    </w:p>
    <w:p w14:paraId="383C0AD8" w14:textId="67542B58" w:rsidR="004F15D9" w:rsidRPr="007A4C9E" w:rsidRDefault="00CF2F7D" w:rsidP="00314DC1">
      <w:pPr>
        <w:pStyle w:val="ListParagraph"/>
        <w:numPr>
          <w:ilvl w:val="0"/>
          <w:numId w:val="1"/>
        </w:numPr>
        <w:spacing w:after="120" w:line="480" w:lineRule="auto"/>
        <w:contextualSpacing w:val="0"/>
        <w:textAlignment w:val="baseline"/>
        <w:rPr>
          <w:rFonts w:ascii="Times New Roman" w:hAnsi="Times New Roman" w:cs="Times New Roman"/>
          <w:sz w:val="24"/>
          <w:szCs w:val="24"/>
        </w:rPr>
      </w:pPr>
      <w:r w:rsidRPr="007A4C9E">
        <w:rPr>
          <w:rFonts w:ascii="Times New Roman" w:hAnsi="Times New Roman" w:cs="Times New Roman"/>
          <w:sz w:val="24"/>
          <w:szCs w:val="24"/>
        </w:rPr>
        <w:t xml:space="preserve">The trial judge </w:t>
      </w:r>
      <w:r w:rsidR="00582B59" w:rsidRPr="007A4C9E">
        <w:rPr>
          <w:rFonts w:ascii="Times New Roman" w:hAnsi="Times New Roman" w:cs="Times New Roman"/>
          <w:sz w:val="24"/>
          <w:szCs w:val="24"/>
        </w:rPr>
        <w:t>ruled that the agent violated the Sherman Act of 18</w:t>
      </w:r>
      <w:r w:rsidR="00C34C12">
        <w:rPr>
          <w:rFonts w:ascii="Times New Roman" w:hAnsi="Times New Roman" w:cs="Times New Roman"/>
          <w:sz w:val="24"/>
          <w:szCs w:val="24"/>
        </w:rPr>
        <w:t>9</w:t>
      </w:r>
      <w:r w:rsidR="00582B59" w:rsidRPr="007A4C9E">
        <w:rPr>
          <w:rFonts w:ascii="Times New Roman" w:hAnsi="Times New Roman" w:cs="Times New Roman"/>
          <w:sz w:val="24"/>
          <w:szCs w:val="24"/>
        </w:rPr>
        <w:t>0</w:t>
      </w:r>
      <w:r w:rsidR="00782D68" w:rsidRPr="007A4C9E">
        <w:rPr>
          <w:rFonts w:ascii="Times New Roman" w:hAnsi="Times New Roman" w:cs="Times New Roman"/>
          <w:sz w:val="24"/>
          <w:szCs w:val="24"/>
        </w:rPr>
        <w:t xml:space="preserve"> by pressuring suppliers </w:t>
      </w:r>
      <w:r w:rsidR="00FB0EF1">
        <w:rPr>
          <w:rFonts w:ascii="Times New Roman" w:hAnsi="Times New Roman" w:cs="Times New Roman"/>
          <w:sz w:val="24"/>
          <w:szCs w:val="24"/>
        </w:rPr>
        <w:t xml:space="preserve">to pay for </w:t>
      </w:r>
      <w:r w:rsidR="009F3623">
        <w:rPr>
          <w:rFonts w:ascii="Times New Roman" w:hAnsi="Times New Roman" w:cs="Times New Roman"/>
          <w:sz w:val="24"/>
          <w:szCs w:val="24"/>
        </w:rPr>
        <w:t>preferential</w:t>
      </w:r>
      <w:r w:rsidR="00FB0EF1">
        <w:rPr>
          <w:rFonts w:ascii="Times New Roman" w:hAnsi="Times New Roman" w:cs="Times New Roman"/>
          <w:sz w:val="24"/>
          <w:szCs w:val="24"/>
        </w:rPr>
        <w:t xml:space="preserve"> treatment.</w:t>
      </w:r>
    </w:p>
    <w:p w14:paraId="494A6AA6" w14:textId="14452475" w:rsidR="00582B59" w:rsidRPr="007A4C9E" w:rsidRDefault="00582B59" w:rsidP="00314DC1">
      <w:pPr>
        <w:pStyle w:val="ListParagraph"/>
        <w:numPr>
          <w:ilvl w:val="0"/>
          <w:numId w:val="1"/>
        </w:numPr>
        <w:spacing w:after="120" w:line="480" w:lineRule="auto"/>
        <w:contextualSpacing w:val="0"/>
        <w:textAlignment w:val="baseline"/>
        <w:rPr>
          <w:rFonts w:ascii="Times New Roman" w:hAnsi="Times New Roman" w:cs="Times New Roman"/>
          <w:sz w:val="24"/>
          <w:szCs w:val="24"/>
        </w:rPr>
      </w:pPr>
      <w:r w:rsidRPr="007A4C9E">
        <w:rPr>
          <w:rFonts w:ascii="Times New Roman" w:hAnsi="Times New Roman" w:cs="Times New Roman"/>
          <w:sz w:val="24"/>
          <w:szCs w:val="24"/>
        </w:rPr>
        <w:t xml:space="preserve">The trial judged also ruled that </w:t>
      </w:r>
      <w:r w:rsidR="00782D68" w:rsidRPr="007A4C9E">
        <w:rPr>
          <w:rFonts w:ascii="Times New Roman" w:hAnsi="Times New Roman" w:cs="Times New Roman"/>
          <w:sz w:val="24"/>
          <w:szCs w:val="24"/>
        </w:rPr>
        <w:t>Hilton Hotel Corporation is responsible for the actions of the agent and corporation is the beneficiary of the behavior.</w:t>
      </w:r>
    </w:p>
    <w:p w14:paraId="3B944E1B" w14:textId="76E16780" w:rsidR="0006596F" w:rsidRDefault="007A4C9E" w:rsidP="00314DC1">
      <w:pPr>
        <w:pStyle w:val="ListParagraph"/>
        <w:numPr>
          <w:ilvl w:val="0"/>
          <w:numId w:val="1"/>
        </w:numPr>
        <w:spacing w:after="120" w:line="480" w:lineRule="auto"/>
        <w:contextualSpacing w:val="0"/>
        <w:textAlignment w:val="baseline"/>
        <w:rPr>
          <w:rFonts w:ascii="Times New Roman" w:hAnsi="Times New Roman" w:cs="Times New Roman"/>
          <w:sz w:val="24"/>
          <w:szCs w:val="24"/>
        </w:rPr>
      </w:pPr>
      <w:r w:rsidRPr="007A4C9E">
        <w:rPr>
          <w:rFonts w:ascii="Times New Roman" w:hAnsi="Times New Roman" w:cs="Times New Roman"/>
          <w:sz w:val="24"/>
          <w:szCs w:val="24"/>
        </w:rPr>
        <w:t>The agent</w:t>
      </w:r>
      <w:r w:rsidR="00377C89">
        <w:rPr>
          <w:rFonts w:ascii="Times New Roman" w:hAnsi="Times New Roman" w:cs="Times New Roman"/>
          <w:sz w:val="24"/>
          <w:szCs w:val="24"/>
        </w:rPr>
        <w:t xml:space="preserve"> employed by the corporation</w:t>
      </w:r>
      <w:r w:rsidRPr="007A4C9E">
        <w:rPr>
          <w:rFonts w:ascii="Times New Roman" w:hAnsi="Times New Roman" w:cs="Times New Roman"/>
          <w:sz w:val="24"/>
          <w:szCs w:val="24"/>
        </w:rPr>
        <w:t xml:space="preserve"> was acquitted</w:t>
      </w:r>
      <w:r w:rsidR="00AE729A">
        <w:rPr>
          <w:rFonts w:ascii="Times New Roman" w:hAnsi="Times New Roman" w:cs="Times New Roman"/>
          <w:sz w:val="24"/>
          <w:szCs w:val="24"/>
        </w:rPr>
        <w:t>.</w:t>
      </w:r>
    </w:p>
    <w:p w14:paraId="2DEEC891" w14:textId="48967D59" w:rsidR="00377C89" w:rsidRPr="007A4C9E" w:rsidRDefault="00377C89" w:rsidP="00314DC1">
      <w:pPr>
        <w:pStyle w:val="ListParagraph"/>
        <w:numPr>
          <w:ilvl w:val="0"/>
          <w:numId w:val="1"/>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The defendant, Hilton Hotel Corporation, appealed.</w:t>
      </w:r>
    </w:p>
    <w:p w14:paraId="215A3EBA" w14:textId="19343D95" w:rsidR="00624A1F" w:rsidRPr="007A4C9E" w:rsidRDefault="00CF2F7D" w:rsidP="00314DC1">
      <w:pPr>
        <w:pStyle w:val="ListParagraph"/>
        <w:numPr>
          <w:ilvl w:val="0"/>
          <w:numId w:val="1"/>
        </w:numPr>
        <w:spacing w:after="120" w:line="480" w:lineRule="auto"/>
        <w:contextualSpacing w:val="0"/>
        <w:textAlignment w:val="baseline"/>
        <w:rPr>
          <w:rStyle w:val="item"/>
          <w:rFonts w:ascii="Times New Roman" w:hAnsi="Times New Roman" w:cs="Times New Roman"/>
          <w:sz w:val="24"/>
          <w:szCs w:val="24"/>
        </w:rPr>
      </w:pPr>
      <w:r w:rsidRPr="007A4C9E">
        <w:rPr>
          <w:rFonts w:ascii="Times New Roman" w:hAnsi="Times New Roman" w:cs="Times New Roman"/>
          <w:sz w:val="24"/>
          <w:szCs w:val="24"/>
        </w:rPr>
        <w:t xml:space="preserve">On appeal, the </w:t>
      </w:r>
      <w:r w:rsidR="004F15D9" w:rsidRPr="007A4C9E">
        <w:rPr>
          <w:rFonts w:ascii="Times New Roman" w:hAnsi="Times New Roman" w:cs="Times New Roman"/>
          <w:sz w:val="24"/>
          <w:szCs w:val="24"/>
        </w:rPr>
        <w:t xml:space="preserve">United States Court of Appeals for the Ninth Circuit </w:t>
      </w:r>
      <w:r w:rsidR="00624A1F" w:rsidRPr="007A4C9E">
        <w:rPr>
          <w:rFonts w:ascii="Times New Roman" w:hAnsi="Times New Roman" w:cs="Times New Roman"/>
          <w:sz w:val="24"/>
          <w:szCs w:val="24"/>
        </w:rPr>
        <w:t>September 26, 1972</w:t>
      </w:r>
      <w:r w:rsidR="00C779DA" w:rsidRPr="007A4C9E">
        <w:rPr>
          <w:rFonts w:ascii="Times New Roman" w:hAnsi="Times New Roman" w:cs="Times New Roman"/>
          <w:sz w:val="24"/>
          <w:szCs w:val="24"/>
        </w:rPr>
        <w:t xml:space="preserve"> affirmed the lower court’s decision</w:t>
      </w:r>
      <w:r w:rsidR="00624A1F" w:rsidRPr="007A4C9E">
        <w:rPr>
          <w:rFonts w:ascii="Times New Roman" w:hAnsi="Times New Roman" w:cs="Times New Roman"/>
          <w:sz w:val="24"/>
          <w:szCs w:val="24"/>
        </w:rPr>
        <w:t>.</w:t>
      </w:r>
      <w:r w:rsidR="00727C24" w:rsidRPr="007A4C9E">
        <w:rPr>
          <w:rFonts w:ascii="Times New Roman" w:hAnsi="Times New Roman" w:cs="Times New Roman"/>
          <w:sz w:val="24"/>
          <w:szCs w:val="24"/>
        </w:rPr>
        <w:t xml:space="preserve"> Supreme Court</w:t>
      </w:r>
      <w:r w:rsidR="00624A1F" w:rsidRPr="007A4C9E">
        <w:rPr>
          <w:rFonts w:ascii="Times New Roman" w:hAnsi="Times New Roman" w:cs="Times New Roman"/>
          <w:sz w:val="24"/>
          <w:szCs w:val="24"/>
        </w:rPr>
        <w:t xml:space="preserve"> </w:t>
      </w:r>
      <w:r w:rsidR="007A4C9E" w:rsidRPr="007A4C9E">
        <w:rPr>
          <w:rFonts w:ascii="Times New Roman" w:hAnsi="Times New Roman" w:cs="Times New Roman"/>
          <w:sz w:val="24"/>
          <w:szCs w:val="24"/>
        </w:rPr>
        <w:t xml:space="preserve">Certiorari </w:t>
      </w:r>
      <w:r w:rsidR="00624A1F" w:rsidRPr="007A4C9E">
        <w:rPr>
          <w:rFonts w:ascii="Times New Roman" w:hAnsi="Times New Roman" w:cs="Times New Roman"/>
          <w:sz w:val="24"/>
          <w:szCs w:val="24"/>
        </w:rPr>
        <w:t>Denied January 15, 1973</w:t>
      </w:r>
      <w:r w:rsidRPr="007A4C9E">
        <w:rPr>
          <w:rFonts w:ascii="Times New Roman" w:hAnsi="Times New Roman" w:cs="Times New Roman"/>
          <w:sz w:val="24"/>
          <w:szCs w:val="24"/>
        </w:rPr>
        <w:t xml:space="preserve"> upheld the dismissal.</w:t>
      </w:r>
    </w:p>
    <w:p w14:paraId="67725BA5" w14:textId="77777777" w:rsidR="000A5D21" w:rsidRDefault="000A5D21" w:rsidP="007B71DD">
      <w:pPr>
        <w:spacing w:after="120" w:line="480" w:lineRule="auto"/>
        <w:ind w:left="300"/>
        <w:textAlignment w:val="baseline"/>
        <w:rPr>
          <w:rFonts w:ascii="inherit" w:hAnsi="inherit"/>
          <w:color w:val="333333"/>
          <w:sz w:val="23"/>
          <w:szCs w:val="23"/>
        </w:rPr>
      </w:pPr>
    </w:p>
    <w:p w14:paraId="0147D346" w14:textId="77777777" w:rsidR="00CF2F7D" w:rsidRDefault="00CF2F7D" w:rsidP="007B71DD">
      <w:pPr>
        <w:spacing w:after="120" w:line="480" w:lineRule="auto"/>
        <w:rPr>
          <w:rFonts w:ascii="Georgia" w:hAnsi="Georgia"/>
          <w:color w:val="333333"/>
          <w:sz w:val="23"/>
          <w:szCs w:val="23"/>
        </w:rPr>
      </w:pPr>
      <w:r>
        <w:rPr>
          <w:rFonts w:ascii="Georgia" w:hAnsi="Georgia"/>
          <w:b/>
          <w:bCs/>
          <w:color w:val="333333"/>
          <w:sz w:val="23"/>
          <w:szCs w:val="23"/>
        </w:rPr>
        <w:t>Issues (Holdings):</w:t>
      </w:r>
    </w:p>
    <w:p w14:paraId="1A2B279B" w14:textId="4CE9C66E" w:rsidR="00986F76" w:rsidRDefault="00986F76"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The association stated that funds where to be used to attract conventions to the city to increase business. Does the stated purpose of requesting funds from suppliers exonerate the corporation of any wrongdoing?</w:t>
      </w:r>
    </w:p>
    <w:p w14:paraId="3F6E3843" w14:textId="527ACEC3" w:rsidR="003506D0" w:rsidRDefault="003506D0"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 xml:space="preserve">The association collectively agreed to institute a policy </w:t>
      </w:r>
      <w:r w:rsidRPr="00357991">
        <w:rPr>
          <w:rFonts w:ascii="Times New Roman" w:hAnsi="Times New Roman" w:cs="Times New Roman"/>
          <w:sz w:val="24"/>
          <w:szCs w:val="24"/>
        </w:rPr>
        <w:t>to give preferential treatment to suppliers that contributed money to the association</w:t>
      </w:r>
      <w:r>
        <w:rPr>
          <w:rFonts w:ascii="Times New Roman" w:hAnsi="Times New Roman" w:cs="Times New Roman"/>
          <w:sz w:val="24"/>
          <w:szCs w:val="24"/>
        </w:rPr>
        <w:t xml:space="preserve">. Does Hilton Hotel Corporation’s involvement constitute </w:t>
      </w:r>
      <w:r w:rsidR="004571B9">
        <w:rPr>
          <w:rFonts w:ascii="Times New Roman" w:hAnsi="Times New Roman" w:cs="Times New Roman"/>
          <w:sz w:val="24"/>
          <w:szCs w:val="24"/>
        </w:rPr>
        <w:t>accountability?</w:t>
      </w:r>
    </w:p>
    <w:p w14:paraId="012E227F" w14:textId="28046D81" w:rsidR="003506D0" w:rsidRDefault="003506D0"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lastRenderedPageBreak/>
        <w:t>Does boycotting suppliers for not contributing the association’s fund constitute wrongdoing on the part of Hilton Hotel Corporation.?</w:t>
      </w:r>
    </w:p>
    <w:p w14:paraId="47E87CE7" w14:textId="38C6669F" w:rsidR="00986F76" w:rsidRDefault="00986F76"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 xml:space="preserve">Does corporate policy of not engaging in practices of requesting funds from </w:t>
      </w:r>
      <w:r w:rsidR="00477C7F">
        <w:rPr>
          <w:rFonts w:ascii="Times New Roman" w:hAnsi="Times New Roman" w:cs="Times New Roman"/>
          <w:sz w:val="24"/>
          <w:szCs w:val="24"/>
        </w:rPr>
        <w:t>supplies in exchange for preferential treatment exonerate the corporation of any wrongdoing?</w:t>
      </w:r>
    </w:p>
    <w:p w14:paraId="09296C89" w14:textId="2B055C49" w:rsidR="00986F76" w:rsidRDefault="00986F76"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sidRPr="00110E7D">
        <w:rPr>
          <w:rFonts w:ascii="Times New Roman" w:hAnsi="Times New Roman" w:cs="Times New Roman"/>
          <w:sz w:val="24"/>
          <w:szCs w:val="24"/>
        </w:rPr>
        <w:t>Did the agent violate the Sherman Act of 18</w:t>
      </w:r>
      <w:r w:rsidR="00C34C12">
        <w:rPr>
          <w:rFonts w:ascii="Times New Roman" w:hAnsi="Times New Roman" w:cs="Times New Roman"/>
          <w:sz w:val="24"/>
          <w:szCs w:val="24"/>
        </w:rPr>
        <w:t>9</w:t>
      </w:r>
      <w:r w:rsidRPr="00110E7D">
        <w:rPr>
          <w:rFonts w:ascii="Times New Roman" w:hAnsi="Times New Roman" w:cs="Times New Roman"/>
          <w:sz w:val="24"/>
          <w:szCs w:val="24"/>
        </w:rPr>
        <w:t>0</w:t>
      </w:r>
      <w:r>
        <w:rPr>
          <w:rFonts w:ascii="Times New Roman" w:hAnsi="Times New Roman" w:cs="Times New Roman"/>
          <w:sz w:val="24"/>
          <w:szCs w:val="24"/>
        </w:rPr>
        <w:t>?</w:t>
      </w:r>
    </w:p>
    <w:p w14:paraId="59FB17AE" w14:textId="77777777" w:rsidR="00477C7F" w:rsidRDefault="00AE729A"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sidRPr="00110E7D">
        <w:rPr>
          <w:rFonts w:ascii="Times New Roman" w:hAnsi="Times New Roman" w:cs="Times New Roman"/>
          <w:sz w:val="24"/>
          <w:szCs w:val="24"/>
        </w:rPr>
        <w:t>Is the corporation responsible for the actions of the agent</w:t>
      </w:r>
      <w:r w:rsidR="00477C7F">
        <w:rPr>
          <w:rFonts w:ascii="Times New Roman" w:hAnsi="Times New Roman" w:cs="Times New Roman"/>
          <w:sz w:val="24"/>
          <w:szCs w:val="24"/>
        </w:rPr>
        <w:t>?</w:t>
      </w:r>
    </w:p>
    <w:p w14:paraId="10C84967" w14:textId="27D1D97D" w:rsidR="00477C7F" w:rsidRDefault="00477C7F"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 xml:space="preserve">Did the corporation shield itself from all accountability by issuing company-wide instructions </w:t>
      </w:r>
      <w:r w:rsidRPr="00110E7D">
        <w:rPr>
          <w:rFonts w:ascii="Times New Roman" w:hAnsi="Times New Roman" w:cs="Times New Roman"/>
          <w:sz w:val="24"/>
          <w:szCs w:val="24"/>
        </w:rPr>
        <w:t>not to participate in pressuring suppliers to contribute to the association?</w:t>
      </w:r>
    </w:p>
    <w:p w14:paraId="5607D210" w14:textId="08000503" w:rsidR="00CF2F7D" w:rsidRDefault="00477C7F"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Did the corporation protect itself from all accountability</w:t>
      </w:r>
      <w:r w:rsidR="00AE729A" w:rsidRPr="00110E7D">
        <w:rPr>
          <w:rFonts w:ascii="Times New Roman" w:hAnsi="Times New Roman" w:cs="Times New Roman"/>
          <w:sz w:val="24"/>
          <w:szCs w:val="24"/>
        </w:rPr>
        <w:t xml:space="preserve"> </w:t>
      </w:r>
      <w:r w:rsidR="00A65DA8">
        <w:rPr>
          <w:rFonts w:ascii="Times New Roman" w:hAnsi="Times New Roman" w:cs="Times New Roman"/>
          <w:sz w:val="24"/>
          <w:szCs w:val="24"/>
        </w:rPr>
        <w:t xml:space="preserve">by </w:t>
      </w:r>
      <w:r>
        <w:rPr>
          <w:rFonts w:ascii="Times New Roman" w:hAnsi="Times New Roman" w:cs="Times New Roman"/>
          <w:sz w:val="24"/>
          <w:szCs w:val="24"/>
        </w:rPr>
        <w:t>acknowledg</w:t>
      </w:r>
      <w:r w:rsidR="00A65DA8">
        <w:rPr>
          <w:rFonts w:ascii="Times New Roman" w:hAnsi="Times New Roman" w:cs="Times New Roman"/>
          <w:sz w:val="24"/>
          <w:szCs w:val="24"/>
        </w:rPr>
        <w:t xml:space="preserve">ing that he received </w:t>
      </w:r>
      <w:r>
        <w:rPr>
          <w:rFonts w:ascii="Times New Roman" w:hAnsi="Times New Roman" w:cs="Times New Roman"/>
          <w:sz w:val="24"/>
          <w:szCs w:val="24"/>
        </w:rPr>
        <w:t>instructions on two occasion</w:t>
      </w:r>
      <w:r w:rsidR="00A65DA8">
        <w:rPr>
          <w:rFonts w:ascii="Times New Roman" w:hAnsi="Times New Roman" w:cs="Times New Roman"/>
          <w:sz w:val="24"/>
          <w:szCs w:val="24"/>
        </w:rPr>
        <w:t>s</w:t>
      </w:r>
      <w:r>
        <w:rPr>
          <w:rFonts w:ascii="Times New Roman" w:hAnsi="Times New Roman" w:cs="Times New Roman"/>
          <w:sz w:val="24"/>
          <w:szCs w:val="24"/>
        </w:rPr>
        <w:t xml:space="preserve"> </w:t>
      </w:r>
      <w:r w:rsidR="00A65DA8">
        <w:rPr>
          <w:rFonts w:ascii="Times New Roman" w:hAnsi="Times New Roman" w:cs="Times New Roman"/>
          <w:sz w:val="24"/>
          <w:szCs w:val="24"/>
        </w:rPr>
        <w:t xml:space="preserve">advising him </w:t>
      </w:r>
      <w:r>
        <w:rPr>
          <w:rFonts w:ascii="Times New Roman" w:hAnsi="Times New Roman" w:cs="Times New Roman"/>
          <w:sz w:val="24"/>
          <w:szCs w:val="24"/>
        </w:rPr>
        <w:t>not to</w:t>
      </w:r>
      <w:r w:rsidR="00AE729A" w:rsidRPr="00110E7D">
        <w:rPr>
          <w:rFonts w:ascii="Times New Roman" w:hAnsi="Times New Roman" w:cs="Times New Roman"/>
          <w:sz w:val="24"/>
          <w:szCs w:val="24"/>
        </w:rPr>
        <w:t xml:space="preserve"> participate in pressuring </w:t>
      </w:r>
      <w:r w:rsidR="00110E7D" w:rsidRPr="00110E7D">
        <w:rPr>
          <w:rFonts w:ascii="Times New Roman" w:hAnsi="Times New Roman" w:cs="Times New Roman"/>
          <w:sz w:val="24"/>
          <w:szCs w:val="24"/>
        </w:rPr>
        <w:t xml:space="preserve">suppliers to contribute to the </w:t>
      </w:r>
      <w:r w:rsidR="00986F76" w:rsidRPr="00110E7D">
        <w:rPr>
          <w:rFonts w:ascii="Times New Roman" w:hAnsi="Times New Roman" w:cs="Times New Roman"/>
          <w:sz w:val="24"/>
          <w:szCs w:val="24"/>
        </w:rPr>
        <w:t>association?</w:t>
      </w:r>
    </w:p>
    <w:p w14:paraId="5397F788" w14:textId="38FD5CD5" w:rsidR="00A65DA8" w:rsidRDefault="00A65DA8"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Is the company shielded from accountability by the admittance of the agent stating that he intentionally committed that act due to being a disgruntled employee?</w:t>
      </w:r>
    </w:p>
    <w:p w14:paraId="4997F5CC" w14:textId="6ADF394F" w:rsidR="00AE729A" w:rsidRPr="00110E7D" w:rsidRDefault="00AE729A" w:rsidP="00314DC1">
      <w:pPr>
        <w:pStyle w:val="ListParagraph"/>
        <w:numPr>
          <w:ilvl w:val="0"/>
          <w:numId w:val="2"/>
        </w:numPr>
        <w:spacing w:after="120" w:line="480" w:lineRule="auto"/>
        <w:contextualSpacing w:val="0"/>
        <w:textAlignment w:val="baseline"/>
        <w:rPr>
          <w:rFonts w:ascii="Times New Roman" w:hAnsi="Times New Roman" w:cs="Times New Roman"/>
          <w:sz w:val="24"/>
          <w:szCs w:val="24"/>
        </w:rPr>
      </w:pPr>
      <w:r w:rsidRPr="00110E7D">
        <w:rPr>
          <w:rFonts w:ascii="Times New Roman" w:hAnsi="Times New Roman" w:cs="Times New Roman"/>
          <w:sz w:val="24"/>
          <w:szCs w:val="24"/>
        </w:rPr>
        <w:t>Does acquittal of the agent equate to the acquittal of the corporation</w:t>
      </w:r>
      <w:r w:rsidR="00A65DA8">
        <w:rPr>
          <w:rFonts w:ascii="Times New Roman" w:hAnsi="Times New Roman" w:cs="Times New Roman"/>
          <w:sz w:val="24"/>
          <w:szCs w:val="24"/>
        </w:rPr>
        <w:t>?</w:t>
      </w:r>
    </w:p>
    <w:p w14:paraId="03A0D5EB" w14:textId="77777777" w:rsidR="00CF2F7D" w:rsidRDefault="00CF2F7D" w:rsidP="007B71DD">
      <w:pPr>
        <w:spacing w:after="120" w:line="480" w:lineRule="auto"/>
        <w:rPr>
          <w:rFonts w:ascii="Georgia" w:hAnsi="Georgia"/>
          <w:color w:val="333333"/>
          <w:sz w:val="23"/>
          <w:szCs w:val="23"/>
        </w:rPr>
      </w:pPr>
      <w:r>
        <w:rPr>
          <w:rFonts w:ascii="Georgia" w:hAnsi="Georgia"/>
          <w:b/>
          <w:bCs/>
          <w:color w:val="333333"/>
          <w:sz w:val="23"/>
          <w:szCs w:val="23"/>
        </w:rPr>
        <w:t>Reasoning:</w:t>
      </w:r>
    </w:p>
    <w:p w14:paraId="4C3B3DC3" w14:textId="4A208634" w:rsidR="00CF2F7D" w:rsidRPr="009C5066" w:rsidRDefault="00896DD6" w:rsidP="00314DC1">
      <w:pPr>
        <w:pStyle w:val="ListParagraph"/>
        <w:numPr>
          <w:ilvl w:val="0"/>
          <w:numId w:val="3"/>
        </w:numPr>
        <w:spacing w:after="120" w:line="480" w:lineRule="auto"/>
        <w:contextualSpacing w:val="0"/>
        <w:textAlignment w:val="baseline"/>
        <w:rPr>
          <w:rFonts w:ascii="Times New Roman" w:hAnsi="Times New Roman" w:cs="Times New Roman"/>
          <w:sz w:val="24"/>
          <w:szCs w:val="24"/>
        </w:rPr>
      </w:pPr>
      <w:r w:rsidRPr="009C5066">
        <w:rPr>
          <w:rFonts w:ascii="Times New Roman" w:hAnsi="Times New Roman" w:cs="Times New Roman"/>
          <w:sz w:val="24"/>
          <w:szCs w:val="24"/>
        </w:rPr>
        <w:t>Requesting association members to contribute funds to attract business to the city shows no wrongdoing.</w:t>
      </w:r>
    </w:p>
    <w:p w14:paraId="01CE32E6" w14:textId="22916936" w:rsidR="00651A79" w:rsidRDefault="00896DD6" w:rsidP="00314DC1">
      <w:pPr>
        <w:pStyle w:val="ListParagraph"/>
        <w:numPr>
          <w:ilvl w:val="0"/>
          <w:numId w:val="3"/>
        </w:numPr>
        <w:spacing w:after="120" w:line="480" w:lineRule="auto"/>
        <w:contextualSpacing w:val="0"/>
        <w:textAlignment w:val="baseline"/>
        <w:rPr>
          <w:rFonts w:ascii="Times New Roman" w:hAnsi="Times New Roman" w:cs="Times New Roman"/>
          <w:sz w:val="24"/>
          <w:szCs w:val="24"/>
        </w:rPr>
      </w:pPr>
      <w:r w:rsidRPr="009C5066">
        <w:rPr>
          <w:rFonts w:ascii="Times New Roman" w:hAnsi="Times New Roman" w:cs="Times New Roman"/>
          <w:sz w:val="24"/>
          <w:szCs w:val="24"/>
        </w:rPr>
        <w:t>P</w:t>
      </w:r>
      <w:r w:rsidR="009C5066" w:rsidRPr="009C5066">
        <w:rPr>
          <w:rFonts w:ascii="Times New Roman" w:hAnsi="Times New Roman" w:cs="Times New Roman"/>
          <w:sz w:val="24"/>
          <w:szCs w:val="24"/>
        </w:rPr>
        <w:t>re</w:t>
      </w:r>
      <w:r w:rsidRPr="009C5066">
        <w:rPr>
          <w:rFonts w:ascii="Times New Roman" w:hAnsi="Times New Roman" w:cs="Times New Roman"/>
          <w:sz w:val="24"/>
          <w:szCs w:val="24"/>
        </w:rPr>
        <w:t xml:space="preserve">ferential treatment to association </w:t>
      </w:r>
      <w:r w:rsidR="00E702AC" w:rsidRPr="009C5066">
        <w:rPr>
          <w:rFonts w:ascii="Times New Roman" w:hAnsi="Times New Roman" w:cs="Times New Roman"/>
          <w:sz w:val="24"/>
          <w:szCs w:val="24"/>
        </w:rPr>
        <w:t>members that</w:t>
      </w:r>
      <w:r w:rsidRPr="009C5066">
        <w:rPr>
          <w:rFonts w:ascii="Times New Roman" w:hAnsi="Times New Roman" w:cs="Times New Roman"/>
          <w:sz w:val="24"/>
          <w:szCs w:val="24"/>
        </w:rPr>
        <w:t xml:space="preserve"> contribute to the fund over those </w:t>
      </w:r>
      <w:r w:rsidR="00E702AC" w:rsidRPr="009C5066">
        <w:rPr>
          <w:rFonts w:ascii="Times New Roman" w:hAnsi="Times New Roman" w:cs="Times New Roman"/>
          <w:sz w:val="24"/>
          <w:szCs w:val="24"/>
        </w:rPr>
        <w:t xml:space="preserve">that do not resulting in a boycott of said </w:t>
      </w:r>
      <w:r w:rsidR="00651A79" w:rsidRPr="009C5066">
        <w:rPr>
          <w:rFonts w:ascii="Times New Roman" w:hAnsi="Times New Roman" w:cs="Times New Roman"/>
          <w:sz w:val="24"/>
          <w:szCs w:val="24"/>
        </w:rPr>
        <w:t>businesses</w:t>
      </w:r>
      <w:r w:rsidR="009C5066" w:rsidRPr="009C5066">
        <w:rPr>
          <w:rFonts w:ascii="Times New Roman" w:hAnsi="Times New Roman" w:cs="Times New Roman"/>
          <w:sz w:val="24"/>
          <w:szCs w:val="24"/>
        </w:rPr>
        <w:t xml:space="preserve">. </w:t>
      </w:r>
      <w:r w:rsidR="00651A79" w:rsidRPr="009C5066">
        <w:rPr>
          <w:rFonts w:ascii="Times New Roman" w:hAnsi="Times New Roman" w:cs="Times New Roman"/>
          <w:sz w:val="24"/>
          <w:szCs w:val="24"/>
        </w:rPr>
        <w:t xml:space="preserve">“The necessary and direct consequence of defendants' scheme was to deprive uncooperative suppliers of the opportunity to sell to defendant hotels in free and open competition with other suppliers, and to deprive </w:t>
      </w:r>
      <w:r w:rsidR="00651A79" w:rsidRPr="009C5066">
        <w:rPr>
          <w:rFonts w:ascii="Times New Roman" w:hAnsi="Times New Roman" w:cs="Times New Roman"/>
          <w:sz w:val="24"/>
          <w:szCs w:val="24"/>
        </w:rPr>
        <w:lastRenderedPageBreak/>
        <w:t>defendant hotels of the opportunity to buy supplies from such suppliers in accordance with the individual judgment of each hotel, at prices and on terms and conditions of sale determined by free competition” ("United States v. Hilton Hotels Corp., 467 F.2d 1000 (9th Cir. 1973)")</w:t>
      </w:r>
    </w:p>
    <w:p w14:paraId="7F34E78F" w14:textId="1A5060B5" w:rsidR="009F7844" w:rsidRDefault="009F7844" w:rsidP="00314DC1">
      <w:pPr>
        <w:pStyle w:val="ListParagraph"/>
        <w:numPr>
          <w:ilvl w:val="0"/>
          <w:numId w:val="3"/>
        </w:numPr>
        <w:spacing w:after="120" w:line="480" w:lineRule="auto"/>
        <w:contextualSpacing w:val="0"/>
        <w:textAlignment w:val="baseline"/>
        <w:rPr>
          <w:rFonts w:ascii="Times New Roman" w:hAnsi="Times New Roman" w:cs="Times New Roman"/>
          <w:sz w:val="24"/>
          <w:szCs w:val="24"/>
        </w:rPr>
      </w:pPr>
      <w:r>
        <w:rPr>
          <w:rFonts w:ascii="Times New Roman" w:hAnsi="Times New Roman" w:cs="Times New Roman"/>
          <w:sz w:val="24"/>
          <w:szCs w:val="24"/>
        </w:rPr>
        <w:t xml:space="preserve">Though the corporation has a policy </w:t>
      </w:r>
      <w:r w:rsidR="00EC0834">
        <w:rPr>
          <w:rFonts w:ascii="Times New Roman" w:hAnsi="Times New Roman" w:cs="Times New Roman"/>
          <w:sz w:val="24"/>
          <w:szCs w:val="24"/>
        </w:rPr>
        <w:t>of not engaging in practices of requesting funds from supplies in exchange for preferential treatment the association</w:t>
      </w:r>
      <w:r w:rsidR="002F592D">
        <w:rPr>
          <w:rFonts w:ascii="Times New Roman" w:hAnsi="Times New Roman" w:cs="Times New Roman"/>
          <w:sz w:val="24"/>
          <w:szCs w:val="24"/>
        </w:rPr>
        <w:t>,</w:t>
      </w:r>
      <w:r w:rsidR="00EC0834">
        <w:rPr>
          <w:rFonts w:ascii="Times New Roman" w:hAnsi="Times New Roman" w:cs="Times New Roman"/>
          <w:sz w:val="24"/>
          <w:szCs w:val="24"/>
        </w:rPr>
        <w:t xml:space="preserve"> to which the corporation belongs to</w:t>
      </w:r>
      <w:r w:rsidR="002F592D">
        <w:rPr>
          <w:rFonts w:ascii="Times New Roman" w:hAnsi="Times New Roman" w:cs="Times New Roman"/>
          <w:sz w:val="24"/>
          <w:szCs w:val="24"/>
        </w:rPr>
        <w:t>,</w:t>
      </w:r>
      <w:r w:rsidR="00EC0834">
        <w:rPr>
          <w:rFonts w:ascii="Times New Roman" w:hAnsi="Times New Roman" w:cs="Times New Roman"/>
          <w:sz w:val="24"/>
          <w:szCs w:val="24"/>
        </w:rPr>
        <w:t xml:space="preserve"> did in fact create an agreement of the contrary.</w:t>
      </w:r>
    </w:p>
    <w:p w14:paraId="0E210894" w14:textId="3B1D6CEB" w:rsidR="009D1435" w:rsidRDefault="009D1435" w:rsidP="00314DC1">
      <w:pPr>
        <w:pStyle w:val="ListParagraph"/>
        <w:numPr>
          <w:ilvl w:val="0"/>
          <w:numId w:val="3"/>
        </w:numPr>
        <w:spacing w:after="120" w:line="480" w:lineRule="auto"/>
        <w:contextualSpacing w:val="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agent of Hilton Hotel Corporation, acting as an employee of the company, attempted to further enforce the agreement of the association upon suppliers via the threat of boycott thereby restricting freetrade for the suppliers.</w:t>
      </w:r>
    </w:p>
    <w:p w14:paraId="13A68ACC" w14:textId="727503D5" w:rsidR="009B24D6" w:rsidRPr="009D1435" w:rsidRDefault="009B24D6" w:rsidP="007B71DD">
      <w:pPr>
        <w:spacing w:after="120" w:line="480" w:lineRule="auto"/>
        <w:ind w:left="300" w:firstLine="360"/>
        <w:rPr>
          <w:rFonts w:ascii="Times New Roman" w:hAnsi="Times New Roman" w:cs="Times New Roman"/>
          <w:color w:val="000000"/>
          <w:sz w:val="24"/>
          <w:szCs w:val="24"/>
          <w:shd w:val="clear" w:color="auto" w:fill="FFFFFF"/>
        </w:rPr>
      </w:pPr>
      <w:r w:rsidRPr="009D1435">
        <w:rPr>
          <w:rFonts w:ascii="Times New Roman" w:hAnsi="Times New Roman" w:cs="Times New Roman"/>
          <w:color w:val="000000"/>
          <w:sz w:val="24"/>
          <w:szCs w:val="24"/>
          <w:shd w:val="clear" w:color="auto" w:fill="FFFFFF"/>
        </w:rPr>
        <w:t>Section 1 of the Sherman Antitrust Act:</w:t>
      </w:r>
    </w:p>
    <w:p w14:paraId="77276D80" w14:textId="77777777" w:rsidR="009B24D6" w:rsidRPr="009B24D6" w:rsidRDefault="009B24D6" w:rsidP="007B71DD">
      <w:pPr>
        <w:spacing w:after="120" w:line="480" w:lineRule="auto"/>
        <w:ind w:left="660"/>
        <w:rPr>
          <w:rFonts w:ascii="Times New Roman" w:hAnsi="Times New Roman" w:cs="Times New Roman"/>
          <w:sz w:val="24"/>
          <w:szCs w:val="24"/>
        </w:rPr>
      </w:pPr>
      <w:r w:rsidRPr="009B24D6">
        <w:rPr>
          <w:rFonts w:ascii="Times New Roman" w:hAnsi="Times New Roman" w:cs="Times New Roman"/>
          <w:sz w:val="24"/>
          <w:szCs w:val="24"/>
        </w:rPr>
        <w:t>“U.S. Code Title 15. COMMERCE AND TRADE Chapter 1. MONOPOLIES AND COMBINATIONS IN RESTRAINT OF TRADE Section 1. Trusts, etc., in restraint of trade illegal; penalty</w:t>
      </w:r>
    </w:p>
    <w:p w14:paraId="3EA0CCF3" w14:textId="5DF8BCBD" w:rsidR="009B24D6" w:rsidRPr="009B24D6" w:rsidRDefault="009B24D6" w:rsidP="007B71DD">
      <w:pPr>
        <w:spacing w:after="120" w:line="480" w:lineRule="auto"/>
        <w:ind w:left="1440"/>
        <w:rPr>
          <w:rFonts w:ascii="Times New Roman" w:hAnsi="Times New Roman" w:cs="Times New Roman"/>
          <w:sz w:val="24"/>
          <w:szCs w:val="24"/>
        </w:rPr>
      </w:pPr>
      <w:r w:rsidRPr="009B24D6">
        <w:rPr>
          <w:rFonts w:ascii="Times New Roman" w:hAnsi="Times New Roman" w:cs="Times New Roman"/>
          <w:sz w:val="24"/>
          <w:szCs w:val="24"/>
        </w:rPr>
        <w:t xml:space="preserve">1. Every contract, combination in the form of trust or otherwise, or conspiracy, in restraint of trade or commerce among the several States, or with foreign nations, is declared to be illegal. Every person who shall make any contract or engage in any combination or conspiracy hereby declared to be illegal shall be deemed guilty of a felony, and, on conviction thereof, shall be punished by fine not exceeding one million dollars if a corporation, or, if any other person, one hundred thousand dollars or by imprisonment not exceeding three years, or by </w:t>
      </w:r>
      <w:r w:rsidRPr="009B24D6">
        <w:rPr>
          <w:rFonts w:ascii="Times New Roman" w:hAnsi="Times New Roman" w:cs="Times New Roman"/>
          <w:sz w:val="24"/>
          <w:szCs w:val="24"/>
        </w:rPr>
        <w:lastRenderedPageBreak/>
        <w:t>both said punishments, in the discretion of the court.” ("15 U.S. Code § 1 - Trusts, etc., in restraint of trade illegal; penalty", n.d.)</w:t>
      </w:r>
    </w:p>
    <w:p w14:paraId="1A9CBDFF" w14:textId="0897E955" w:rsidR="001560C6" w:rsidRDefault="001560C6" w:rsidP="00314DC1">
      <w:pPr>
        <w:pStyle w:val="ListParagraph"/>
        <w:numPr>
          <w:ilvl w:val="0"/>
          <w:numId w:val="3"/>
        </w:numPr>
        <w:spacing w:after="120" w:line="480" w:lineRule="auto"/>
        <w:contextualSpacing w:val="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appears that the Hilton Hotel Corporation made attempts to dissuade </w:t>
      </w:r>
      <w:r w:rsidR="00421998">
        <w:rPr>
          <w:rFonts w:ascii="Times New Roman" w:hAnsi="Times New Roman" w:cs="Times New Roman"/>
          <w:color w:val="000000"/>
          <w:sz w:val="24"/>
          <w:szCs w:val="24"/>
          <w:shd w:val="clear" w:color="auto" w:fill="FFFFFF"/>
        </w:rPr>
        <w:t xml:space="preserve">it agents from participating in the boycott of suppliers, however there was an agent the participated. The company is liable for its employees that act on its behalf or in the name thereof to conduct business. </w:t>
      </w:r>
      <w:r w:rsidR="00421998" w:rsidRPr="001560C6">
        <w:rPr>
          <w:rFonts w:ascii="Times New Roman" w:hAnsi="Times New Roman" w:cs="Times New Roman"/>
          <w:color w:val="000000"/>
          <w:sz w:val="24"/>
          <w:szCs w:val="24"/>
          <w:shd w:val="clear" w:color="auto" w:fill="FFFFFF"/>
        </w:rPr>
        <w:t>“A corporation is responsible for acts and statements of its agents, done or made within the scope of their employment, even though their conduct may be contrary to their actual instructions or contrary to the corporation's stated policies.” ("United States v. Hilton Hotels Corp., 467 F.2d 1000 (9th Cir. 1973)")</w:t>
      </w:r>
    </w:p>
    <w:p w14:paraId="46DF1F9F" w14:textId="26D3D6B9" w:rsidR="00C34C12" w:rsidRPr="001560C6" w:rsidRDefault="0026704A" w:rsidP="00314DC1">
      <w:pPr>
        <w:pStyle w:val="ListParagraph"/>
        <w:numPr>
          <w:ilvl w:val="0"/>
          <w:numId w:val="3"/>
        </w:numPr>
        <w:spacing w:after="120" w:line="480" w:lineRule="auto"/>
        <w:contextualSpacing w:val="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acquittal of the employee for the appellant, Hilton Hotel Corporation, does not exonerate the company in which the agent was acting behalf.  The agent is simply an individual and is not the business</w:t>
      </w:r>
      <w:r w:rsidR="000C0CD5">
        <w:rPr>
          <w:rFonts w:ascii="Times New Roman" w:hAnsi="Times New Roman" w:cs="Times New Roman"/>
          <w:color w:val="000000"/>
          <w:sz w:val="24"/>
          <w:szCs w:val="24"/>
          <w:shd w:val="clear" w:color="auto" w:fill="FFFFFF"/>
        </w:rPr>
        <w:t xml:space="preserve"> but an agent of the business.</w:t>
      </w:r>
      <w:r>
        <w:rPr>
          <w:rFonts w:ascii="Times New Roman" w:hAnsi="Times New Roman" w:cs="Times New Roman"/>
          <w:color w:val="000000"/>
          <w:sz w:val="24"/>
          <w:szCs w:val="24"/>
          <w:shd w:val="clear" w:color="auto" w:fill="FFFFFF"/>
        </w:rPr>
        <w:t xml:space="preserve"> </w:t>
      </w:r>
      <w:r w:rsidR="00132CC9">
        <w:rPr>
          <w:rFonts w:ascii="Times New Roman" w:hAnsi="Times New Roman" w:cs="Times New Roman"/>
          <w:color w:val="000000"/>
          <w:sz w:val="24"/>
          <w:szCs w:val="24"/>
          <w:shd w:val="clear" w:color="auto" w:fill="FFFFFF"/>
        </w:rPr>
        <w:t>The agent confirmed that he was instructed not to participate in the boycott of supplie</w:t>
      </w:r>
      <w:r w:rsidR="00794E72">
        <w:rPr>
          <w:rFonts w:ascii="Times New Roman" w:hAnsi="Times New Roman" w:cs="Times New Roman"/>
          <w:color w:val="000000"/>
          <w:sz w:val="24"/>
          <w:szCs w:val="24"/>
          <w:shd w:val="clear" w:color="auto" w:fill="FFFFFF"/>
        </w:rPr>
        <w:t>r</w:t>
      </w:r>
      <w:r w:rsidR="00132CC9">
        <w:rPr>
          <w:rFonts w:ascii="Times New Roman" w:hAnsi="Times New Roman" w:cs="Times New Roman"/>
          <w:color w:val="000000"/>
          <w:sz w:val="24"/>
          <w:szCs w:val="24"/>
          <w:shd w:val="clear" w:color="auto" w:fill="FFFFFF"/>
        </w:rPr>
        <w:t xml:space="preserve">s that did not contribute. </w:t>
      </w:r>
      <w:proofErr w:type="gramStart"/>
      <w:r w:rsidRPr="0026704A">
        <w:rPr>
          <w:rFonts w:ascii="Times New Roman" w:hAnsi="Times New Roman" w:cs="Times New Roman"/>
          <w:color w:val="000000"/>
          <w:sz w:val="24"/>
          <w:szCs w:val="24"/>
          <w:shd w:val="clear" w:color="auto" w:fill="FFFFFF"/>
        </w:rPr>
        <w:t>“</w:t>
      </w:r>
      <w:proofErr w:type="gramEnd"/>
      <w:r w:rsidRPr="0026704A">
        <w:rPr>
          <w:rFonts w:ascii="Times New Roman" w:hAnsi="Times New Roman" w:cs="Times New Roman"/>
          <w:color w:val="000000"/>
          <w:sz w:val="24"/>
          <w:szCs w:val="24"/>
          <w:shd w:val="clear" w:color="auto" w:fill="FFFFFF"/>
        </w:rPr>
        <w:t>If a violation of the Sherman Act occurs, the corporation, and not the individual agents, will have realized the profits from the illegal activity.”</w:t>
      </w:r>
      <w:r>
        <w:rPr>
          <w:rFonts w:ascii="Times New Roman" w:hAnsi="Times New Roman" w:cs="Times New Roman"/>
          <w:color w:val="000000"/>
          <w:sz w:val="24"/>
          <w:szCs w:val="24"/>
          <w:shd w:val="clear" w:color="auto" w:fill="FFFFFF"/>
        </w:rPr>
        <w:t xml:space="preserve"> </w:t>
      </w:r>
      <w:r w:rsidRPr="0026704A">
        <w:rPr>
          <w:rFonts w:ascii="Times New Roman" w:hAnsi="Times New Roman" w:cs="Times New Roman"/>
          <w:color w:val="000000"/>
          <w:sz w:val="24"/>
          <w:szCs w:val="24"/>
          <w:shd w:val="clear" w:color="auto" w:fill="FFFFFF"/>
        </w:rPr>
        <w:t>(Browning, 1973)</w:t>
      </w:r>
    </w:p>
    <w:p w14:paraId="24CBBCB7" w14:textId="77777777" w:rsidR="00CF2F7D" w:rsidRDefault="00CF2F7D" w:rsidP="007B71DD">
      <w:pPr>
        <w:spacing w:after="120" w:line="480" w:lineRule="auto"/>
        <w:rPr>
          <w:rFonts w:ascii="Georgia" w:hAnsi="Georgia"/>
          <w:color w:val="333333"/>
          <w:sz w:val="23"/>
          <w:szCs w:val="23"/>
        </w:rPr>
      </w:pPr>
      <w:r>
        <w:rPr>
          <w:rFonts w:ascii="Georgia" w:hAnsi="Georgia"/>
          <w:b/>
          <w:bCs/>
          <w:color w:val="333333"/>
          <w:sz w:val="23"/>
          <w:szCs w:val="23"/>
        </w:rPr>
        <w:t>Rule of Law:</w:t>
      </w:r>
    </w:p>
    <w:p w14:paraId="6010E422" w14:textId="3E4F1E3C" w:rsidR="002B65CE" w:rsidRDefault="00794E72" w:rsidP="007B71DD">
      <w:pPr>
        <w:spacing w:after="120" w:line="480" w:lineRule="auto"/>
        <w:rPr>
          <w:rFonts w:ascii="Times New Roman" w:hAnsi="Times New Roman" w:cs="Times New Roman"/>
          <w:color w:val="000000"/>
          <w:sz w:val="24"/>
          <w:szCs w:val="24"/>
          <w:shd w:val="clear" w:color="auto" w:fill="FFFFFF"/>
        </w:rPr>
      </w:pPr>
      <w:r w:rsidRPr="002B65CE">
        <w:rPr>
          <w:rFonts w:ascii="Times New Roman" w:hAnsi="Times New Roman" w:cs="Times New Roman"/>
          <w:color w:val="000000"/>
          <w:sz w:val="24"/>
          <w:szCs w:val="24"/>
          <w:shd w:val="clear" w:color="auto" w:fill="FFFFFF"/>
        </w:rPr>
        <w:t xml:space="preserve">Judgment was affirmed regarding the liability of the company. It was concluded that the actions of the agent are commercial offenses and that the violations are for the benefit of the business. Due to the complex nature of the corporation, the court takes the position that </w:t>
      </w:r>
      <w:r w:rsidR="002B65CE" w:rsidRPr="002B65CE">
        <w:rPr>
          <w:rFonts w:ascii="Times New Roman" w:hAnsi="Times New Roman" w:cs="Times New Roman"/>
          <w:color w:val="000000"/>
          <w:sz w:val="24"/>
          <w:szCs w:val="24"/>
          <w:shd w:val="clear" w:color="auto" w:fill="FFFFFF"/>
        </w:rPr>
        <w:t>pursuing only the agents of the corporation would not be effective in upholding the Sherman Act, 15 U.S.C. Section:1. While agents would be held accountable the corporation would continue to operate under a veil of plausible deniability.</w:t>
      </w:r>
    </w:p>
    <w:p w14:paraId="37136BA8" w14:textId="3332D0C6" w:rsidR="00CF2F7D" w:rsidRPr="002B65CE" w:rsidRDefault="002B65CE" w:rsidP="007B71DD">
      <w:pPr>
        <w:spacing w:after="12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t>
      </w:r>
      <w:r w:rsidR="00794E72" w:rsidRPr="002B65CE">
        <w:rPr>
          <w:rFonts w:ascii="Times New Roman" w:hAnsi="Times New Roman" w:cs="Times New Roman"/>
          <w:color w:val="000000"/>
          <w:sz w:val="24"/>
          <w:szCs w:val="24"/>
          <w:shd w:val="clear" w:color="auto" w:fill="FFFFFF"/>
        </w:rPr>
        <w:t>Even where the agents are identified and prosecuted, it is ineffective as a deterrent as no consequences would befall the corporation itself.</w:t>
      </w:r>
      <w:r>
        <w:rPr>
          <w:rFonts w:ascii="Times New Roman" w:hAnsi="Times New Roman" w:cs="Times New Roman"/>
          <w:color w:val="000000"/>
          <w:sz w:val="24"/>
          <w:szCs w:val="24"/>
          <w:shd w:val="clear" w:color="auto" w:fill="FFFFFF"/>
        </w:rPr>
        <w:t xml:space="preserve">” </w:t>
      </w:r>
      <w:r w:rsidRPr="002B65CE">
        <w:rPr>
          <w:rFonts w:ascii="Times New Roman" w:hAnsi="Times New Roman" w:cs="Times New Roman"/>
          <w:color w:val="000000"/>
          <w:sz w:val="24"/>
          <w:szCs w:val="24"/>
          <w:shd w:val="clear" w:color="auto" w:fill="FFFFFF"/>
        </w:rPr>
        <w:t>("United States v. Hilton Hotels Corp", (n.d.))</w:t>
      </w:r>
    </w:p>
    <w:p w14:paraId="1B7FDE5F" w14:textId="39B2934F" w:rsidR="00794E72" w:rsidRPr="002B65CE" w:rsidRDefault="002B65CE" w:rsidP="007B71DD">
      <w:pPr>
        <w:spacing w:after="12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794E72" w:rsidRPr="002B65CE">
        <w:rPr>
          <w:rFonts w:ascii="Times New Roman" w:hAnsi="Times New Roman" w:cs="Times New Roman"/>
          <w:color w:val="000000"/>
          <w:sz w:val="24"/>
          <w:szCs w:val="24"/>
          <w:shd w:val="clear" w:color="auto" w:fill="FFFFFF"/>
        </w:rPr>
        <w:t>It attempts to maximize the deterrent effect by encouraging corporations to be more diligent in supervising the business activities of its agents done on behalf of the corporation.</w:t>
      </w:r>
      <w:r>
        <w:rPr>
          <w:rFonts w:ascii="Times New Roman" w:hAnsi="Times New Roman" w:cs="Times New Roman"/>
          <w:color w:val="000000"/>
          <w:sz w:val="24"/>
          <w:szCs w:val="24"/>
          <w:shd w:val="clear" w:color="auto" w:fill="FFFFFF"/>
        </w:rPr>
        <w:t xml:space="preserve">” </w:t>
      </w:r>
      <w:r w:rsidRPr="002B65CE">
        <w:rPr>
          <w:rFonts w:ascii="Times New Roman" w:hAnsi="Times New Roman" w:cs="Times New Roman"/>
          <w:color w:val="000000"/>
          <w:sz w:val="24"/>
          <w:szCs w:val="24"/>
          <w:shd w:val="clear" w:color="auto" w:fill="FFFFFF"/>
        </w:rPr>
        <w:t>("United States v. Hilton Hotels Corp", (n.d.))</w:t>
      </w:r>
    </w:p>
    <w:p w14:paraId="7F15E831" w14:textId="77777777" w:rsidR="00CF2F7D" w:rsidRDefault="00CF2F7D" w:rsidP="007B71DD">
      <w:pPr>
        <w:spacing w:after="120" w:line="480" w:lineRule="auto"/>
        <w:rPr>
          <w:rFonts w:ascii="Georgia" w:hAnsi="Georgia"/>
          <w:color w:val="333333"/>
          <w:sz w:val="23"/>
          <w:szCs w:val="23"/>
        </w:rPr>
      </w:pPr>
      <w:r>
        <w:rPr>
          <w:rFonts w:ascii="Georgia" w:hAnsi="Georgia"/>
          <w:b/>
          <w:bCs/>
          <w:color w:val="333333"/>
          <w:sz w:val="23"/>
          <w:szCs w:val="23"/>
        </w:rPr>
        <w:t>Your Response:</w:t>
      </w:r>
    </w:p>
    <w:p w14:paraId="4CB544B9" w14:textId="75FC5D6B" w:rsidR="00CF2F7D" w:rsidRDefault="00BC104E" w:rsidP="00DF3D09">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The Hilton Hotel Corporation exhibited willingness to participate in an agenda to coerce money from suppliers. The corporation was a party of an agreement to </w:t>
      </w:r>
      <w:r w:rsidRPr="00357991">
        <w:rPr>
          <w:rFonts w:ascii="Times New Roman" w:hAnsi="Times New Roman" w:cs="Times New Roman"/>
          <w:sz w:val="24"/>
          <w:szCs w:val="24"/>
        </w:rPr>
        <w:t>give preferential treatment to suppliers that contributed money to the association</w:t>
      </w:r>
      <w:r>
        <w:rPr>
          <w:rFonts w:ascii="Times New Roman" w:hAnsi="Times New Roman" w:cs="Times New Roman"/>
          <w:sz w:val="24"/>
          <w:szCs w:val="24"/>
        </w:rPr>
        <w:t>.</w:t>
      </w:r>
      <w:r w:rsidRPr="00BC104E">
        <w:rPr>
          <w:rFonts w:ascii="Times New Roman" w:hAnsi="Times New Roman" w:cs="Times New Roman"/>
          <w:sz w:val="24"/>
          <w:szCs w:val="24"/>
        </w:rPr>
        <w:t xml:space="preserve"> </w:t>
      </w:r>
      <w:r>
        <w:rPr>
          <w:rFonts w:ascii="Times New Roman" w:hAnsi="Times New Roman" w:cs="Times New Roman"/>
          <w:sz w:val="24"/>
          <w:szCs w:val="24"/>
        </w:rPr>
        <w:t xml:space="preserve">Hilton Hotel Corporation has a corporate policy of not engaging in practices of requesting funds from supplies in exchange for preferential treatment. Cleary the actions of the corporation in </w:t>
      </w:r>
      <w:r w:rsidR="005C4FDA">
        <w:rPr>
          <w:rFonts w:ascii="Times New Roman" w:hAnsi="Times New Roman" w:cs="Times New Roman"/>
          <w:sz w:val="24"/>
          <w:szCs w:val="24"/>
        </w:rPr>
        <w:t xml:space="preserve">supporting the agreement with the association to provide preferential is a violation of their own policy. </w:t>
      </w:r>
    </w:p>
    <w:p w14:paraId="7E4BD985" w14:textId="14C8AF05" w:rsidR="005C4FDA" w:rsidRDefault="005C4FDA" w:rsidP="00DF3D09">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The association went even further to have noncontributing companies boycotted. This strikes me as a form of extortion and restricts freetrade. However, I do believe that every business reserves the right to conduct business with other companies of their </w:t>
      </w:r>
      <w:r w:rsidR="00EE7FA8">
        <w:rPr>
          <w:rFonts w:ascii="Times New Roman" w:hAnsi="Times New Roman" w:cs="Times New Roman"/>
          <w:sz w:val="24"/>
          <w:szCs w:val="24"/>
        </w:rPr>
        <w:t>choosing</w:t>
      </w:r>
      <w:r>
        <w:rPr>
          <w:rFonts w:ascii="Times New Roman" w:hAnsi="Times New Roman" w:cs="Times New Roman"/>
          <w:sz w:val="24"/>
          <w:szCs w:val="24"/>
        </w:rPr>
        <w:t xml:space="preserve">. Hilton Hotel Corporation has a policy </w:t>
      </w:r>
      <w:r w:rsidR="00EE7FA8">
        <w:rPr>
          <w:rFonts w:ascii="Times New Roman" w:hAnsi="Times New Roman" w:cs="Times New Roman"/>
          <w:sz w:val="24"/>
          <w:szCs w:val="24"/>
        </w:rPr>
        <w:t xml:space="preserve">selecting suppliers based on </w:t>
      </w:r>
      <w:r w:rsidR="00EE7FA8" w:rsidRPr="009C5066">
        <w:rPr>
          <w:rFonts w:ascii="Times New Roman" w:hAnsi="Times New Roman" w:cs="Times New Roman"/>
          <w:sz w:val="24"/>
          <w:szCs w:val="24"/>
        </w:rPr>
        <w:t xml:space="preserve">prices and on terms and conditions </w:t>
      </w:r>
      <w:r w:rsidR="00EE7FA8">
        <w:rPr>
          <w:rFonts w:ascii="Times New Roman" w:hAnsi="Times New Roman" w:cs="Times New Roman"/>
          <w:sz w:val="24"/>
          <w:szCs w:val="24"/>
        </w:rPr>
        <w:t>in the spirit of</w:t>
      </w:r>
      <w:r w:rsidR="00EE7FA8" w:rsidRPr="009C5066">
        <w:rPr>
          <w:rFonts w:ascii="Times New Roman" w:hAnsi="Times New Roman" w:cs="Times New Roman"/>
          <w:sz w:val="24"/>
          <w:szCs w:val="24"/>
        </w:rPr>
        <w:t xml:space="preserve"> free competition</w:t>
      </w:r>
      <w:r w:rsidR="00EE7FA8">
        <w:rPr>
          <w:rFonts w:ascii="Times New Roman" w:hAnsi="Times New Roman" w:cs="Times New Roman"/>
          <w:sz w:val="24"/>
          <w:szCs w:val="24"/>
        </w:rPr>
        <w:t>, so it claims. I view what is written in Hilton Hotel Corporat</w:t>
      </w:r>
      <w:r w:rsidR="006F3B60">
        <w:rPr>
          <w:rFonts w:ascii="Times New Roman" w:hAnsi="Times New Roman" w:cs="Times New Roman"/>
          <w:sz w:val="24"/>
          <w:szCs w:val="24"/>
        </w:rPr>
        <w:t>ion</w:t>
      </w:r>
      <w:r w:rsidR="00EE7FA8">
        <w:rPr>
          <w:rFonts w:ascii="Times New Roman" w:hAnsi="Times New Roman" w:cs="Times New Roman"/>
          <w:sz w:val="24"/>
          <w:szCs w:val="24"/>
        </w:rPr>
        <w:t xml:space="preserve"> </w:t>
      </w:r>
      <w:r w:rsidR="006F3B60">
        <w:rPr>
          <w:rFonts w:ascii="Times New Roman" w:hAnsi="Times New Roman" w:cs="Times New Roman"/>
          <w:sz w:val="24"/>
          <w:szCs w:val="24"/>
        </w:rPr>
        <w:t>policy</w:t>
      </w:r>
      <w:r w:rsidR="00EE7FA8">
        <w:rPr>
          <w:rFonts w:ascii="Times New Roman" w:hAnsi="Times New Roman" w:cs="Times New Roman"/>
          <w:sz w:val="24"/>
          <w:szCs w:val="24"/>
        </w:rPr>
        <w:t xml:space="preserve"> and </w:t>
      </w:r>
      <w:r w:rsidR="006F3B60">
        <w:rPr>
          <w:rFonts w:ascii="Times New Roman" w:hAnsi="Times New Roman" w:cs="Times New Roman"/>
          <w:sz w:val="24"/>
          <w:szCs w:val="24"/>
        </w:rPr>
        <w:t>what</w:t>
      </w:r>
      <w:r w:rsidR="00EE7FA8">
        <w:rPr>
          <w:rFonts w:ascii="Times New Roman" w:hAnsi="Times New Roman" w:cs="Times New Roman"/>
          <w:sz w:val="24"/>
          <w:szCs w:val="24"/>
        </w:rPr>
        <w:t xml:space="preserve"> is actually practice are not consistent.</w:t>
      </w:r>
    </w:p>
    <w:p w14:paraId="0287B3FB" w14:textId="0E23C117" w:rsidR="006F3B60" w:rsidRPr="00BC104E" w:rsidRDefault="006F3B60" w:rsidP="00DF3D09">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Perhaps Hilton Hotel Corporation had a change of heart and found its ethical compass and decided to take a different path regarding the entire situation. Such actions appear to be too late for their </w:t>
      </w:r>
      <w:r w:rsidR="00F949E8">
        <w:rPr>
          <w:rFonts w:ascii="Times New Roman" w:hAnsi="Times New Roman" w:cs="Times New Roman"/>
          <w:sz w:val="24"/>
          <w:szCs w:val="24"/>
        </w:rPr>
        <w:t>earlier</w:t>
      </w:r>
      <w:r>
        <w:rPr>
          <w:rFonts w:ascii="Times New Roman" w:hAnsi="Times New Roman" w:cs="Times New Roman"/>
          <w:sz w:val="24"/>
          <w:szCs w:val="24"/>
        </w:rPr>
        <w:t xml:space="preserve"> decision has already set in motion </w:t>
      </w:r>
      <w:r w:rsidR="00F949E8">
        <w:rPr>
          <w:rFonts w:ascii="Times New Roman" w:hAnsi="Times New Roman" w:cs="Times New Roman"/>
          <w:sz w:val="24"/>
          <w:szCs w:val="24"/>
        </w:rPr>
        <w:t xml:space="preserve">events that prove to be detrimental to the business of the suppliers. As seen in the behavior of its agent, the initial position of the </w:t>
      </w:r>
      <w:r w:rsidR="00F949E8">
        <w:rPr>
          <w:rFonts w:ascii="Times New Roman" w:hAnsi="Times New Roman" w:cs="Times New Roman"/>
          <w:sz w:val="24"/>
          <w:szCs w:val="24"/>
        </w:rPr>
        <w:lastRenderedPageBreak/>
        <w:t>corporation had an effect. Hilton Hotel Corporation holds the position that it gave specific instructions to its employees not to take part in the boycott</w:t>
      </w:r>
      <w:r w:rsidR="00D85525">
        <w:rPr>
          <w:rFonts w:ascii="Times New Roman" w:hAnsi="Times New Roman" w:cs="Times New Roman"/>
          <w:sz w:val="24"/>
          <w:szCs w:val="24"/>
        </w:rPr>
        <w:t xml:space="preserve">, but it happened. Should the corporation he held accountable for a seemingly rogue agent? Yes. If punishment is starts and stops with employees, it will create a “catch me if you can” or “don’t get caught” attitude within companies with the corporation denying any knowledge of the </w:t>
      </w:r>
      <w:bookmarkStart w:id="4" w:name="_GoBack"/>
      <w:bookmarkEnd w:id="4"/>
      <w:r w:rsidR="00802D3E">
        <w:rPr>
          <w:rFonts w:ascii="Times New Roman" w:hAnsi="Times New Roman" w:cs="Times New Roman"/>
          <w:sz w:val="24"/>
          <w:szCs w:val="24"/>
        </w:rPr>
        <w:t>agents’</w:t>
      </w:r>
      <w:r w:rsidR="00D85525">
        <w:rPr>
          <w:rFonts w:ascii="Times New Roman" w:hAnsi="Times New Roman" w:cs="Times New Roman"/>
          <w:sz w:val="24"/>
          <w:szCs w:val="24"/>
        </w:rPr>
        <w:t xml:space="preserve"> actions.  The corporation should be held liable in order that it will be prompted to make a serious effort to prevent and stop such behavior. Furthermore, if the corporation itself had not taken the initial position of agreeing to the boycott, then the entire situation would not have manifested. </w:t>
      </w:r>
    </w:p>
    <w:p w14:paraId="06B3DED2" w14:textId="3D77DA28" w:rsidR="009C6F2B" w:rsidRDefault="009C6F2B" w:rsidP="009C6F2B">
      <w:pPr>
        <w:shd w:val="clear" w:color="auto" w:fill="FFFFFF"/>
        <w:spacing w:before="180" w:after="180" w:line="240" w:lineRule="auto"/>
        <w:rPr>
          <w:rFonts w:ascii="Helvetica" w:eastAsia="Times New Roman" w:hAnsi="Helvetica" w:cs="Helvetica"/>
          <w:color w:val="2D3B45"/>
          <w:sz w:val="24"/>
          <w:szCs w:val="24"/>
        </w:rPr>
      </w:pPr>
    </w:p>
    <w:p w14:paraId="39F90F64" w14:textId="77777777" w:rsidR="009C6F2B" w:rsidRPr="00EC509D" w:rsidRDefault="009C6F2B" w:rsidP="009C6F2B">
      <w:pPr>
        <w:shd w:val="clear" w:color="auto" w:fill="FFFFFF"/>
        <w:spacing w:before="180" w:after="180" w:line="240" w:lineRule="auto"/>
        <w:rPr>
          <w:rFonts w:ascii="Helvetica" w:eastAsia="Times New Roman" w:hAnsi="Helvetica" w:cs="Helvetica"/>
          <w:color w:val="2D3B45"/>
          <w:sz w:val="24"/>
          <w:szCs w:val="24"/>
        </w:rPr>
      </w:pPr>
    </w:p>
    <w:p w14:paraId="3776C0B8" w14:textId="7328A1B7" w:rsidR="00CF13D4" w:rsidRPr="00707686" w:rsidRDefault="00CF13D4" w:rsidP="00DF3D09">
      <w:pPr>
        <w:spacing w:after="160" w:line="480" w:lineRule="auto"/>
        <w:rPr>
          <w:rFonts w:ascii="Times New Roman" w:hAnsi="Times New Roman" w:cs="Times New Roman"/>
          <w:sz w:val="24"/>
          <w:szCs w:val="24"/>
        </w:rPr>
      </w:pPr>
      <w:r w:rsidRPr="00707686">
        <w:rPr>
          <w:b/>
          <w:bCs/>
          <w:sz w:val="24"/>
          <w:szCs w:val="24"/>
        </w:rPr>
        <w:br w:type="page"/>
      </w:r>
    </w:p>
    <w:p w14:paraId="1CF0D702" w14:textId="313F2552" w:rsidR="007E0C4A" w:rsidRDefault="007E0C4A" w:rsidP="00DE4B52">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17890A13" w14:textId="61D03391" w:rsidR="00A81082" w:rsidRDefault="00A81082" w:rsidP="00DF3D09">
      <w:pPr>
        <w:shd w:val="clear" w:color="auto" w:fill="FFFFFF"/>
        <w:spacing w:line="240" w:lineRule="auto"/>
        <w:ind w:left="15"/>
        <w:rPr>
          <w:rFonts w:ascii="Times New Roman" w:hAnsi="Times New Roman" w:cs="Times New Roman"/>
          <w:sz w:val="24"/>
          <w:szCs w:val="24"/>
        </w:rPr>
      </w:pPr>
      <w:r w:rsidRPr="00A81082">
        <w:rPr>
          <w:rFonts w:ascii="Times New Roman" w:hAnsi="Times New Roman" w:cs="Times New Roman"/>
          <w:sz w:val="24"/>
          <w:szCs w:val="24"/>
        </w:rPr>
        <w:t>15 U.S. Code § 1 - Trusts, etc., in restraint of trade illegal; penalty. (n.d.). Retrieved March 21, 2020, from https://www.law.cornell.edu/uscode/text/15/1</w:t>
      </w:r>
    </w:p>
    <w:p w14:paraId="7349D920" w14:textId="017F9BCF" w:rsidR="009678AB" w:rsidRDefault="009678AB" w:rsidP="00DF3D09">
      <w:pPr>
        <w:shd w:val="clear" w:color="auto" w:fill="FFFFFF"/>
        <w:spacing w:line="240" w:lineRule="auto"/>
        <w:ind w:left="15"/>
        <w:rPr>
          <w:rFonts w:ascii="Times New Roman" w:hAnsi="Times New Roman" w:cs="Times New Roman"/>
          <w:sz w:val="24"/>
          <w:szCs w:val="24"/>
        </w:rPr>
      </w:pPr>
      <w:r w:rsidRPr="009678AB">
        <w:rPr>
          <w:rFonts w:ascii="Times New Roman" w:hAnsi="Times New Roman" w:cs="Times New Roman"/>
          <w:sz w:val="24"/>
          <w:szCs w:val="24"/>
        </w:rPr>
        <w:t>Browning. (1973, January 15). United States v. Hilton Hotels Corporation. Retrieved from https://casetext.com/case/united-states-v-hilton-hotels-corporation</w:t>
      </w:r>
    </w:p>
    <w:p w14:paraId="29FA95FB" w14:textId="17C896F9" w:rsidR="00A81082" w:rsidRDefault="00A81082" w:rsidP="00DF3D09">
      <w:pPr>
        <w:shd w:val="clear" w:color="auto" w:fill="FFFFFF"/>
        <w:spacing w:line="240" w:lineRule="auto"/>
        <w:ind w:left="15"/>
        <w:rPr>
          <w:rFonts w:ascii="Times New Roman" w:hAnsi="Times New Roman" w:cs="Times New Roman"/>
          <w:sz w:val="24"/>
          <w:szCs w:val="24"/>
        </w:rPr>
      </w:pPr>
      <w:r w:rsidRPr="00A81082">
        <w:rPr>
          <w:rFonts w:ascii="Times New Roman" w:hAnsi="Times New Roman" w:cs="Times New Roman"/>
          <w:sz w:val="24"/>
          <w:szCs w:val="24"/>
        </w:rPr>
        <w:t>Browse cases. (n.d.). Retrieved March 21, 2020, from https://www.casemine.com/judgement/us/5914c6fcadd7b049347df4d9</w:t>
      </w:r>
    </w:p>
    <w:p w14:paraId="61027FF4" w14:textId="7E3F21E4" w:rsidR="002C7417" w:rsidRDefault="002C7417" w:rsidP="00DF3D09">
      <w:pPr>
        <w:shd w:val="clear" w:color="auto" w:fill="FFFFFF"/>
        <w:spacing w:line="240" w:lineRule="auto"/>
        <w:ind w:left="15"/>
        <w:rPr>
          <w:rFonts w:ascii="Times New Roman" w:hAnsi="Times New Roman" w:cs="Times New Roman"/>
          <w:sz w:val="24"/>
          <w:szCs w:val="24"/>
        </w:rPr>
      </w:pPr>
      <w:r w:rsidRPr="002C7417">
        <w:rPr>
          <w:rFonts w:ascii="Times New Roman" w:hAnsi="Times New Roman" w:cs="Times New Roman"/>
          <w:sz w:val="24"/>
          <w:szCs w:val="24"/>
        </w:rPr>
        <w:t>Taylor, B. (n.d.). economics.fundamentalfinance.com. Retrieved March 21, 2020, from http://economics.fundamentalfinance.com/sherman-act.php</w:t>
      </w:r>
    </w:p>
    <w:p w14:paraId="1EBFCE64" w14:textId="588AD461" w:rsidR="00EE5257" w:rsidRDefault="00DF3D09" w:rsidP="00DF3D09">
      <w:pPr>
        <w:shd w:val="clear" w:color="auto" w:fill="FFFFFF"/>
        <w:spacing w:line="240" w:lineRule="auto"/>
        <w:ind w:left="15"/>
        <w:rPr>
          <w:rFonts w:ascii="Times New Roman" w:hAnsi="Times New Roman" w:cs="Times New Roman"/>
          <w:sz w:val="24"/>
          <w:szCs w:val="24"/>
        </w:rPr>
      </w:pPr>
      <w:r w:rsidRPr="00DF3D09">
        <w:rPr>
          <w:rFonts w:ascii="Times New Roman" w:hAnsi="Times New Roman" w:cs="Times New Roman"/>
          <w:sz w:val="24"/>
          <w:szCs w:val="24"/>
        </w:rPr>
        <w:t>United States v. Hilton Hotels Corp</w:t>
      </w:r>
      <w:r>
        <w:rPr>
          <w:rFonts w:ascii="Times New Roman" w:hAnsi="Times New Roman" w:cs="Times New Roman"/>
          <w:sz w:val="24"/>
          <w:szCs w:val="24"/>
        </w:rPr>
        <w:t>.,</w:t>
      </w:r>
      <w:r w:rsidRPr="00DF3D09">
        <w:rPr>
          <w:rFonts w:ascii="Times New Roman" w:hAnsi="Times New Roman" w:cs="Times New Roman"/>
          <w:sz w:val="24"/>
          <w:szCs w:val="24"/>
        </w:rPr>
        <w:t xml:space="preserve"> 22 Ill.459 U.S. 1036, 103 S. Ct. 446, 74 L. Ed. 2d 602 (1982)</w:t>
      </w:r>
    </w:p>
    <w:p w14:paraId="385B585B" w14:textId="7846F9A7" w:rsidR="004E1D9E" w:rsidRDefault="004E1D9E" w:rsidP="00DF3D09">
      <w:pPr>
        <w:shd w:val="clear" w:color="auto" w:fill="FFFFFF"/>
        <w:spacing w:line="240" w:lineRule="auto"/>
        <w:ind w:left="15"/>
        <w:rPr>
          <w:rFonts w:ascii="Times New Roman" w:hAnsi="Times New Roman" w:cs="Times New Roman"/>
          <w:sz w:val="24"/>
          <w:szCs w:val="24"/>
        </w:rPr>
      </w:pPr>
      <w:r w:rsidRPr="004E1D9E">
        <w:rPr>
          <w:rFonts w:ascii="Times New Roman" w:hAnsi="Times New Roman" w:cs="Times New Roman"/>
          <w:sz w:val="24"/>
          <w:szCs w:val="24"/>
        </w:rPr>
        <w:t>United States v. Hilton Hotels Corp. (n.d.). Retrieved March 21, 2020, from https://www.casebriefs.com/blog/law/criminal-law/criminal-law-keyed-to-kadish/group-criminality/united-states-v-hilton-hotels-corp/</w:t>
      </w:r>
    </w:p>
    <w:p w14:paraId="55E464F1" w14:textId="1A9D8ABA" w:rsidR="00A81082" w:rsidRPr="005E785E" w:rsidRDefault="00A81082" w:rsidP="00DF3D09">
      <w:pPr>
        <w:shd w:val="clear" w:color="auto" w:fill="FFFFFF"/>
        <w:spacing w:line="240" w:lineRule="auto"/>
        <w:ind w:left="15"/>
        <w:rPr>
          <w:rFonts w:ascii="Times New Roman" w:hAnsi="Times New Roman" w:cs="Times New Roman"/>
          <w:sz w:val="24"/>
          <w:szCs w:val="24"/>
        </w:rPr>
      </w:pPr>
      <w:r w:rsidRPr="00A81082">
        <w:rPr>
          <w:rFonts w:ascii="Times New Roman" w:hAnsi="Times New Roman" w:cs="Times New Roman"/>
          <w:sz w:val="24"/>
          <w:szCs w:val="24"/>
        </w:rPr>
        <w:t>United States v. Hilton Hotels Corp., 467 F.2d 1000 (9th Cir. 1973). (n.d.). Retrieved March 21, 2020, from https://law.justia.com/cases/federal/appellate-courts/F2/467/1000/154124/</w:t>
      </w:r>
    </w:p>
    <w:sectPr w:rsidR="00A81082" w:rsidRPr="005E785E"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932BF" w14:textId="77777777" w:rsidR="00314DC1" w:rsidRDefault="00314DC1" w:rsidP="005052E1">
      <w:pPr>
        <w:spacing w:after="0" w:line="240" w:lineRule="auto"/>
      </w:pPr>
      <w:r>
        <w:separator/>
      </w:r>
    </w:p>
  </w:endnote>
  <w:endnote w:type="continuationSeparator" w:id="0">
    <w:p w14:paraId="0016E321" w14:textId="77777777" w:rsidR="00314DC1" w:rsidRDefault="00314DC1"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A4EF6" w14:textId="77777777" w:rsidR="00314DC1" w:rsidRDefault="00314DC1" w:rsidP="005052E1">
      <w:pPr>
        <w:spacing w:after="0" w:line="240" w:lineRule="auto"/>
      </w:pPr>
      <w:r>
        <w:separator/>
      </w:r>
    </w:p>
  </w:footnote>
  <w:footnote w:type="continuationSeparator" w:id="0">
    <w:p w14:paraId="6F005DDD" w14:textId="77777777" w:rsidR="00314DC1" w:rsidRDefault="00314DC1"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6984" w14:textId="18E98EFC" w:rsidR="006F3B60" w:rsidRPr="00C3654E" w:rsidRDefault="006F3B60" w:rsidP="00C3654E">
    <w:pPr>
      <w:pStyle w:val="Header"/>
    </w:pPr>
    <w:r w:rsidRPr="00C3654E">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3</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25B6"/>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253637A7"/>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1381F22"/>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06CCA"/>
    <w:rsid w:val="00012637"/>
    <w:rsid w:val="00021705"/>
    <w:rsid w:val="00024C47"/>
    <w:rsid w:val="0003738B"/>
    <w:rsid w:val="00040AE9"/>
    <w:rsid w:val="00040EE2"/>
    <w:rsid w:val="0004225F"/>
    <w:rsid w:val="00045CAD"/>
    <w:rsid w:val="00051163"/>
    <w:rsid w:val="00060AE2"/>
    <w:rsid w:val="000655FA"/>
    <w:rsid w:val="0006596F"/>
    <w:rsid w:val="000711C1"/>
    <w:rsid w:val="00071713"/>
    <w:rsid w:val="00085DAB"/>
    <w:rsid w:val="00090404"/>
    <w:rsid w:val="00090A8E"/>
    <w:rsid w:val="00094784"/>
    <w:rsid w:val="0009699E"/>
    <w:rsid w:val="000A5D21"/>
    <w:rsid w:val="000B07D9"/>
    <w:rsid w:val="000B2783"/>
    <w:rsid w:val="000B3BCF"/>
    <w:rsid w:val="000C0CD5"/>
    <w:rsid w:val="000C16F1"/>
    <w:rsid w:val="000C7B8B"/>
    <w:rsid w:val="000C7CCB"/>
    <w:rsid w:val="000D0886"/>
    <w:rsid w:val="000D21F9"/>
    <w:rsid w:val="000D3B20"/>
    <w:rsid w:val="000E08E1"/>
    <w:rsid w:val="000E1BE3"/>
    <w:rsid w:val="000E3B89"/>
    <w:rsid w:val="000E3D54"/>
    <w:rsid w:val="000F1574"/>
    <w:rsid w:val="000F366B"/>
    <w:rsid w:val="000F3EBE"/>
    <w:rsid w:val="000F5819"/>
    <w:rsid w:val="000F75C1"/>
    <w:rsid w:val="00100FF2"/>
    <w:rsid w:val="00106444"/>
    <w:rsid w:val="0010788C"/>
    <w:rsid w:val="00110E7D"/>
    <w:rsid w:val="00111499"/>
    <w:rsid w:val="001175E6"/>
    <w:rsid w:val="00125A71"/>
    <w:rsid w:val="00132CC9"/>
    <w:rsid w:val="00133486"/>
    <w:rsid w:val="00146EF2"/>
    <w:rsid w:val="00147ECD"/>
    <w:rsid w:val="001560C6"/>
    <w:rsid w:val="00160551"/>
    <w:rsid w:val="00161942"/>
    <w:rsid w:val="00161DE1"/>
    <w:rsid w:val="001626D9"/>
    <w:rsid w:val="00173682"/>
    <w:rsid w:val="00177551"/>
    <w:rsid w:val="00183AF5"/>
    <w:rsid w:val="001955EC"/>
    <w:rsid w:val="001A3F4B"/>
    <w:rsid w:val="001A695A"/>
    <w:rsid w:val="001B294E"/>
    <w:rsid w:val="001B3103"/>
    <w:rsid w:val="001B5793"/>
    <w:rsid w:val="001C7AC4"/>
    <w:rsid w:val="001E2613"/>
    <w:rsid w:val="0020118D"/>
    <w:rsid w:val="0020331D"/>
    <w:rsid w:val="00204006"/>
    <w:rsid w:val="00204974"/>
    <w:rsid w:val="00204A84"/>
    <w:rsid w:val="00205F04"/>
    <w:rsid w:val="00214EAE"/>
    <w:rsid w:val="00214F26"/>
    <w:rsid w:val="00215457"/>
    <w:rsid w:val="0021579F"/>
    <w:rsid w:val="002157E2"/>
    <w:rsid w:val="00220317"/>
    <w:rsid w:val="00230F47"/>
    <w:rsid w:val="00240535"/>
    <w:rsid w:val="00242142"/>
    <w:rsid w:val="002428DA"/>
    <w:rsid w:val="00243420"/>
    <w:rsid w:val="00244948"/>
    <w:rsid w:val="00250F15"/>
    <w:rsid w:val="00251847"/>
    <w:rsid w:val="00257722"/>
    <w:rsid w:val="0025799B"/>
    <w:rsid w:val="00266BC8"/>
    <w:rsid w:val="0026704A"/>
    <w:rsid w:val="00267669"/>
    <w:rsid w:val="00272C6B"/>
    <w:rsid w:val="00275E94"/>
    <w:rsid w:val="0028081A"/>
    <w:rsid w:val="002842BB"/>
    <w:rsid w:val="0029576D"/>
    <w:rsid w:val="002A0C8E"/>
    <w:rsid w:val="002A1BAD"/>
    <w:rsid w:val="002A32A8"/>
    <w:rsid w:val="002A3E32"/>
    <w:rsid w:val="002A4F23"/>
    <w:rsid w:val="002B65CE"/>
    <w:rsid w:val="002C7417"/>
    <w:rsid w:val="002D0FAD"/>
    <w:rsid w:val="002D16C6"/>
    <w:rsid w:val="002E2351"/>
    <w:rsid w:val="002E6336"/>
    <w:rsid w:val="002F3578"/>
    <w:rsid w:val="002F592D"/>
    <w:rsid w:val="002F5D83"/>
    <w:rsid w:val="002F76E1"/>
    <w:rsid w:val="003014D8"/>
    <w:rsid w:val="003027A1"/>
    <w:rsid w:val="003027BE"/>
    <w:rsid w:val="00304A27"/>
    <w:rsid w:val="00306721"/>
    <w:rsid w:val="00310C94"/>
    <w:rsid w:val="0031117D"/>
    <w:rsid w:val="0031230E"/>
    <w:rsid w:val="00314DC1"/>
    <w:rsid w:val="003158BC"/>
    <w:rsid w:val="00316CB0"/>
    <w:rsid w:val="00317522"/>
    <w:rsid w:val="00322043"/>
    <w:rsid w:val="00327A11"/>
    <w:rsid w:val="00331407"/>
    <w:rsid w:val="00335F47"/>
    <w:rsid w:val="003376D4"/>
    <w:rsid w:val="00340E6D"/>
    <w:rsid w:val="003443EA"/>
    <w:rsid w:val="00345B52"/>
    <w:rsid w:val="00345DB8"/>
    <w:rsid w:val="003506D0"/>
    <w:rsid w:val="00351205"/>
    <w:rsid w:val="00357991"/>
    <w:rsid w:val="00360703"/>
    <w:rsid w:val="00360E8C"/>
    <w:rsid w:val="003615DF"/>
    <w:rsid w:val="00364C16"/>
    <w:rsid w:val="00364FE2"/>
    <w:rsid w:val="00365707"/>
    <w:rsid w:val="00371471"/>
    <w:rsid w:val="0037570D"/>
    <w:rsid w:val="00377C89"/>
    <w:rsid w:val="00380317"/>
    <w:rsid w:val="0038117A"/>
    <w:rsid w:val="00383A2C"/>
    <w:rsid w:val="00384C40"/>
    <w:rsid w:val="00392091"/>
    <w:rsid w:val="00394666"/>
    <w:rsid w:val="003B215A"/>
    <w:rsid w:val="003B58BE"/>
    <w:rsid w:val="003B762C"/>
    <w:rsid w:val="003C1EBB"/>
    <w:rsid w:val="003C3F6D"/>
    <w:rsid w:val="003C5A97"/>
    <w:rsid w:val="003D1BC4"/>
    <w:rsid w:val="003D5D6B"/>
    <w:rsid w:val="003D68B8"/>
    <w:rsid w:val="003E3BBF"/>
    <w:rsid w:val="003E4B56"/>
    <w:rsid w:val="003E7E7B"/>
    <w:rsid w:val="003F27D1"/>
    <w:rsid w:val="003F3D72"/>
    <w:rsid w:val="003F3DA6"/>
    <w:rsid w:val="00403FC1"/>
    <w:rsid w:val="0040421B"/>
    <w:rsid w:val="0040797B"/>
    <w:rsid w:val="00407D35"/>
    <w:rsid w:val="00421998"/>
    <w:rsid w:val="00424AF8"/>
    <w:rsid w:val="00425FB4"/>
    <w:rsid w:val="00427DC2"/>
    <w:rsid w:val="00431431"/>
    <w:rsid w:val="0043419C"/>
    <w:rsid w:val="004344F7"/>
    <w:rsid w:val="004451A3"/>
    <w:rsid w:val="00446BB6"/>
    <w:rsid w:val="004502D5"/>
    <w:rsid w:val="00454089"/>
    <w:rsid w:val="00455A46"/>
    <w:rsid w:val="004571B9"/>
    <w:rsid w:val="00467DBB"/>
    <w:rsid w:val="00470615"/>
    <w:rsid w:val="00471B9B"/>
    <w:rsid w:val="0047524E"/>
    <w:rsid w:val="00477757"/>
    <w:rsid w:val="0047789F"/>
    <w:rsid w:val="00477C7F"/>
    <w:rsid w:val="004863D5"/>
    <w:rsid w:val="0048798E"/>
    <w:rsid w:val="00493A88"/>
    <w:rsid w:val="004968E9"/>
    <w:rsid w:val="004A0E26"/>
    <w:rsid w:val="004A127E"/>
    <w:rsid w:val="004A2674"/>
    <w:rsid w:val="004A5DC4"/>
    <w:rsid w:val="004A7E6B"/>
    <w:rsid w:val="004B1D95"/>
    <w:rsid w:val="004B5358"/>
    <w:rsid w:val="004B6A11"/>
    <w:rsid w:val="004C1FD4"/>
    <w:rsid w:val="004C5C73"/>
    <w:rsid w:val="004C6110"/>
    <w:rsid w:val="004C66AA"/>
    <w:rsid w:val="004D0230"/>
    <w:rsid w:val="004D4860"/>
    <w:rsid w:val="004E1D9E"/>
    <w:rsid w:val="004E6C8B"/>
    <w:rsid w:val="004E7094"/>
    <w:rsid w:val="004F0CF6"/>
    <w:rsid w:val="004F15D9"/>
    <w:rsid w:val="004F4827"/>
    <w:rsid w:val="004F5257"/>
    <w:rsid w:val="00502C81"/>
    <w:rsid w:val="0050389B"/>
    <w:rsid w:val="005047C6"/>
    <w:rsid w:val="005052E1"/>
    <w:rsid w:val="00510B39"/>
    <w:rsid w:val="00511B1D"/>
    <w:rsid w:val="00514333"/>
    <w:rsid w:val="00517DCF"/>
    <w:rsid w:val="00517EA4"/>
    <w:rsid w:val="0052072E"/>
    <w:rsid w:val="00520993"/>
    <w:rsid w:val="00520A96"/>
    <w:rsid w:val="00523891"/>
    <w:rsid w:val="005274F7"/>
    <w:rsid w:val="00534D28"/>
    <w:rsid w:val="0053542B"/>
    <w:rsid w:val="00537E7E"/>
    <w:rsid w:val="005407A0"/>
    <w:rsid w:val="00545AAE"/>
    <w:rsid w:val="00547ED7"/>
    <w:rsid w:val="00551159"/>
    <w:rsid w:val="00551C9A"/>
    <w:rsid w:val="00556622"/>
    <w:rsid w:val="00557F5D"/>
    <w:rsid w:val="00560182"/>
    <w:rsid w:val="005606F9"/>
    <w:rsid w:val="00565BE4"/>
    <w:rsid w:val="00566835"/>
    <w:rsid w:val="00570076"/>
    <w:rsid w:val="0057057A"/>
    <w:rsid w:val="00570AC0"/>
    <w:rsid w:val="005718E4"/>
    <w:rsid w:val="00571C68"/>
    <w:rsid w:val="0057519F"/>
    <w:rsid w:val="00575ECF"/>
    <w:rsid w:val="00576038"/>
    <w:rsid w:val="00576669"/>
    <w:rsid w:val="00580530"/>
    <w:rsid w:val="00582B59"/>
    <w:rsid w:val="005924D5"/>
    <w:rsid w:val="005931EF"/>
    <w:rsid w:val="005B2ED3"/>
    <w:rsid w:val="005B41AF"/>
    <w:rsid w:val="005B55E8"/>
    <w:rsid w:val="005C44B9"/>
    <w:rsid w:val="005C4FDA"/>
    <w:rsid w:val="005D0D13"/>
    <w:rsid w:val="005E2245"/>
    <w:rsid w:val="005E2B8F"/>
    <w:rsid w:val="005E4DC5"/>
    <w:rsid w:val="005E785E"/>
    <w:rsid w:val="005F0A15"/>
    <w:rsid w:val="00601081"/>
    <w:rsid w:val="00601EEA"/>
    <w:rsid w:val="00606A09"/>
    <w:rsid w:val="00607693"/>
    <w:rsid w:val="00611592"/>
    <w:rsid w:val="00613C4D"/>
    <w:rsid w:val="00617ADC"/>
    <w:rsid w:val="00622EDA"/>
    <w:rsid w:val="0062374E"/>
    <w:rsid w:val="00624A1F"/>
    <w:rsid w:val="00627EDF"/>
    <w:rsid w:val="00630C54"/>
    <w:rsid w:val="00634E92"/>
    <w:rsid w:val="00636748"/>
    <w:rsid w:val="006375B2"/>
    <w:rsid w:val="006428AB"/>
    <w:rsid w:val="00642A1D"/>
    <w:rsid w:val="00643E9B"/>
    <w:rsid w:val="00646E9F"/>
    <w:rsid w:val="00651149"/>
    <w:rsid w:val="00651A48"/>
    <w:rsid w:val="00651A79"/>
    <w:rsid w:val="00654B27"/>
    <w:rsid w:val="00655BA3"/>
    <w:rsid w:val="00663104"/>
    <w:rsid w:val="006652B4"/>
    <w:rsid w:val="006703DE"/>
    <w:rsid w:val="006754BB"/>
    <w:rsid w:val="006811D4"/>
    <w:rsid w:val="0068192F"/>
    <w:rsid w:val="006870E5"/>
    <w:rsid w:val="0069679D"/>
    <w:rsid w:val="00697C1A"/>
    <w:rsid w:val="006A31FE"/>
    <w:rsid w:val="006A5B44"/>
    <w:rsid w:val="006B6FAD"/>
    <w:rsid w:val="006C1908"/>
    <w:rsid w:val="006C231E"/>
    <w:rsid w:val="006C29C0"/>
    <w:rsid w:val="006C33F8"/>
    <w:rsid w:val="006C3955"/>
    <w:rsid w:val="006C46F1"/>
    <w:rsid w:val="006D2CDC"/>
    <w:rsid w:val="006D5942"/>
    <w:rsid w:val="006D7546"/>
    <w:rsid w:val="006F0B2E"/>
    <w:rsid w:val="006F3B60"/>
    <w:rsid w:val="006F5787"/>
    <w:rsid w:val="00700F5B"/>
    <w:rsid w:val="0070297C"/>
    <w:rsid w:val="00703875"/>
    <w:rsid w:val="00705ECE"/>
    <w:rsid w:val="00707686"/>
    <w:rsid w:val="0071300D"/>
    <w:rsid w:val="0071348C"/>
    <w:rsid w:val="00715D73"/>
    <w:rsid w:val="007205B6"/>
    <w:rsid w:val="007236EF"/>
    <w:rsid w:val="007251C3"/>
    <w:rsid w:val="007251C6"/>
    <w:rsid w:val="00725566"/>
    <w:rsid w:val="00727C24"/>
    <w:rsid w:val="007346B9"/>
    <w:rsid w:val="00736AC4"/>
    <w:rsid w:val="0074464A"/>
    <w:rsid w:val="00746FCE"/>
    <w:rsid w:val="0074729D"/>
    <w:rsid w:val="0074799E"/>
    <w:rsid w:val="00750C44"/>
    <w:rsid w:val="007510CC"/>
    <w:rsid w:val="00752283"/>
    <w:rsid w:val="00752FDC"/>
    <w:rsid w:val="00754ED2"/>
    <w:rsid w:val="0075512D"/>
    <w:rsid w:val="00755C80"/>
    <w:rsid w:val="0075767F"/>
    <w:rsid w:val="0075793F"/>
    <w:rsid w:val="007641F1"/>
    <w:rsid w:val="007655C3"/>
    <w:rsid w:val="00774932"/>
    <w:rsid w:val="00775821"/>
    <w:rsid w:val="00775C67"/>
    <w:rsid w:val="007810ED"/>
    <w:rsid w:val="00782D68"/>
    <w:rsid w:val="007832DD"/>
    <w:rsid w:val="007833F8"/>
    <w:rsid w:val="007845D3"/>
    <w:rsid w:val="00785356"/>
    <w:rsid w:val="00785597"/>
    <w:rsid w:val="00786C61"/>
    <w:rsid w:val="00790387"/>
    <w:rsid w:val="0079157D"/>
    <w:rsid w:val="00791960"/>
    <w:rsid w:val="007920A0"/>
    <w:rsid w:val="00794E72"/>
    <w:rsid w:val="007A22D8"/>
    <w:rsid w:val="007A4C9E"/>
    <w:rsid w:val="007B12BC"/>
    <w:rsid w:val="007B6F69"/>
    <w:rsid w:val="007B71DD"/>
    <w:rsid w:val="007C7E43"/>
    <w:rsid w:val="007D5A48"/>
    <w:rsid w:val="007E0C4A"/>
    <w:rsid w:val="007E2A80"/>
    <w:rsid w:val="007E3FD3"/>
    <w:rsid w:val="007F075C"/>
    <w:rsid w:val="007F4F85"/>
    <w:rsid w:val="007F5E57"/>
    <w:rsid w:val="007F6A26"/>
    <w:rsid w:val="00801038"/>
    <w:rsid w:val="00802D3E"/>
    <w:rsid w:val="00804043"/>
    <w:rsid w:val="00811A9B"/>
    <w:rsid w:val="008125AE"/>
    <w:rsid w:val="008127AD"/>
    <w:rsid w:val="0081326F"/>
    <w:rsid w:val="00816439"/>
    <w:rsid w:val="008262D0"/>
    <w:rsid w:val="00834E33"/>
    <w:rsid w:val="008379C5"/>
    <w:rsid w:val="008530B8"/>
    <w:rsid w:val="00864F5E"/>
    <w:rsid w:val="0086519F"/>
    <w:rsid w:val="00874C32"/>
    <w:rsid w:val="00877D40"/>
    <w:rsid w:val="00883885"/>
    <w:rsid w:val="008858FF"/>
    <w:rsid w:val="00885C3A"/>
    <w:rsid w:val="008942AF"/>
    <w:rsid w:val="00896DD6"/>
    <w:rsid w:val="008B136B"/>
    <w:rsid w:val="008B1E79"/>
    <w:rsid w:val="008B2449"/>
    <w:rsid w:val="008C3328"/>
    <w:rsid w:val="008C46A9"/>
    <w:rsid w:val="008D0680"/>
    <w:rsid w:val="008D1132"/>
    <w:rsid w:val="008D5A12"/>
    <w:rsid w:val="008D6573"/>
    <w:rsid w:val="008E6352"/>
    <w:rsid w:val="008F0035"/>
    <w:rsid w:val="008F7CE0"/>
    <w:rsid w:val="00905893"/>
    <w:rsid w:val="009225D5"/>
    <w:rsid w:val="009265DC"/>
    <w:rsid w:val="00930AAC"/>
    <w:rsid w:val="00934E78"/>
    <w:rsid w:val="0093562D"/>
    <w:rsid w:val="00937355"/>
    <w:rsid w:val="00943AED"/>
    <w:rsid w:val="009515A8"/>
    <w:rsid w:val="0095655E"/>
    <w:rsid w:val="009566EA"/>
    <w:rsid w:val="00963A88"/>
    <w:rsid w:val="009678AB"/>
    <w:rsid w:val="00974B2F"/>
    <w:rsid w:val="00976231"/>
    <w:rsid w:val="00986F76"/>
    <w:rsid w:val="00992A67"/>
    <w:rsid w:val="00992DF2"/>
    <w:rsid w:val="0099458B"/>
    <w:rsid w:val="0099527E"/>
    <w:rsid w:val="00995A8D"/>
    <w:rsid w:val="009970D3"/>
    <w:rsid w:val="009A3DBC"/>
    <w:rsid w:val="009A435D"/>
    <w:rsid w:val="009A66FC"/>
    <w:rsid w:val="009B24D6"/>
    <w:rsid w:val="009B5648"/>
    <w:rsid w:val="009C1950"/>
    <w:rsid w:val="009C1E80"/>
    <w:rsid w:val="009C2837"/>
    <w:rsid w:val="009C5066"/>
    <w:rsid w:val="009C624F"/>
    <w:rsid w:val="009C6F2B"/>
    <w:rsid w:val="009D1435"/>
    <w:rsid w:val="009D2335"/>
    <w:rsid w:val="009D53E9"/>
    <w:rsid w:val="009E310C"/>
    <w:rsid w:val="009E34B7"/>
    <w:rsid w:val="009E77C0"/>
    <w:rsid w:val="009F238F"/>
    <w:rsid w:val="009F3623"/>
    <w:rsid w:val="009F754F"/>
    <w:rsid w:val="009F7844"/>
    <w:rsid w:val="00A00EDA"/>
    <w:rsid w:val="00A12140"/>
    <w:rsid w:val="00A14871"/>
    <w:rsid w:val="00A21525"/>
    <w:rsid w:val="00A3247E"/>
    <w:rsid w:val="00A3349D"/>
    <w:rsid w:val="00A37924"/>
    <w:rsid w:val="00A41728"/>
    <w:rsid w:val="00A506A7"/>
    <w:rsid w:val="00A50D03"/>
    <w:rsid w:val="00A574B4"/>
    <w:rsid w:val="00A615ED"/>
    <w:rsid w:val="00A648C3"/>
    <w:rsid w:val="00A65DA8"/>
    <w:rsid w:val="00A7454E"/>
    <w:rsid w:val="00A8057E"/>
    <w:rsid w:val="00A81082"/>
    <w:rsid w:val="00A83E1E"/>
    <w:rsid w:val="00A87EBA"/>
    <w:rsid w:val="00A9237D"/>
    <w:rsid w:val="00A92A9B"/>
    <w:rsid w:val="00A92F19"/>
    <w:rsid w:val="00A93E3C"/>
    <w:rsid w:val="00A956E0"/>
    <w:rsid w:val="00AB289A"/>
    <w:rsid w:val="00AB60AE"/>
    <w:rsid w:val="00AB788F"/>
    <w:rsid w:val="00AB7E18"/>
    <w:rsid w:val="00AC2D82"/>
    <w:rsid w:val="00AC56DD"/>
    <w:rsid w:val="00AC638C"/>
    <w:rsid w:val="00AC795E"/>
    <w:rsid w:val="00AD5C34"/>
    <w:rsid w:val="00AD7E9D"/>
    <w:rsid w:val="00AE5438"/>
    <w:rsid w:val="00AE729A"/>
    <w:rsid w:val="00AF02AD"/>
    <w:rsid w:val="00AF2610"/>
    <w:rsid w:val="00AF2EF4"/>
    <w:rsid w:val="00AF3A01"/>
    <w:rsid w:val="00B020B0"/>
    <w:rsid w:val="00B05736"/>
    <w:rsid w:val="00B108D1"/>
    <w:rsid w:val="00B11E75"/>
    <w:rsid w:val="00B17339"/>
    <w:rsid w:val="00B17BF3"/>
    <w:rsid w:val="00B20045"/>
    <w:rsid w:val="00B25D7D"/>
    <w:rsid w:val="00B30839"/>
    <w:rsid w:val="00B3392C"/>
    <w:rsid w:val="00B351FB"/>
    <w:rsid w:val="00B3636B"/>
    <w:rsid w:val="00B3772C"/>
    <w:rsid w:val="00B45289"/>
    <w:rsid w:val="00B4596B"/>
    <w:rsid w:val="00B462B0"/>
    <w:rsid w:val="00B54943"/>
    <w:rsid w:val="00B713DD"/>
    <w:rsid w:val="00B76FC0"/>
    <w:rsid w:val="00B86058"/>
    <w:rsid w:val="00B9092E"/>
    <w:rsid w:val="00B945EF"/>
    <w:rsid w:val="00BA16C7"/>
    <w:rsid w:val="00BC104E"/>
    <w:rsid w:val="00BC196E"/>
    <w:rsid w:val="00BC6B0A"/>
    <w:rsid w:val="00BD1EDD"/>
    <w:rsid w:val="00BD2E3C"/>
    <w:rsid w:val="00BD6B2E"/>
    <w:rsid w:val="00BE4DAD"/>
    <w:rsid w:val="00BE6DD0"/>
    <w:rsid w:val="00BE6EC0"/>
    <w:rsid w:val="00BF16AB"/>
    <w:rsid w:val="00BF4406"/>
    <w:rsid w:val="00BF4A4B"/>
    <w:rsid w:val="00BF4FD9"/>
    <w:rsid w:val="00BF630C"/>
    <w:rsid w:val="00C00005"/>
    <w:rsid w:val="00C000F8"/>
    <w:rsid w:val="00C11D78"/>
    <w:rsid w:val="00C129C2"/>
    <w:rsid w:val="00C14352"/>
    <w:rsid w:val="00C222A8"/>
    <w:rsid w:val="00C22560"/>
    <w:rsid w:val="00C31ECC"/>
    <w:rsid w:val="00C34C12"/>
    <w:rsid w:val="00C3654E"/>
    <w:rsid w:val="00C3726D"/>
    <w:rsid w:val="00C42199"/>
    <w:rsid w:val="00C465D4"/>
    <w:rsid w:val="00C526DD"/>
    <w:rsid w:val="00C53262"/>
    <w:rsid w:val="00C55AD0"/>
    <w:rsid w:val="00C56B5A"/>
    <w:rsid w:val="00C75987"/>
    <w:rsid w:val="00C75D41"/>
    <w:rsid w:val="00C779DA"/>
    <w:rsid w:val="00C84FAD"/>
    <w:rsid w:val="00C86792"/>
    <w:rsid w:val="00C92999"/>
    <w:rsid w:val="00C949A0"/>
    <w:rsid w:val="00C9759D"/>
    <w:rsid w:val="00CA0FD9"/>
    <w:rsid w:val="00CA197A"/>
    <w:rsid w:val="00CA2A92"/>
    <w:rsid w:val="00CA382B"/>
    <w:rsid w:val="00CA46A3"/>
    <w:rsid w:val="00CA482C"/>
    <w:rsid w:val="00CA64E7"/>
    <w:rsid w:val="00CB2650"/>
    <w:rsid w:val="00CB60DE"/>
    <w:rsid w:val="00CD3839"/>
    <w:rsid w:val="00CD4711"/>
    <w:rsid w:val="00CD7273"/>
    <w:rsid w:val="00CD7482"/>
    <w:rsid w:val="00CE051B"/>
    <w:rsid w:val="00CE0915"/>
    <w:rsid w:val="00CE0F4C"/>
    <w:rsid w:val="00CE200E"/>
    <w:rsid w:val="00CE5FC8"/>
    <w:rsid w:val="00CF13D4"/>
    <w:rsid w:val="00CF1721"/>
    <w:rsid w:val="00CF2F7D"/>
    <w:rsid w:val="00CF6146"/>
    <w:rsid w:val="00CF619A"/>
    <w:rsid w:val="00D0753B"/>
    <w:rsid w:val="00D138CD"/>
    <w:rsid w:val="00D2000D"/>
    <w:rsid w:val="00D21E01"/>
    <w:rsid w:val="00D244C6"/>
    <w:rsid w:val="00D26DBA"/>
    <w:rsid w:val="00D347C8"/>
    <w:rsid w:val="00D35368"/>
    <w:rsid w:val="00D35C14"/>
    <w:rsid w:val="00D41EB8"/>
    <w:rsid w:val="00D61245"/>
    <w:rsid w:val="00D62818"/>
    <w:rsid w:val="00D6288D"/>
    <w:rsid w:val="00D73527"/>
    <w:rsid w:val="00D76108"/>
    <w:rsid w:val="00D80F8A"/>
    <w:rsid w:val="00D82E95"/>
    <w:rsid w:val="00D85525"/>
    <w:rsid w:val="00D86AA0"/>
    <w:rsid w:val="00D86DCD"/>
    <w:rsid w:val="00D93394"/>
    <w:rsid w:val="00D9575A"/>
    <w:rsid w:val="00D95BD7"/>
    <w:rsid w:val="00D96CD8"/>
    <w:rsid w:val="00D97379"/>
    <w:rsid w:val="00DA0D16"/>
    <w:rsid w:val="00DA3C90"/>
    <w:rsid w:val="00DA50F7"/>
    <w:rsid w:val="00DB0125"/>
    <w:rsid w:val="00DB4711"/>
    <w:rsid w:val="00DB5C80"/>
    <w:rsid w:val="00DB7127"/>
    <w:rsid w:val="00DB7196"/>
    <w:rsid w:val="00DC7851"/>
    <w:rsid w:val="00DD0A1C"/>
    <w:rsid w:val="00DD7999"/>
    <w:rsid w:val="00DE4B52"/>
    <w:rsid w:val="00DF0515"/>
    <w:rsid w:val="00DF3D09"/>
    <w:rsid w:val="00DF55A9"/>
    <w:rsid w:val="00E033A4"/>
    <w:rsid w:val="00E05BEC"/>
    <w:rsid w:val="00E12586"/>
    <w:rsid w:val="00E1773A"/>
    <w:rsid w:val="00E24C4C"/>
    <w:rsid w:val="00E27A15"/>
    <w:rsid w:val="00E362C5"/>
    <w:rsid w:val="00E426C9"/>
    <w:rsid w:val="00E437EF"/>
    <w:rsid w:val="00E446E1"/>
    <w:rsid w:val="00E4610C"/>
    <w:rsid w:val="00E56CF0"/>
    <w:rsid w:val="00E61F04"/>
    <w:rsid w:val="00E62804"/>
    <w:rsid w:val="00E67322"/>
    <w:rsid w:val="00E702AC"/>
    <w:rsid w:val="00E736A3"/>
    <w:rsid w:val="00E73872"/>
    <w:rsid w:val="00E7744D"/>
    <w:rsid w:val="00E8517D"/>
    <w:rsid w:val="00E95A1F"/>
    <w:rsid w:val="00E95AE4"/>
    <w:rsid w:val="00EA1182"/>
    <w:rsid w:val="00EA4160"/>
    <w:rsid w:val="00EB6460"/>
    <w:rsid w:val="00EB6B63"/>
    <w:rsid w:val="00EC0834"/>
    <w:rsid w:val="00EC205E"/>
    <w:rsid w:val="00EC509D"/>
    <w:rsid w:val="00EC6046"/>
    <w:rsid w:val="00ED31EB"/>
    <w:rsid w:val="00ED6506"/>
    <w:rsid w:val="00EE135B"/>
    <w:rsid w:val="00EE3EA0"/>
    <w:rsid w:val="00EE5257"/>
    <w:rsid w:val="00EE7FA8"/>
    <w:rsid w:val="00F016DB"/>
    <w:rsid w:val="00F028BB"/>
    <w:rsid w:val="00F0358B"/>
    <w:rsid w:val="00F0608C"/>
    <w:rsid w:val="00F06514"/>
    <w:rsid w:val="00F07651"/>
    <w:rsid w:val="00F116C3"/>
    <w:rsid w:val="00F2458B"/>
    <w:rsid w:val="00F24D11"/>
    <w:rsid w:val="00F3507F"/>
    <w:rsid w:val="00F43C24"/>
    <w:rsid w:val="00F54328"/>
    <w:rsid w:val="00F5531E"/>
    <w:rsid w:val="00F6006D"/>
    <w:rsid w:val="00F60BD8"/>
    <w:rsid w:val="00F6546D"/>
    <w:rsid w:val="00F7426D"/>
    <w:rsid w:val="00F74BEF"/>
    <w:rsid w:val="00F91466"/>
    <w:rsid w:val="00F942F2"/>
    <w:rsid w:val="00F949E8"/>
    <w:rsid w:val="00F96155"/>
    <w:rsid w:val="00FA0EE4"/>
    <w:rsid w:val="00FA1209"/>
    <w:rsid w:val="00FA2D94"/>
    <w:rsid w:val="00FA4620"/>
    <w:rsid w:val="00FA5282"/>
    <w:rsid w:val="00FA5411"/>
    <w:rsid w:val="00FA5CB3"/>
    <w:rsid w:val="00FB0EF1"/>
    <w:rsid w:val="00FB5E3A"/>
    <w:rsid w:val="00FB6968"/>
    <w:rsid w:val="00FB7274"/>
    <w:rsid w:val="00FC3FA9"/>
    <w:rsid w:val="00FD553E"/>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3F"/>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24A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it">
    <w:name w:val="hit"/>
    <w:basedOn w:val="DefaultParagraphFont"/>
    <w:rsid w:val="00BE6DD0"/>
  </w:style>
  <w:style w:type="character" w:customStyle="1" w:styleId="sc">
    <w:name w:val="sc"/>
    <w:basedOn w:val="DefaultParagraphFont"/>
    <w:rsid w:val="009C6F2B"/>
  </w:style>
  <w:style w:type="character" w:customStyle="1" w:styleId="label-inner">
    <w:name w:val="label-inner"/>
    <w:basedOn w:val="DefaultParagraphFont"/>
    <w:rsid w:val="009C6F2B"/>
  </w:style>
  <w:style w:type="character" w:customStyle="1" w:styleId="item">
    <w:name w:val="item"/>
    <w:basedOn w:val="DefaultParagraphFont"/>
    <w:rsid w:val="009C6F2B"/>
  </w:style>
  <w:style w:type="character" w:customStyle="1" w:styleId="Heading4Char">
    <w:name w:val="Heading 4 Char"/>
    <w:basedOn w:val="DefaultParagraphFont"/>
    <w:link w:val="Heading4"/>
    <w:uiPriority w:val="9"/>
    <w:semiHidden/>
    <w:rsid w:val="00624A1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9473080">
      <w:bodyDiv w:val="1"/>
      <w:marLeft w:val="0"/>
      <w:marRight w:val="0"/>
      <w:marTop w:val="0"/>
      <w:marBottom w:val="0"/>
      <w:divBdr>
        <w:top w:val="none" w:sz="0" w:space="0" w:color="auto"/>
        <w:left w:val="none" w:sz="0" w:space="0" w:color="auto"/>
        <w:bottom w:val="none" w:sz="0" w:space="0" w:color="auto"/>
        <w:right w:val="none" w:sz="0" w:space="0" w:color="auto"/>
      </w:divBdr>
    </w:div>
    <w:div w:id="150875317">
      <w:bodyDiv w:val="1"/>
      <w:marLeft w:val="0"/>
      <w:marRight w:val="0"/>
      <w:marTop w:val="0"/>
      <w:marBottom w:val="0"/>
      <w:divBdr>
        <w:top w:val="none" w:sz="0" w:space="0" w:color="auto"/>
        <w:left w:val="none" w:sz="0" w:space="0" w:color="auto"/>
        <w:bottom w:val="none" w:sz="0" w:space="0" w:color="auto"/>
        <w:right w:val="none" w:sz="0" w:space="0" w:color="auto"/>
      </w:divBdr>
      <w:divsChild>
        <w:div w:id="1701398346">
          <w:marLeft w:val="0"/>
          <w:marRight w:val="0"/>
          <w:marTop w:val="240"/>
          <w:marBottom w:val="240"/>
          <w:divBdr>
            <w:top w:val="none" w:sz="0" w:space="0" w:color="auto"/>
            <w:left w:val="none" w:sz="0" w:space="0" w:color="auto"/>
            <w:bottom w:val="none" w:sz="0" w:space="0" w:color="auto"/>
            <w:right w:val="none" w:sz="0" w:space="0" w:color="auto"/>
          </w:divBdr>
        </w:div>
        <w:div w:id="182287195">
          <w:marLeft w:val="0"/>
          <w:marRight w:val="0"/>
          <w:marTop w:val="240"/>
          <w:marBottom w:val="240"/>
          <w:divBdr>
            <w:top w:val="none" w:sz="0" w:space="0" w:color="auto"/>
            <w:left w:val="none" w:sz="0" w:space="0" w:color="auto"/>
            <w:bottom w:val="none" w:sz="0" w:space="0" w:color="auto"/>
            <w:right w:val="none" w:sz="0" w:space="0" w:color="auto"/>
          </w:divBdr>
        </w:div>
        <w:div w:id="19595458">
          <w:marLeft w:val="0"/>
          <w:marRight w:val="0"/>
          <w:marTop w:val="240"/>
          <w:marBottom w:val="240"/>
          <w:divBdr>
            <w:top w:val="none" w:sz="0" w:space="0" w:color="auto"/>
            <w:left w:val="none" w:sz="0" w:space="0" w:color="auto"/>
            <w:bottom w:val="none" w:sz="0" w:space="0" w:color="auto"/>
            <w:right w:val="none" w:sz="0" w:space="0" w:color="auto"/>
          </w:divBdr>
        </w:div>
        <w:div w:id="499010239">
          <w:marLeft w:val="0"/>
          <w:marRight w:val="0"/>
          <w:marTop w:val="240"/>
          <w:marBottom w:val="240"/>
          <w:divBdr>
            <w:top w:val="none" w:sz="0" w:space="0" w:color="auto"/>
            <w:left w:val="none" w:sz="0" w:space="0" w:color="auto"/>
            <w:bottom w:val="none" w:sz="0" w:space="0" w:color="auto"/>
            <w:right w:val="none" w:sz="0" w:space="0" w:color="auto"/>
          </w:divBdr>
        </w:div>
        <w:div w:id="782770612">
          <w:marLeft w:val="0"/>
          <w:marRight w:val="0"/>
          <w:marTop w:val="240"/>
          <w:marBottom w:val="240"/>
          <w:divBdr>
            <w:top w:val="none" w:sz="0" w:space="0" w:color="auto"/>
            <w:left w:val="none" w:sz="0" w:space="0" w:color="auto"/>
            <w:bottom w:val="none" w:sz="0" w:space="0" w:color="auto"/>
            <w:right w:val="none" w:sz="0" w:space="0" w:color="auto"/>
          </w:divBdr>
        </w:div>
        <w:div w:id="1977179988">
          <w:marLeft w:val="0"/>
          <w:marRight w:val="0"/>
          <w:marTop w:val="240"/>
          <w:marBottom w:val="240"/>
          <w:divBdr>
            <w:top w:val="none" w:sz="0" w:space="0" w:color="auto"/>
            <w:left w:val="none" w:sz="0" w:space="0" w:color="auto"/>
            <w:bottom w:val="none" w:sz="0" w:space="0" w:color="auto"/>
            <w:right w:val="none" w:sz="0" w:space="0" w:color="auto"/>
          </w:divBdr>
        </w:div>
        <w:div w:id="852651905">
          <w:marLeft w:val="0"/>
          <w:marRight w:val="0"/>
          <w:marTop w:val="0"/>
          <w:marBottom w:val="0"/>
          <w:divBdr>
            <w:top w:val="none" w:sz="0" w:space="0" w:color="auto"/>
            <w:left w:val="none" w:sz="0" w:space="0" w:color="auto"/>
            <w:bottom w:val="none" w:sz="0" w:space="0" w:color="auto"/>
            <w:right w:val="none" w:sz="0" w:space="0" w:color="auto"/>
          </w:divBdr>
        </w:div>
        <w:div w:id="1114447991">
          <w:marLeft w:val="0"/>
          <w:marRight w:val="0"/>
          <w:marTop w:val="240"/>
          <w:marBottom w:val="240"/>
          <w:divBdr>
            <w:top w:val="none" w:sz="0" w:space="0" w:color="auto"/>
            <w:left w:val="none" w:sz="0" w:space="0" w:color="auto"/>
            <w:bottom w:val="none" w:sz="0" w:space="0" w:color="auto"/>
            <w:right w:val="none" w:sz="0" w:space="0" w:color="auto"/>
          </w:divBdr>
        </w:div>
        <w:div w:id="2141653675">
          <w:marLeft w:val="0"/>
          <w:marRight w:val="0"/>
          <w:marTop w:val="240"/>
          <w:marBottom w:val="240"/>
          <w:divBdr>
            <w:top w:val="none" w:sz="0" w:space="0" w:color="auto"/>
            <w:left w:val="none" w:sz="0" w:space="0" w:color="auto"/>
            <w:bottom w:val="none" w:sz="0" w:space="0" w:color="auto"/>
            <w:right w:val="none" w:sz="0" w:space="0" w:color="auto"/>
          </w:divBdr>
        </w:div>
        <w:div w:id="517234422">
          <w:marLeft w:val="0"/>
          <w:marRight w:val="0"/>
          <w:marTop w:val="0"/>
          <w:marBottom w:val="0"/>
          <w:divBdr>
            <w:top w:val="none" w:sz="0" w:space="0" w:color="auto"/>
            <w:left w:val="none" w:sz="0" w:space="0" w:color="auto"/>
            <w:bottom w:val="none" w:sz="0" w:space="0" w:color="auto"/>
            <w:right w:val="none" w:sz="0" w:space="0" w:color="auto"/>
          </w:divBdr>
        </w:div>
        <w:div w:id="640354936">
          <w:marLeft w:val="0"/>
          <w:marRight w:val="0"/>
          <w:marTop w:val="240"/>
          <w:marBottom w:val="240"/>
          <w:divBdr>
            <w:top w:val="none" w:sz="0" w:space="0" w:color="auto"/>
            <w:left w:val="none" w:sz="0" w:space="0" w:color="auto"/>
            <w:bottom w:val="none" w:sz="0" w:space="0" w:color="auto"/>
            <w:right w:val="none" w:sz="0" w:space="0" w:color="auto"/>
          </w:divBdr>
        </w:div>
        <w:div w:id="604579207">
          <w:marLeft w:val="0"/>
          <w:marRight w:val="0"/>
          <w:marTop w:val="240"/>
          <w:marBottom w:val="240"/>
          <w:divBdr>
            <w:top w:val="none" w:sz="0" w:space="0" w:color="auto"/>
            <w:left w:val="none" w:sz="0" w:space="0" w:color="auto"/>
            <w:bottom w:val="none" w:sz="0" w:space="0" w:color="auto"/>
            <w:right w:val="none" w:sz="0" w:space="0" w:color="auto"/>
          </w:divBdr>
        </w:div>
        <w:div w:id="1047993352">
          <w:marLeft w:val="0"/>
          <w:marRight w:val="0"/>
          <w:marTop w:val="240"/>
          <w:marBottom w:val="240"/>
          <w:divBdr>
            <w:top w:val="none" w:sz="0" w:space="0" w:color="auto"/>
            <w:left w:val="none" w:sz="0" w:space="0" w:color="auto"/>
            <w:bottom w:val="none" w:sz="0" w:space="0" w:color="auto"/>
            <w:right w:val="none" w:sz="0" w:space="0" w:color="auto"/>
          </w:divBdr>
        </w:div>
        <w:div w:id="1732731102">
          <w:marLeft w:val="0"/>
          <w:marRight w:val="0"/>
          <w:marTop w:val="240"/>
          <w:marBottom w:val="240"/>
          <w:divBdr>
            <w:top w:val="none" w:sz="0" w:space="0" w:color="auto"/>
            <w:left w:val="none" w:sz="0" w:space="0" w:color="auto"/>
            <w:bottom w:val="none" w:sz="0" w:space="0" w:color="auto"/>
            <w:right w:val="none" w:sz="0" w:space="0" w:color="auto"/>
          </w:divBdr>
        </w:div>
        <w:div w:id="1372342110">
          <w:marLeft w:val="0"/>
          <w:marRight w:val="0"/>
          <w:marTop w:val="240"/>
          <w:marBottom w:val="240"/>
          <w:divBdr>
            <w:top w:val="none" w:sz="0" w:space="0" w:color="auto"/>
            <w:left w:val="none" w:sz="0" w:space="0" w:color="auto"/>
            <w:bottom w:val="none" w:sz="0" w:space="0" w:color="auto"/>
            <w:right w:val="none" w:sz="0" w:space="0" w:color="auto"/>
          </w:divBdr>
        </w:div>
        <w:div w:id="205024407">
          <w:marLeft w:val="0"/>
          <w:marRight w:val="0"/>
          <w:marTop w:val="240"/>
          <w:marBottom w:val="240"/>
          <w:divBdr>
            <w:top w:val="none" w:sz="0" w:space="0" w:color="auto"/>
            <w:left w:val="none" w:sz="0" w:space="0" w:color="auto"/>
            <w:bottom w:val="none" w:sz="0" w:space="0" w:color="auto"/>
            <w:right w:val="none" w:sz="0" w:space="0" w:color="auto"/>
          </w:divBdr>
        </w:div>
        <w:div w:id="703142783">
          <w:marLeft w:val="0"/>
          <w:marRight w:val="0"/>
          <w:marTop w:val="0"/>
          <w:marBottom w:val="0"/>
          <w:divBdr>
            <w:top w:val="none" w:sz="0" w:space="0" w:color="auto"/>
            <w:left w:val="none" w:sz="0" w:space="0" w:color="auto"/>
            <w:bottom w:val="none" w:sz="0" w:space="0" w:color="auto"/>
            <w:right w:val="none" w:sz="0" w:space="0" w:color="auto"/>
          </w:divBdr>
        </w:div>
        <w:div w:id="1551456307">
          <w:marLeft w:val="0"/>
          <w:marRight w:val="0"/>
          <w:marTop w:val="240"/>
          <w:marBottom w:val="240"/>
          <w:divBdr>
            <w:top w:val="none" w:sz="0" w:space="0" w:color="auto"/>
            <w:left w:val="none" w:sz="0" w:space="0" w:color="auto"/>
            <w:bottom w:val="none" w:sz="0" w:space="0" w:color="auto"/>
            <w:right w:val="none" w:sz="0" w:space="0" w:color="auto"/>
          </w:divBdr>
        </w:div>
        <w:div w:id="1204369963">
          <w:marLeft w:val="0"/>
          <w:marRight w:val="0"/>
          <w:marTop w:val="240"/>
          <w:marBottom w:val="240"/>
          <w:divBdr>
            <w:top w:val="none" w:sz="0" w:space="0" w:color="auto"/>
            <w:left w:val="none" w:sz="0" w:space="0" w:color="auto"/>
            <w:bottom w:val="none" w:sz="0" w:space="0" w:color="auto"/>
            <w:right w:val="none" w:sz="0" w:space="0" w:color="auto"/>
          </w:divBdr>
        </w:div>
        <w:div w:id="883098914">
          <w:marLeft w:val="0"/>
          <w:marRight w:val="0"/>
          <w:marTop w:val="0"/>
          <w:marBottom w:val="0"/>
          <w:divBdr>
            <w:top w:val="none" w:sz="0" w:space="0" w:color="auto"/>
            <w:left w:val="none" w:sz="0" w:space="0" w:color="auto"/>
            <w:bottom w:val="none" w:sz="0" w:space="0" w:color="auto"/>
            <w:right w:val="none" w:sz="0" w:space="0" w:color="auto"/>
          </w:divBdr>
        </w:div>
        <w:div w:id="2082019331">
          <w:marLeft w:val="0"/>
          <w:marRight w:val="0"/>
          <w:marTop w:val="240"/>
          <w:marBottom w:val="240"/>
          <w:divBdr>
            <w:top w:val="none" w:sz="0" w:space="0" w:color="auto"/>
            <w:left w:val="none" w:sz="0" w:space="0" w:color="auto"/>
            <w:bottom w:val="none" w:sz="0" w:space="0" w:color="auto"/>
            <w:right w:val="none" w:sz="0" w:space="0" w:color="auto"/>
          </w:divBdr>
        </w:div>
        <w:div w:id="655956416">
          <w:marLeft w:val="0"/>
          <w:marRight w:val="0"/>
          <w:marTop w:val="0"/>
          <w:marBottom w:val="0"/>
          <w:divBdr>
            <w:top w:val="none" w:sz="0" w:space="0" w:color="auto"/>
            <w:left w:val="none" w:sz="0" w:space="0" w:color="auto"/>
            <w:bottom w:val="none" w:sz="0" w:space="0" w:color="auto"/>
            <w:right w:val="none" w:sz="0" w:space="0" w:color="auto"/>
          </w:divBdr>
        </w:div>
        <w:div w:id="1945992326">
          <w:marLeft w:val="0"/>
          <w:marRight w:val="0"/>
          <w:marTop w:val="240"/>
          <w:marBottom w:val="240"/>
          <w:divBdr>
            <w:top w:val="none" w:sz="0" w:space="0" w:color="auto"/>
            <w:left w:val="none" w:sz="0" w:space="0" w:color="auto"/>
            <w:bottom w:val="none" w:sz="0" w:space="0" w:color="auto"/>
            <w:right w:val="none" w:sz="0" w:space="0" w:color="auto"/>
          </w:divBdr>
        </w:div>
        <w:div w:id="1510363644">
          <w:marLeft w:val="0"/>
          <w:marRight w:val="0"/>
          <w:marTop w:val="240"/>
          <w:marBottom w:val="240"/>
          <w:divBdr>
            <w:top w:val="none" w:sz="0" w:space="0" w:color="auto"/>
            <w:left w:val="none" w:sz="0" w:space="0" w:color="auto"/>
            <w:bottom w:val="none" w:sz="0" w:space="0" w:color="auto"/>
            <w:right w:val="none" w:sz="0" w:space="0" w:color="auto"/>
          </w:divBdr>
        </w:div>
        <w:div w:id="1355691200">
          <w:marLeft w:val="0"/>
          <w:marRight w:val="0"/>
          <w:marTop w:val="240"/>
          <w:marBottom w:val="240"/>
          <w:divBdr>
            <w:top w:val="none" w:sz="0" w:space="0" w:color="auto"/>
            <w:left w:val="none" w:sz="0" w:space="0" w:color="auto"/>
            <w:bottom w:val="none" w:sz="0" w:space="0" w:color="auto"/>
            <w:right w:val="none" w:sz="0" w:space="0" w:color="auto"/>
          </w:divBdr>
        </w:div>
        <w:div w:id="1191340321">
          <w:marLeft w:val="0"/>
          <w:marRight w:val="0"/>
          <w:marTop w:val="240"/>
          <w:marBottom w:val="240"/>
          <w:divBdr>
            <w:top w:val="none" w:sz="0" w:space="0" w:color="auto"/>
            <w:left w:val="none" w:sz="0" w:space="0" w:color="auto"/>
            <w:bottom w:val="none" w:sz="0" w:space="0" w:color="auto"/>
            <w:right w:val="none" w:sz="0" w:space="0" w:color="auto"/>
          </w:divBdr>
        </w:div>
        <w:div w:id="746338831">
          <w:marLeft w:val="0"/>
          <w:marRight w:val="0"/>
          <w:marTop w:val="240"/>
          <w:marBottom w:val="240"/>
          <w:divBdr>
            <w:top w:val="none" w:sz="0" w:space="0" w:color="auto"/>
            <w:left w:val="none" w:sz="0" w:space="0" w:color="auto"/>
            <w:bottom w:val="none" w:sz="0" w:space="0" w:color="auto"/>
            <w:right w:val="none" w:sz="0" w:space="0" w:color="auto"/>
          </w:divBdr>
        </w:div>
        <w:div w:id="1804233048">
          <w:marLeft w:val="0"/>
          <w:marRight w:val="0"/>
          <w:marTop w:val="240"/>
          <w:marBottom w:val="240"/>
          <w:divBdr>
            <w:top w:val="none" w:sz="0" w:space="0" w:color="auto"/>
            <w:left w:val="none" w:sz="0" w:space="0" w:color="auto"/>
            <w:bottom w:val="none" w:sz="0" w:space="0" w:color="auto"/>
            <w:right w:val="none" w:sz="0" w:space="0" w:color="auto"/>
          </w:divBdr>
        </w:div>
      </w:divsChild>
    </w:div>
    <w:div w:id="201409778">
      <w:bodyDiv w:val="1"/>
      <w:marLeft w:val="0"/>
      <w:marRight w:val="0"/>
      <w:marTop w:val="0"/>
      <w:marBottom w:val="0"/>
      <w:divBdr>
        <w:top w:val="none" w:sz="0" w:space="0" w:color="auto"/>
        <w:left w:val="none" w:sz="0" w:space="0" w:color="auto"/>
        <w:bottom w:val="none" w:sz="0" w:space="0" w:color="auto"/>
        <w:right w:val="none" w:sz="0" w:space="0" w:color="auto"/>
      </w:divBdr>
      <w:divsChild>
        <w:div w:id="1926838969">
          <w:marLeft w:val="0"/>
          <w:marRight w:val="0"/>
          <w:marTop w:val="0"/>
          <w:marBottom w:val="0"/>
          <w:divBdr>
            <w:top w:val="none" w:sz="0" w:space="0" w:color="auto"/>
            <w:left w:val="none" w:sz="0" w:space="0" w:color="auto"/>
            <w:bottom w:val="none" w:sz="0" w:space="0" w:color="auto"/>
            <w:right w:val="none" w:sz="0" w:space="0" w:color="auto"/>
          </w:divBdr>
        </w:div>
        <w:div w:id="327826493">
          <w:marLeft w:val="0"/>
          <w:marRight w:val="0"/>
          <w:marTop w:val="0"/>
          <w:marBottom w:val="0"/>
          <w:divBdr>
            <w:top w:val="none" w:sz="0" w:space="0" w:color="auto"/>
            <w:left w:val="none" w:sz="0" w:space="0" w:color="auto"/>
            <w:bottom w:val="none" w:sz="0" w:space="0" w:color="auto"/>
            <w:right w:val="none" w:sz="0" w:space="0" w:color="auto"/>
          </w:divBdr>
          <w:divsChild>
            <w:div w:id="298727378">
              <w:marLeft w:val="0"/>
              <w:marRight w:val="0"/>
              <w:marTop w:val="0"/>
              <w:marBottom w:val="0"/>
              <w:divBdr>
                <w:top w:val="none" w:sz="0" w:space="0" w:color="auto"/>
                <w:left w:val="none" w:sz="0" w:space="0" w:color="auto"/>
                <w:bottom w:val="none" w:sz="0" w:space="0" w:color="auto"/>
                <w:right w:val="none" w:sz="0" w:space="0" w:color="auto"/>
              </w:divBdr>
              <w:divsChild>
                <w:div w:id="6317111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21804481">
      <w:bodyDiv w:val="1"/>
      <w:marLeft w:val="0"/>
      <w:marRight w:val="0"/>
      <w:marTop w:val="0"/>
      <w:marBottom w:val="0"/>
      <w:divBdr>
        <w:top w:val="none" w:sz="0" w:space="0" w:color="auto"/>
        <w:left w:val="none" w:sz="0" w:space="0" w:color="auto"/>
        <w:bottom w:val="none" w:sz="0" w:space="0" w:color="auto"/>
        <w:right w:val="none" w:sz="0" w:space="0" w:color="auto"/>
      </w:divBdr>
      <w:divsChild>
        <w:div w:id="614094501">
          <w:marLeft w:val="0"/>
          <w:marRight w:val="0"/>
          <w:marTop w:val="0"/>
          <w:marBottom w:val="0"/>
          <w:divBdr>
            <w:top w:val="none" w:sz="0" w:space="0" w:color="auto"/>
            <w:left w:val="none" w:sz="0" w:space="0" w:color="auto"/>
            <w:bottom w:val="none" w:sz="0" w:space="0" w:color="auto"/>
            <w:right w:val="none" w:sz="0" w:space="0" w:color="auto"/>
          </w:divBdr>
          <w:divsChild>
            <w:div w:id="19088700">
              <w:marLeft w:val="0"/>
              <w:marRight w:val="0"/>
              <w:marTop w:val="0"/>
              <w:marBottom w:val="0"/>
              <w:divBdr>
                <w:top w:val="none" w:sz="0" w:space="0" w:color="auto"/>
                <w:left w:val="none" w:sz="0" w:space="0" w:color="auto"/>
                <w:bottom w:val="none" w:sz="0" w:space="0" w:color="auto"/>
                <w:right w:val="none" w:sz="0" w:space="0" w:color="auto"/>
              </w:divBdr>
              <w:divsChild>
                <w:div w:id="1140225476">
                  <w:marLeft w:val="0"/>
                  <w:marRight w:val="0"/>
                  <w:marTop w:val="0"/>
                  <w:marBottom w:val="0"/>
                  <w:divBdr>
                    <w:top w:val="none" w:sz="0" w:space="0" w:color="auto"/>
                    <w:left w:val="none" w:sz="0" w:space="0" w:color="auto"/>
                    <w:bottom w:val="none" w:sz="0" w:space="0" w:color="auto"/>
                    <w:right w:val="none" w:sz="0" w:space="0" w:color="auto"/>
                  </w:divBdr>
                  <w:divsChild>
                    <w:div w:id="4907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7429982">
      <w:bodyDiv w:val="1"/>
      <w:marLeft w:val="0"/>
      <w:marRight w:val="0"/>
      <w:marTop w:val="0"/>
      <w:marBottom w:val="0"/>
      <w:divBdr>
        <w:top w:val="none" w:sz="0" w:space="0" w:color="auto"/>
        <w:left w:val="none" w:sz="0" w:space="0" w:color="auto"/>
        <w:bottom w:val="none" w:sz="0" w:space="0" w:color="auto"/>
        <w:right w:val="none" w:sz="0" w:space="0" w:color="auto"/>
      </w:divBdr>
    </w:div>
    <w:div w:id="55970880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650817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391268356">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938756612">
      <w:bodyDiv w:val="1"/>
      <w:marLeft w:val="0"/>
      <w:marRight w:val="0"/>
      <w:marTop w:val="0"/>
      <w:marBottom w:val="0"/>
      <w:divBdr>
        <w:top w:val="none" w:sz="0" w:space="0" w:color="auto"/>
        <w:left w:val="none" w:sz="0" w:space="0" w:color="auto"/>
        <w:bottom w:val="none" w:sz="0" w:space="0" w:color="auto"/>
        <w:right w:val="none" w:sz="0" w:space="0" w:color="auto"/>
      </w:divBdr>
      <w:divsChild>
        <w:div w:id="1809204348">
          <w:marLeft w:val="0"/>
          <w:marRight w:val="0"/>
          <w:marTop w:val="0"/>
          <w:marBottom w:val="0"/>
          <w:divBdr>
            <w:top w:val="none" w:sz="0" w:space="0" w:color="auto"/>
            <w:left w:val="none" w:sz="0" w:space="0" w:color="auto"/>
            <w:bottom w:val="none" w:sz="0" w:space="0" w:color="auto"/>
            <w:right w:val="none" w:sz="0" w:space="0" w:color="auto"/>
          </w:divBdr>
        </w:div>
        <w:div w:id="1391805174">
          <w:marLeft w:val="0"/>
          <w:marRight w:val="0"/>
          <w:marTop w:val="0"/>
          <w:marBottom w:val="0"/>
          <w:divBdr>
            <w:top w:val="none" w:sz="0" w:space="0" w:color="auto"/>
            <w:left w:val="none" w:sz="0" w:space="0" w:color="auto"/>
            <w:bottom w:val="none" w:sz="0" w:space="0" w:color="auto"/>
            <w:right w:val="none" w:sz="0" w:space="0" w:color="auto"/>
          </w:divBdr>
        </w:div>
      </w:divsChild>
    </w:div>
    <w:div w:id="2015182784">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C88D-1965-4364-8ED3-590347B6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9</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44</cp:revision>
  <dcterms:created xsi:type="dcterms:W3CDTF">2020-03-19T00:23:00Z</dcterms:created>
  <dcterms:modified xsi:type="dcterms:W3CDTF">2020-03-22T15:47:00Z</dcterms:modified>
</cp:coreProperties>
</file>