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HS-6 — Founder Society Pilot &amp; Commercialization</w:t>
      </w:r>
    </w:p>
    <w:p>
      <w:pPr>
        <w:jc w:val="center"/>
      </w:pPr>
      <w:r>
        <w:rPr>
          <w:b/>
        </w:rPr>
        <w:t>TrustWeave / Generic Network OS · Housing Society vertical</w:t>
      </w:r>
    </w:p>
    <w:p>
      <w:pPr>
        <w:jc w:val="center"/>
      </w:pPr>
      <w:r>
        <w:t>Status: SOURCE IMPLEMENTED / RUNTIME VERIFY · Migration 088</w:t>
      </w:r>
    </w:p>
    <w:p>
      <w:pPr>
        <w:pStyle w:val="Heading1"/>
      </w:pPr>
      <w:r>
        <w:t>Mission outcome</w:t>
      </w:r>
    </w:p>
    <w:p>
      <w:r>
        <w:t>HS-6 closes the planned Housing Society source roadmap by turning HS-1 through HS-5 into a measurable founder-led pilot and a repeatable commercialization proof. It does not add another broad feature layer; it measures whether the existing product actually onboards, activates, saves committee time and can be repeated in a second society.</w:t>
      </w:r>
    </w:p>
    <w:p>
      <w:pPr>
        <w:pStyle w:val="Heading1"/>
      </w:pPr>
      <w:r>
        <w:t>Pilot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Proof</w:t>
            </w:r>
          </w:p>
        </w:tc>
      </w:tr>
      <w:tr>
        <w:tc>
          <w:tcPr>
            <w:tcW w:type="dxa" w:w="3389"/>
          </w:tcPr>
          <w:p>
            <w:r>
              <w:t>Pilot A</w:t>
            </w:r>
          </w:p>
        </w:tc>
        <w:tc>
          <w:tcPr>
            <w:tcW w:type="dxa" w:w="3389"/>
          </w:tcPr>
          <w:p>
            <w:r>
              <w:t>Internal demo</w:t>
            </w:r>
          </w:p>
        </w:tc>
        <w:tc>
          <w:tcPr>
            <w:tcW w:type="dxa" w:w="3389"/>
          </w:tcPr>
          <w:p>
            <w:r>
              <w:t>Synthetic 50–100-unit end-to-end smoke</w:t>
            </w:r>
          </w:p>
        </w:tc>
      </w:tr>
      <w:tr>
        <w:tc>
          <w:tcPr>
            <w:tcW w:type="dxa" w:w="3389"/>
          </w:tcPr>
          <w:p>
            <w:r>
              <w:t>Pilot B</w:t>
            </w:r>
          </w:p>
        </w:tc>
        <w:tc>
          <w:tcPr>
            <w:tcW w:type="dxa" w:w="3389"/>
          </w:tcPr>
          <w:p>
            <w:r>
              <w:t>20–50 real units</w:t>
            </w:r>
          </w:p>
        </w:tc>
        <w:tc>
          <w:tcPr>
            <w:tcW w:type="dxa" w:w="3389"/>
          </w:tcPr>
          <w:p>
            <w:r>
              <w:t>One wing/tower, committee operators and resident champions</w:t>
            </w:r>
          </w:p>
        </w:tc>
      </w:tr>
      <w:tr>
        <w:tc>
          <w:tcPr>
            <w:tcW w:type="dxa" w:w="3389"/>
          </w:tcPr>
          <w:p>
            <w:r>
              <w:t>Pilot C</w:t>
            </w:r>
          </w:p>
        </w:tc>
        <w:tc>
          <w:tcPr>
            <w:tcW w:type="dxa" w:w="3389"/>
          </w:tcPr>
          <w:p>
            <w:r>
              <w:t>Full society</w:t>
            </w:r>
          </w:p>
        </w:tc>
        <w:tc>
          <w:tcPr>
            <w:tcW w:type="dxa" w:w="3389"/>
          </w:tcPr>
          <w:p>
            <w:r>
              <w:t>All units/residents with recurring operational use</w:t>
            </w:r>
          </w:p>
        </w:tc>
      </w:tr>
      <w:tr>
        <w:tc>
          <w:tcPr>
            <w:tcW w:type="dxa" w:w="3389"/>
          </w:tcPr>
          <w:p>
            <w:r>
              <w:t>Pilot D</w:t>
            </w:r>
          </w:p>
        </w:tc>
        <w:tc>
          <w:tcPr>
            <w:tcW w:type="dxa" w:w="3389"/>
          </w:tcPr>
          <w:p>
            <w:r>
              <w:t>Second society</w:t>
            </w:r>
          </w:p>
        </w:tc>
        <w:tc>
          <w:tcPr>
            <w:tcW w:type="dxa" w:w="3389"/>
          </w:tcPr>
          <w:p>
            <w:r>
              <w:t>Same product path, no founder-specific code or manual DB patch</w:t>
            </w:r>
          </w:p>
        </w:tc>
      </w:tr>
    </w:tbl>
    <w:p>
      <w:pPr>
        <w:pStyle w:val="Heading1"/>
      </w:pPr>
      <w:r>
        <w:t>Implemented evidence system</w:t>
      </w:r>
    </w:p>
    <w:p>
      <w:pPr>
        <w:pStyle w:val="ListBullet"/>
      </w:pPr>
      <w:r>
        <w:t>Pilot run lifecycle with phase, cohort, target units, status and history.</w:t>
      </w:r>
    </w:p>
    <w:p>
      <w:pPr>
        <w:pStyle w:val="ListBullet"/>
      </w:pPr>
      <w:r>
        <w:t>Objective readiness derived from mapped imports, represented/claimed units, weekly active units, notice readership, complaint resolution, maintenance cycles, governance and security/compliance evidence.</w:t>
      </w:r>
    </w:p>
    <w:p>
      <w:pPr>
        <w:pStyle w:val="ListBullet"/>
      </w:pPr>
      <w:r>
        <w:t>Weekly operator checkpoints for admin hours saved, remaining WhatsApp/spreadsheet work, willingness-to-pay, renewal intent and committee notes.</w:t>
      </w:r>
    </w:p>
    <w:p>
      <w:pPr>
        <w:pStyle w:val="ListBullet"/>
      </w:pPr>
      <w:r>
        <w:t>Explicit repeatability fields: second-society onboarding confirmed and whether founder-specific code/manual patching was required.</w:t>
      </w:r>
    </w:p>
    <w:p>
      <w:pPr>
        <w:pStyle w:val="ListBullet"/>
      </w:pPr>
      <w:r>
        <w:t>Pricing experiments for per-unit/month, annual society fee, base + modules, setup fee or discovery/undecided; pricing is evidence, not hard-coded product truth.</w:t>
      </w:r>
    </w:p>
    <w:p>
      <w:pPr>
        <w:pStyle w:val="ListBullet"/>
      </w:pPr>
      <w:r>
        <w:t>Pilot evidence JSON export for review and comparison across societies.</w:t>
      </w:r>
    </w:p>
    <w:p>
      <w:pPr>
        <w:pStyle w:val="ListBullet"/>
      </w:pPr>
      <w:r>
        <w:t>Resident surface usage instrumentation and notice-read evidence while preserving existing authorization boundaries.</w:t>
      </w:r>
    </w:p>
    <w:p>
      <w:pPr>
        <w:pStyle w:val="Heading1"/>
      </w:pPr>
      <w:r>
        <w:t>Pilot onboarding kit</w:t>
      </w:r>
    </w:p>
    <w:p>
      <w:pPr>
        <w:pStyle w:val="ListBullet"/>
      </w:pPr>
      <w:r>
        <w:t>`public/housing-society-pilot-import-template.csv` — reusable mapper-friendly template.</w:t>
      </w:r>
    </w:p>
    <w:p>
      <w:pPr>
        <w:pStyle w:val="ListBullet"/>
      </w:pPr>
      <w:r>
        <w:t>`public/housing-society-pilot-sample-30.csv` — synthetic 30-unit practice cohort.</w:t>
      </w:r>
    </w:p>
    <w:p>
      <w:pPr>
        <w:pStyle w:val="ListBullet"/>
      </w:pPr>
      <w:r>
        <w:t>Founder Pilot Admin Guide.</w:t>
      </w:r>
    </w:p>
    <w:p>
      <w:pPr>
        <w:pStyle w:val="ListBullet"/>
      </w:pPr>
      <w:r>
        <w:t>Resident Pilot Guide.</w:t>
      </w:r>
    </w:p>
    <w:p>
      <w:pPr>
        <w:pStyle w:val="ListBullet"/>
      </w:pPr>
      <w:r>
        <w:t>Second Society Onboarding Runbook.</w:t>
      </w:r>
    </w:p>
    <w:p>
      <w:pPr>
        <w:pStyle w:val="ListBullet"/>
      </w:pPr>
      <w:r>
        <w:t>Pricing Experiment Playbook.</w:t>
      </w:r>
    </w:p>
    <w:p>
      <w:pPr>
        <w:pStyle w:val="Heading1"/>
      </w:pPr>
      <w:r>
        <w:t>Commercialization rule</w:t>
      </w:r>
    </w:p>
    <w:p>
      <w:r>
        <w:rPr>
          <w:b/>
        </w:rPr>
        <w:t xml:space="preserve">Pilot D is the decisive gate. </w:t>
      </w:r>
      <w:r>
        <w:t>If another society requires a founder-only branch, one-off schema change or direct SQL data patch, HS-6 records failed repeatability evidence. The product should be fixed generically rather than masking the issue with society-specific code.</w:t>
      </w:r>
    </w:p>
    <w:p>
      <w:pPr>
        <w:pStyle w:val="Heading1"/>
      </w:pPr>
      <w:r>
        <w:t>Migration 088</w:t>
      </w:r>
    </w:p>
    <w:p>
      <w:pPr>
        <w:pStyle w:val="ListBullet"/>
      </w:pPr>
      <w:r>
        <w:t>hs_pilot_runs</w:t>
      </w:r>
    </w:p>
    <w:p>
      <w:pPr>
        <w:pStyle w:val="ListBullet"/>
      </w:pPr>
      <w:r>
        <w:t>hs_pilot_checkpoints</w:t>
      </w:r>
    </w:p>
    <w:p>
      <w:pPr>
        <w:pStyle w:val="ListBullet"/>
      </w:pPr>
      <w:r>
        <w:t>hs_pilot_pricing_experiments</w:t>
      </w:r>
    </w:p>
    <w:p>
      <w:pPr>
        <w:pStyle w:val="ListBullet"/>
      </w:pPr>
      <w:r>
        <w:t>hs_pilot_usage_events</w:t>
      </w:r>
    </w:p>
    <w:p>
      <w:pPr>
        <w:pStyle w:val="ListBullet"/>
      </w:pPr>
      <w:r>
        <w:t>hs_notice_reads</w:t>
      </w:r>
    </w:p>
    <w:p>
      <w:r>
        <w:t>Primary RPCs: hs6_start_pilot, hs6_update_pilot_status, hs6_record_checkpoint, hs6_record_pricing_experiment, hs6_record_usage_event, hs6_mark_notice_reads and hs6_get_pilot_snapshot. Pilot mutation/readiness controls are admin-governed; resident usage/read evidence remains member-scoped.</w:t>
      </w:r>
    </w:p>
    <w:p>
      <w:pPr>
        <w:pStyle w:val="Heading1"/>
      </w:pPr>
      <w:r>
        <w:t>Source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8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83"/>
          </w:tcPr>
          <w:p>
            <w:r>
              <w:t>HS-6 dedicated source gate</w:t>
            </w:r>
          </w:p>
        </w:tc>
        <w:tc>
          <w:tcPr>
            <w:tcW w:type="dxa" w:w="5083"/>
          </w:tcPr>
          <w:p>
            <w:r>
              <w:t>29 / 29</w:t>
            </w:r>
          </w:p>
        </w:tc>
      </w:tr>
      <w:tr>
        <w:tc>
          <w:tcPr>
            <w:tcW w:type="dxa" w:w="5083"/>
          </w:tcPr>
          <w:p>
            <w:r>
              <w:t>HS-5 regression</w:t>
            </w:r>
          </w:p>
        </w:tc>
        <w:tc>
          <w:tcPr>
            <w:tcW w:type="dxa" w:w="5083"/>
          </w:tcPr>
          <w:p>
            <w:r>
              <w:t>28 / 28</w:t>
            </w:r>
          </w:p>
        </w:tc>
      </w:tr>
      <w:tr>
        <w:tc>
          <w:tcPr>
            <w:tcW w:type="dxa" w:w="5083"/>
          </w:tcPr>
          <w:p>
            <w:r>
              <w:t>HS-4 regression</w:t>
            </w:r>
          </w:p>
        </w:tc>
        <w:tc>
          <w:tcPr>
            <w:tcW w:type="dxa" w:w="5083"/>
          </w:tcPr>
          <w:p>
            <w:r>
              <w:t>28 / 28</w:t>
            </w:r>
          </w:p>
        </w:tc>
      </w:tr>
      <w:tr>
        <w:tc>
          <w:tcPr>
            <w:tcW w:type="dxa" w:w="5083"/>
          </w:tcPr>
          <w:p>
            <w:r>
              <w:t>HS-3 regression</w:t>
            </w:r>
          </w:p>
        </w:tc>
        <w:tc>
          <w:tcPr>
            <w:tcW w:type="dxa" w:w="5083"/>
          </w:tcPr>
          <w:p>
            <w:r>
              <w:t>28 / 28</w:t>
            </w:r>
          </w:p>
        </w:tc>
      </w:tr>
      <w:tr>
        <w:tc>
          <w:tcPr>
            <w:tcW w:type="dxa" w:w="5083"/>
          </w:tcPr>
          <w:p>
            <w:r>
              <w:t>HS-2 regression</w:t>
            </w:r>
          </w:p>
        </w:tc>
        <w:tc>
          <w:tcPr>
            <w:tcW w:type="dxa" w:w="5083"/>
          </w:tcPr>
          <w:p>
            <w:r>
              <w:t>26 / 26</w:t>
            </w:r>
          </w:p>
        </w:tc>
      </w:tr>
      <w:tr>
        <w:tc>
          <w:tcPr>
            <w:tcW w:type="dxa" w:w="5083"/>
          </w:tcPr>
          <w:p>
            <w:r>
              <w:t>HS-1 regression</w:t>
            </w:r>
          </w:p>
        </w:tc>
        <w:tc>
          <w:tcPr>
            <w:tcW w:type="dxa" w:w="5083"/>
          </w:tcPr>
          <w:p>
            <w:r>
              <w:t>27 / 27</w:t>
            </w:r>
          </w:p>
        </w:tc>
      </w:tr>
      <w:tr>
        <w:tc>
          <w:tcPr>
            <w:tcW w:type="dxa" w:w="5083"/>
          </w:tcPr>
          <w:p>
            <w:r>
              <w:t>HS-0 regression</w:t>
            </w:r>
          </w:p>
        </w:tc>
        <w:tc>
          <w:tcPr>
            <w:tcW w:type="dxa" w:w="5083"/>
          </w:tcPr>
          <w:p>
            <w:r>
              <w:t>24 / 24</w:t>
            </w:r>
          </w:p>
        </w:tc>
      </w:tr>
      <w:tr>
        <w:tc>
          <w:tcPr>
            <w:tcW w:type="dxa" w:w="5083"/>
          </w:tcPr>
          <w:p>
            <w:r>
              <w:t>FCA-0 regression</w:t>
            </w:r>
          </w:p>
        </w:tc>
        <w:tc>
          <w:tcPr>
            <w:tcW w:type="dxa" w:w="5083"/>
          </w:tcPr>
          <w:p>
            <w:r>
              <w:t>27 / 27</w:t>
            </w:r>
          </w:p>
        </w:tc>
      </w:tr>
      <w:tr>
        <w:tc>
          <w:tcPr>
            <w:tcW w:type="dxa" w:w="5083"/>
          </w:tcPr>
          <w:p>
            <w:r>
              <w:t>Changed HS-6 TS/TSX syntax/transpile</w:t>
            </w:r>
          </w:p>
        </w:tc>
        <w:tc>
          <w:tcPr>
            <w:tcW w:type="dxa" w:w="5083"/>
          </w:tcPr>
          <w:p>
            <w:r>
              <w:t>7 / 7</w:t>
            </w:r>
          </w:p>
        </w:tc>
      </w:tr>
    </w:tbl>
    <w:p>
      <w:r>
        <w:t>Full Next.js runtime/type/build certification is intentionally not claimed here. The user plans to validate migrations and missions later; HS-6 remains RUNTIME VERIFY until staging and real-pilot checks are completed.</w:t>
      </w:r>
    </w:p>
    <w:p>
      <w:pPr>
        <w:pStyle w:val="Heading1"/>
      </w:pPr>
      <w:r>
        <w:t>Deferred after roadmap completion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Tally/accounting integration</w:t>
      </w:r>
    </w:p>
    <w:p>
      <w:pPr>
        <w:pStyle w:val="ListBullet"/>
      </w:pPr>
      <w:r>
        <w:t>WhatsApp/SMS automation</w:t>
      </w:r>
    </w:p>
    <w:p>
      <w:pPr>
        <w:pStyle w:val="ListBullet"/>
      </w:pPr>
      <w:r>
        <w:t>biometric/access integrations</w:t>
      </w:r>
    </w:p>
    <w:p>
      <w:pPr>
        <w:pStyle w:val="ListBullet"/>
      </w:pPr>
      <w:r>
        <w:t>parcel management</w:t>
      </w:r>
    </w:p>
    <w:p>
      <w:pPr>
        <w:pStyle w:val="ListBullet"/>
      </w:pPr>
      <w:r>
        <w:t>classifieds</w:t>
      </w:r>
    </w:p>
    <w:p>
      <w:pPr>
        <w:pStyle w:val="ListBullet"/>
      </w:pPr>
      <w:r>
        <w:t>IoT/meter integrations</w:t>
      </w:r>
    </w:p>
    <w:p>
      <w:pPr>
        <w:pStyle w:val="ListBullet"/>
      </w:pPr>
      <w:r>
        <w:t>AI intelligence</w:t>
      </w:r>
    </w:p>
    <w:p>
      <w:pPr>
        <w:pStyle w:val="ListBullet"/>
      </w:pPr>
      <w:r>
        <w:t>external municipality/regulatory integrations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