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Phase 4A — Runtime Robustness, Recovery &amp; Failure Handling</w:t>
      </w:r>
    </w:p>
    <w:p>
      <w:pPr>
        <w:jc w:val="center"/>
      </w:pPr>
      <w:r>
        <w:rPr>
          <w:i/>
        </w:rPr>
        <w:t>TrustWeave / Global Network OS · 10 September 2026</w:t>
      </w:r>
    </w:p>
    <w:p>
      <w:r>
        <w:rPr>
          <w:b/>
        </w:rPr>
        <w:t xml:space="preserve">Mission. </w:t>
      </w:r>
      <w:r>
        <w:t>Certify that normal application usage remains recoverable through reloads, browser-history transitions, slow backend responses, transient backend outages and mobile recovery states, while remaining independent from the unresolved Phase-3 Storage/RLS blocker.</w:t>
      </w:r>
    </w:p>
    <w:p>
      <w:r>
        <w:rPr>
          <w:b/>
        </w:rPr>
        <w:t xml:space="preserve">Critical safety boundary. </w:t>
      </w:r>
      <w:r>
        <w:t>Phase 4A executes no Supabase migrations, RLS/RPC audits, Storage mutations, network create/delete/purge lifecycle, QA seed, or QA cleanup. It reuses the existing deterministic fixture. Failure injection exists only inside Playwright routing and is removed before recovery verification.</w:t>
      </w:r>
    </w:p>
    <w:p>
      <w:pPr>
        <w:pStyle w:val="Heading1"/>
      </w:pPr>
      <w:r>
        <w:t>Certification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t>Area</w:t>
            </w:r>
          </w:p>
        </w:tc>
        <w:tc>
          <w:tcPr>
            <w:tcW w:type="dxa" w:w="5083"/>
            <w:vAlign w:val="center"/>
          </w:tcPr>
          <w:p>
            <w:r>
              <w:t>Proof</w:t>
            </w:r>
          </w:p>
        </w:tc>
      </w:tr>
      <w:tr>
        <w:tc>
          <w:tcPr>
            <w:tcW w:type="dxa" w:w="5083"/>
            <w:vAlign w:val="center"/>
          </w:tcPr>
          <w:p>
            <w:r>
              <w:t>Family owner</w:t>
            </w:r>
          </w:p>
        </w:tc>
        <w:tc>
          <w:tcPr>
            <w:tcW w:type="dxa" w:w="5083"/>
            <w:vAlign w:val="center"/>
          </w:tcPr>
          <w:p>
            <w:r>
              <w:t>Admin navigation → full reload → authenticated Family shell and admin access recover.</w:t>
            </w:r>
          </w:p>
        </w:tc>
      </w:tr>
      <w:tr>
        <w:tc>
          <w:tcPr>
            <w:tcW w:type="dxa" w:w="5083"/>
            <w:vAlign w:val="center"/>
          </w:tcPr>
          <w:p>
            <w:r>
              <w:t>Organization member</w:t>
            </w:r>
          </w:p>
        </w:tc>
        <w:tc>
          <w:tcPr>
            <w:tcW w:type="dxa" w:w="5083"/>
            <w:vAlign w:val="center"/>
          </w:tcPr>
          <w:p>
            <w:r>
              <w:t>Directory/search → reload → member shell/directory recover; admin controls remain absent.</w:t>
            </w:r>
          </w:p>
        </w:tc>
      </w:tr>
      <w:tr>
        <w:tc>
          <w:tcPr>
            <w:tcW w:type="dxa" w:w="5083"/>
            <w:vAlign w:val="center"/>
          </w:tcPr>
          <w:p>
            <w:r>
              <w:t>History/deep entry</w:t>
            </w:r>
          </w:p>
        </w:tc>
        <w:tc>
          <w:tcPr>
            <w:tcW w:type="dxa" w:w="5083"/>
            <w:vAlign w:val="center"/>
          </w:tcPr>
          <w:p>
            <w:r>
              <w:t>Authenticated query-string entry plus browser Back/Forward retain session and application shell.</w:t>
            </w:r>
          </w:p>
        </w:tc>
      </w:tr>
      <w:tr>
        <w:tc>
          <w:tcPr>
            <w:tcW w:type="dxa" w:w="5083"/>
            <w:vAlign w:val="center"/>
          </w:tcPr>
          <w:p>
            <w:r>
              <w:t>Slow backend</w:t>
            </w:r>
          </w:p>
        </w:tc>
        <w:tc>
          <w:tcPr>
            <w:tcW w:type="dxa" w:w="5083"/>
            <w:vAlign w:val="center"/>
          </w:tcPr>
          <w:p>
            <w:r>
              <w:t>REST responses delayed by 400 ms; Professional shell must still become healthy.</w:t>
            </w:r>
          </w:p>
        </w:tc>
      </w:tr>
      <w:tr>
        <w:tc>
          <w:tcPr>
            <w:tcW w:type="dxa" w:w="5083"/>
            <w:vAlign w:val="center"/>
          </w:tcPr>
          <w:p>
            <w:r>
              <w:t>Transient outage</w:t>
            </w:r>
          </w:p>
        </w:tc>
        <w:tc>
          <w:tcPr>
            <w:tcW w:type="dxa" w:w="5083"/>
            <w:vAlign w:val="center"/>
          </w:tcPr>
          <w:p>
            <w:r>
              <w:t>Browser-local REST 503 during reload must not leak raw stack/database errors; after route restoration, clean reload recovers without re-login.</w:t>
            </w:r>
          </w:p>
        </w:tc>
      </w:tr>
      <w:tr>
        <w:tc>
          <w:tcPr>
            <w:tcW w:type="dxa" w:w="5083"/>
            <w:vAlign w:val="center"/>
          </w:tcPr>
          <w:p>
            <w:r>
              <w:t>Mobile recovery</w:t>
            </w:r>
          </w:p>
        </w:tc>
        <w:tc>
          <w:tcPr>
            <w:tcW w:type="dxa" w:w="5083"/>
            <w:vAlign w:val="center"/>
          </w:tcPr>
          <w:p>
            <w:r>
              <w:t>390×844 Organization member reload retains usable mobile Directory navigation and bounded horizontal layout.</w:t>
            </w:r>
          </w:p>
        </w:tc>
      </w:tr>
      <w:tr>
        <w:tc>
          <w:tcPr>
            <w:tcW w:type="dxa" w:w="5083"/>
            <w:vAlign w:val="center"/>
          </w:tcPr>
          <w:p>
            <w:r>
              <w:t>Accessibility</w:t>
            </w:r>
          </w:p>
        </w:tc>
        <w:tc>
          <w:tcPr>
            <w:tcW w:type="dxa" w:w="5083"/>
            <w:vAlign w:val="center"/>
          </w:tcPr>
          <w:p>
            <w:r>
              <w:t>Post-recovery mobile Organization Directory must have zero serious/critical axe findings for WCAG A/AA/2.1AA tags.</w:t>
            </w:r>
          </w:p>
        </w:tc>
      </w:tr>
    </w:tbl>
    <w:p>
      <w:pPr>
        <w:pStyle w:val="Heading1"/>
      </w:pPr>
      <w:r>
        <w:t>Execution Model</w:t>
      </w:r>
    </w:p>
    <w:p>
      <w:pPr>
        <w:pStyle w:val="ListBullet"/>
      </w:pPr>
      <w:r>
        <w:t>One headed Chromium worker, matching the locally certified browser operating mode.</w:t>
      </w:r>
    </w:p>
    <w:p>
      <w:pPr>
        <w:pStyle w:val="ListBullet"/>
      </w:pPr>
      <w:r>
        <w:t>Existing qa-results/fixtures/seed-state.json is mandatory; Phase 4A never regenerates it.</w:t>
      </w:r>
    </w:p>
    <w:p>
      <w:pPr>
        <w:pStyle w:val="ListBullet"/>
      </w:pPr>
      <w:r>
        <w:t>Normal authenticated application reads are allowed. Minimal active-network switching is used only to place the existing owner/member accounts into deterministic representative networks.</w:t>
      </w:r>
    </w:p>
    <w:p>
      <w:pPr>
        <w:pStyle w:val="ListBullet"/>
      </w:pPr>
      <w:r>
        <w:t>Runtime assertions reject raw stack/SQL/runtime leakage and fatal JavaScript page errors.</w:t>
      </w:r>
    </w:p>
    <w:p>
      <w:pPr>
        <w:pStyle w:val="ListBullet"/>
      </w:pPr>
      <w:r>
        <w:t>Playwright route interception is reversible within each failure-injection test; the real backend is not modified.</w:t>
      </w:r>
    </w:p>
    <w:p>
      <w:pPr>
        <w:pStyle w:val="Heading1"/>
      </w:pPr>
      <w:r>
        <w:t>Commands</w:t>
      </w:r>
    </w:p>
    <w:p>
      <w:r>
        <w:rPr>
          <w:b/>
        </w:rPr>
        <w:t>npm run qa:phase4a:local</w:t>
      </w:r>
      <w:r>
        <w:t xml:space="preserve"> — Static/local contracts only; safest first step.</w:t>
      </w:r>
    </w:p>
    <w:p>
      <w:r>
        <w:rPr>
          <w:b/>
        </w:rPr>
        <w:t>npm run qa:phase4a:browser</w:t>
      </w:r>
      <w:r>
        <w:t xml:space="preserve"> — Dedicated seven-test headed Chromium robustness/recovery suite.</w:t>
      </w:r>
    </w:p>
    <w:p>
      <w:r>
        <w:rPr>
          <w:b/>
        </w:rPr>
        <w:t>npm run qa:certify:phase4a</w:t>
      </w:r>
      <w:r>
        <w:t xml:space="preserve"> — Runs Phase-4A local contracts and browser suite, then writes certification evidence.</w:t>
      </w:r>
    </w:p>
    <w:p>
      <w:pPr>
        <w:pStyle w:val="Heading1"/>
      </w:pPr>
      <w:r>
        <w:t>Evidence</w:t>
      </w:r>
    </w:p>
    <w:p>
      <w:pPr>
        <w:pStyle w:val="ListBullet"/>
      </w:pPr>
      <w:r>
        <w:t>qa-results/PHASE4A-CERTIFICATION-SUMMARY.json</w:t>
      </w:r>
    </w:p>
    <w:p>
      <w:pPr>
        <w:pStyle w:val="ListBullet"/>
      </w:pPr>
      <w:r>
        <w:t>qa-results/PHASE4A-CERTIFICATION-SUMMARY.md</w:t>
      </w:r>
    </w:p>
    <w:p>
      <w:pPr>
        <w:pStyle w:val="ListBullet"/>
      </w:pPr>
      <w:r>
        <w:t>Playwright HTML/JUnit/JSON + trace/video/screenshot on failure</w:t>
      </w:r>
    </w:p>
    <w:p>
      <w:pPr>
        <w:pStyle w:val="Heading1"/>
      </w:pPr>
      <w:r>
        <w:t>Certification Rule</w:t>
      </w:r>
    </w:p>
    <w:p>
      <w:r>
        <w:rPr>
          <w:b/>
        </w:rPr>
        <w:t xml:space="preserve">PASS: </w:t>
      </w:r>
      <w:r>
        <w:t>all Phase-4A local contracts and all dedicated browser recovery tests pass. Final status: PHASE4A_CERTIFIED.</w:t>
      </w:r>
    </w:p>
    <w:p>
      <w:r>
        <w:rPr>
          <w:b/>
        </w:rPr>
        <w:t xml:space="preserve">IMPORTANT: </w:t>
      </w:r>
      <w:r>
        <w:t>PHASE4A_CERTIFIED is independent of Phase 3. It does not waive, mask, or close P3-STORAGE-002.</w:t>
      </w:r>
    </w:p>
    <w:p>
      <w:pPr>
        <w:pStyle w:val="Heading1"/>
      </w:pPr>
      <w:r>
        <w:t>Explicitly Deferred</w:t>
      </w:r>
    </w:p>
    <w:p>
      <w:pPr>
        <w:pStyle w:val="ListBullet"/>
      </w:pPr>
      <w:r>
        <w:t>P3-STORAGE-002 root-cause closure and controlled review of migrations 096/097, including the current 1 MB media bucket ceiling.</w:t>
      </w:r>
    </w:p>
    <w:p>
      <w:pPr>
        <w:pStyle w:val="ListBullet"/>
      </w:pPr>
      <w:r>
        <w:t>Strict RPC privilege remediation.</w:t>
      </w:r>
    </w:p>
    <w:p>
      <w:pPr>
        <w:pStyle w:val="ListBullet"/>
      </w:pPr>
      <w:r>
        <w:t>Disposable clean migration replay and existing-instance upgrade certification.</w:t>
      </w:r>
    </w:p>
    <w:p>
      <w:pPr>
        <w:pStyle w:val="ListBullet"/>
      </w:pPr>
      <w:r>
        <w:t>Headless/CI stabilization and Firefox/WebKit expansion.</w:t>
      </w:r>
    </w:p>
    <w:p>
      <w:pPr>
        <w:pStyle w:val="ListBullet"/>
      </w:pPr>
      <w:r>
        <w:t>Performance, volume, stress and load testing.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QA · Phase 4A 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