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HS-3 — Maintenance, Dues &amp; Finance</w:t>
      </w:r>
    </w:p>
    <w:p>
      <w:pPr>
        <w:jc w:val="center"/>
      </w:pPr>
      <w:r>
        <w:rPr>
          <w:b/>
        </w:rPr>
        <w:t>TrustWeave Housing Society Vertical · Source Implementation Closure</w:t>
      </w:r>
    </w:p>
    <w:p>
      <w:pPr>
        <w:jc w:val="center"/>
      </w:pPr>
      <w:r>
        <w:t>Status: SOURCE IMPLEMENTED / RUNTIME VERIFY</w:t>
      </w:r>
    </w:p>
    <w:p>
      <w:pPr>
        <w:pStyle w:val="Heading1"/>
      </w:pPr>
      <w:r>
        <w:t>Mission objective</w:t>
      </w:r>
    </w:p>
    <w:p>
      <w:r>
        <w:t>Represent one complete Housing Society maintenance billing cycle accurately without turning TrustWeave into a payment gateway or a full accounting replacement. The Unit/Flat remains the operating and financial object; member identity and property history continue to come from HS-1.</w:t>
      </w:r>
    </w:p>
    <w:p>
      <w:pPr>
        <w:pStyle w:val="Heading1"/>
      </w:pPr>
      <w:r>
        <w:t>Build regression fixed</w:t>
      </w:r>
    </w:p>
    <w:p>
      <w:r>
        <w:t>HS-2 added notices, complaints, vendors, amenities and bookings to the Housing Society template, but the shared CapabilityId union still contained only the older generic capability vocabulary. The shared contract is now exhaustive for those HS-2 capabilities and for HS-3 maintenance, billing, dues and finance. The Housing Society template type-checks against the shared contract without casts.</w:t>
      </w:r>
    </w:p>
    <w:p>
      <w:pPr>
        <w:pStyle w:val="Heading1"/>
      </w:pPr>
      <w:r>
        <w:t>Delivered finance core</w:t>
      </w:r>
    </w:p>
    <w:p>
      <w:pPr>
        <w:pStyle w:val="ListBullet"/>
      </w:pPr>
      <w:r>
        <w:t>Configurable charge heads: maintenance, sinking fund, repair fund, parking, water, common electricity, non-occupancy, special assessment and other.</w:t>
      </w:r>
    </w:p>
    <w:p>
      <w:pPr>
        <w:pStyle w:val="ListBullet"/>
      </w:pPr>
      <w:r>
        <w:t>Billing cycles with period, due date, grace days and penalty-rate configuration.</w:t>
      </w:r>
    </w:p>
    <w:p>
      <w:pPr>
        <w:pStyle w:val="ListBullet"/>
      </w:pPr>
      <w:r>
        <w:t>Flat/unit bills generated from active fixed charge heads with duplicate-cycle protection.</w:t>
      </w:r>
    </w:p>
    <w:p>
      <w:pPr>
        <w:pStyle w:val="ListBullet"/>
      </w:pPr>
      <w:r>
        <w:t>Immutable bill line items plus separate credit, debit, waiver and penalty adjustment history.</w:t>
      </w:r>
    </w:p>
    <w:p>
      <w:pPr>
        <w:pStyle w:val="ListBullet"/>
      </w:pPr>
      <w:r>
        <w:t>Deterministic paid / partial / unpaid / waived state recalculation from recorded lines, adjustments and payments.</w:t>
      </w:r>
    </w:p>
    <w:p>
      <w:pPr>
        <w:pStyle w:val="ListBullet"/>
      </w:pPr>
      <w:r>
        <w:t>Manual payment records with payment reference and receipt number. Online payment gateway remains intentionally deferred.</w:t>
      </w:r>
    </w:p>
    <w:p>
      <w:pPr>
        <w:pStyle w:val="ListBullet"/>
      </w:pPr>
      <w:r>
        <w:t>Resident Maintenance surface scoped to the signed-in resident’s currently occupied flat ledger and receipts.</w:t>
      </w:r>
    </w:p>
    <w:p>
      <w:pPr>
        <w:pStyle w:val="ListBullet"/>
      </w:pPr>
      <w:r>
        <w:t>Committee flat ledger with payment recording, adjustments/waivers and arrears watch.</w:t>
      </w:r>
    </w:p>
    <w:p>
      <w:pPr>
        <w:pStyle w:val="ListBullet"/>
      </w:pPr>
      <w:r>
        <w:t>Society funds with member/admin visibility, budget lines, actual expenses and budget-vs-actual visibility.</w:t>
      </w:r>
    </w:p>
    <w:p>
      <w:pPr>
        <w:pStyle w:val="Heading1"/>
      </w:pPr>
      <w:r>
        <w:t>Persistence and security</w:t>
      </w:r>
    </w:p>
    <w:p>
      <w:r>
        <w:t>Migration 085_hs3_maintenance_dues_finance.sql adds charge heads, billing cycles, unit bills, bill line items, bill adjustments, payments, funds, budget lines and expenses. Important financial facts are not overwritten. Resident bill/payment reads are restricted to a unit currently occupied through the claimed person identity. Official finance mutations require society-admin privileges.</w:t>
      </w:r>
    </w:p>
    <w:p>
      <w:pPr>
        <w:pStyle w:val="Heading1"/>
      </w:pPr>
      <w:r>
        <w:t>Validation</w:t>
      </w:r>
    </w:p>
    <w:p>
      <w:pPr>
        <w:pStyle w:val="ListBullet"/>
      </w:pPr>
      <w:r>
        <w:t>HS-3 source gate: 28/28 checks pass.</w:t>
      </w:r>
    </w:p>
    <w:p>
      <w:pPr>
        <w:pStyle w:val="ListBullet"/>
      </w:pPr>
      <w:r>
        <w:t>Regression chain: HS-2 26/26, HS-1 27/27, HS-0 24/24, FCA-0 27/27.</w:t>
      </w:r>
    </w:p>
    <w:p>
      <w:pPr>
        <w:pStyle w:val="ListBullet"/>
      </w:pPr>
      <w:r>
        <w:t>Isolated CapabilityId + Housing Society template TypeScript type-check passes.</w:t>
      </w:r>
    </w:p>
    <w:p>
      <w:pPr>
        <w:pStyle w:val="ListBullet"/>
      </w:pPr>
      <w:r>
        <w:t>Changed TypeScript/TSX syntax/transpile check: 7/7 pass.</w:t>
      </w:r>
    </w:p>
    <w:p>
      <w:pPr>
        <w:pStyle w:val="Heading1"/>
      </w:pPr>
      <w:r>
        <w:t>Runtime certification gate</w:t>
      </w:r>
    </w:p>
    <w:p>
      <w:pPr>
        <w:pStyle w:val="ListBullet"/>
      </w:pPr>
      <w:r>
        <w:t>Apply and rerun migration 085 on staging.</w:t>
      </w:r>
    </w:p>
    <w:p>
      <w:pPr>
        <w:pStyle w:val="ListBullet"/>
      </w:pPr>
      <w:r>
        <w:t>Create at least two charge heads and generate one cycle across 20–50 real/sanitized flats.</w:t>
      </w:r>
    </w:p>
    <w:p>
      <w:pPr>
        <w:pStyle w:val="ListBullet"/>
      </w:pPr>
      <w:r>
        <w:t>Record a full payment, partial payment and waiver; verify deterministic statuses and receipts.</w:t>
      </w:r>
    </w:p>
    <w:p>
      <w:pPr>
        <w:pStyle w:val="ListBullet"/>
      </w:pPr>
      <w:r>
        <w:t>Verify residents cannot read another flat’s bills or invoke admin finance mutations.</w:t>
      </w:r>
    </w:p>
    <w:p>
      <w:pPr>
        <w:pStyle w:val="ListBullet"/>
      </w:pPr>
      <w:r>
        <w:t>Reconcile total billed, collected, outstanding, funds and budget/actual values against a known source spreadsheet/ledger.</w:t>
      </w:r>
    </w:p>
    <w:p>
      <w:pPr>
        <w:pStyle w:val="Heading1"/>
      </w:pPr>
      <w:r>
        <w:t>Deferred intentionally</w:t>
      </w:r>
    </w:p>
    <w:p>
      <w:pPr>
        <w:pStyle w:val="ListBullet"/>
      </w:pPr>
      <w:r>
        <w:t>Payment gateway and automatic bank reconciliation</w:t>
      </w:r>
    </w:p>
    <w:p>
      <w:pPr>
        <w:pStyle w:val="ListBullet"/>
      </w:pPr>
      <w:r>
        <w:t>Tally/accounting integration</w:t>
      </w:r>
    </w:p>
    <w:p>
      <w:pPr>
        <w:pStyle w:val="ListBullet"/>
      </w:pPr>
      <w:r>
        <w:t>Automated penalty scheduler</w:t>
      </w:r>
    </w:p>
    <w:p>
      <w:pPr>
        <w:pStyle w:val="ListBullet"/>
      </w:pPr>
      <w:r>
        <w:t>Invoice PDF/email automation</w:t>
      </w:r>
    </w:p>
    <w:p>
      <w:pPr>
        <w:pStyle w:val="ListBullet"/>
      </w:pPr>
      <w:r>
        <w:t>Advanced GST/tax engine</w:t>
      </w:r>
    </w:p>
    <w:p>
      <w:pPr>
        <w:pStyle w:val="Heading1"/>
      </w:pPr>
      <w:r>
        <w:t>Next mission</w:t>
      </w:r>
    </w:p>
    <w:p>
      <w:r>
        <w:t>HS-4 — Governance, Meetings &amp; Decisions, after HS-3 runtime verification.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