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pBdr>
          <w:bottom w:val="single" w:sz="8" w:color="5B9BD5"/>
        </w:pBdr>
      </w:pPr>
      <w:r>
        <w:t>HS-1 — Property, Household &amp; Resident Core</w:t>
      </w:r>
    </w:p>
    <w:p>
      <w:pPr>
        <w:pStyle w:val="Heading1"/>
      </w:pPr>
      <w:r>
        <w:t>Status</w:t>
      </w:r>
    </w:p>
    <w:p>
      <w:r>
        <w:rPr>
          <w:b/>
        </w:rPr>
        <w:t>SOURCE IMPLEMENTED / RUNTIME VERIFY</w:t>
      </w:r>
    </w:p>
    <w:p>
      <w:pPr>
        <w:pStyle w:val="Heading1"/>
      </w:pPr>
      <w:r>
        <w:t>Mission goal</w:t>
      </w:r>
    </w:p>
    <w:p>
      <w:r>
        <w:t>Make the Housing Society people/property graph trustworthy enough for a real 20–50 unit pilot without manual database work.</w:t>
      </w:r>
    </w:p>
    <w:p>
      <w:pPr>
        <w:pStyle w:val="Heading1"/>
      </w:pPr>
      <w:r>
        <w:t>Delivered</w:t>
      </w:r>
    </w:p>
    <w:p>
      <w:pPr>
        <w:pStyle w:val="ListBullet"/>
      </w:pPr>
      <w:r>
        <w:t>append-only owner / co-owner / tenant / occupant lifecycle with effective start/end dates;</w:t>
      </w:r>
    </w:p>
    <w:p>
      <w:pPr>
        <w:pStyle w:val="ListBullet"/>
      </w:pPr>
      <w:r>
        <w:t>explicit separation between current graph relationships and historical property facts;</w:t>
      </w:r>
    </w:p>
    <w:p>
      <w:pPr>
        <w:pStyle w:val="ListBullet"/>
      </w:pPr>
      <w:r>
        <w:t xml:space="preserve">resident </w:t>
      </w:r>
      <w:r>
        <w:rPr>
          <w:b/>
        </w:rPr>
        <w:t>My Flat</w:t>
      </w:r>
      <w:r>
        <w:t xml:space="preserve"> surface based on claimed identity + current occupancy;</w:t>
      </w:r>
    </w:p>
    <w:p>
      <w:pPr>
        <w:pStyle w:val="ListBullet"/>
      </w:pPr>
      <w:r>
        <w:t>resident directory retains profile thumbnails and adds Housing Society filters for units/households/residents, Building/Tower and owner/tenant resident type;</w:t>
      </w:r>
    </w:p>
    <w:p>
      <w:pPr>
        <w:pStyle w:val="ListBullet"/>
      </w:pPr>
      <w:r>
        <w:t>household membership remains a reusable generic graph primitive;</w:t>
      </w:r>
    </w:p>
    <w:p>
      <w:pPr>
        <w:pStyle w:val="ListBullet"/>
      </w:pPr>
      <w:r>
        <w:t>resident profile claiming through society-specific, single-resident invitation links bound to the invited verified email;</w:t>
      </w:r>
    </w:p>
    <w:p>
      <w:pPr>
        <w:pStyle w:val="ListBullet"/>
      </w:pPr>
      <w:r>
        <w:t>vehicle registration scoped to a resident's current flat;</w:t>
      </w:r>
    </w:p>
    <w:p>
      <w:pPr>
        <w:pStyle w:val="ListBullet"/>
      </w:pPr>
      <w:r>
        <w:t>parking slots and time-bounded parking allocation history;</w:t>
      </w:r>
    </w:p>
    <w:p>
      <w:pPr>
        <w:pStyle w:val="ListBullet"/>
      </w:pPr>
      <w:r>
        <w:t>committee/admin property snapshot and owner/tenant history table;</w:t>
      </w:r>
    </w:p>
    <w:p>
      <w:pPr>
        <w:pStyle w:val="ListBullet"/>
      </w:pPr>
      <w:r>
        <w:t>Excel/CSV bulk onboarding with explicit column mapping;</w:t>
      </w:r>
    </w:p>
    <w:p>
      <w:pPr>
        <w:pStyle w:val="ListBullet"/>
      </w:pPr>
      <w:r>
        <w:t>import processing for units, residents, households, occupancy roles, invitations, vehicles and parking;</w:t>
      </w:r>
    </w:p>
    <w:p>
      <w:pPr>
        <w:pStyle w:val="ListBullet"/>
      </w:pPr>
      <w:r>
        <w:t>import batch audit records;</w:t>
      </w:r>
    </w:p>
    <w:p>
      <w:pPr>
        <w:pStyle w:val="ListBullet"/>
      </w:pPr>
      <w:r>
        <w:t>Housing Society-specific feature catalog, guide content and Launch Control feature rows.</w:t>
      </w:r>
    </w:p>
    <w:p>
      <w:pPr>
        <w:pStyle w:val="Heading1"/>
      </w:pPr>
      <w:r>
        <w:t>Data model</w:t>
      </w:r>
    </w:p>
    <w:p>
      <w:pPr>
        <w:pStyle w:val="Heading2"/>
      </w:pPr>
      <w:r>
        <w:rPr>
          <w:rFonts w:ascii="Aptos Mono" w:hAnsi="Aptos Mono"/>
          <w:color w:val="1F4E79"/>
          <w:sz w:val="17"/>
        </w:rPr>
        <w:t>hs_unit_occupancy_history</w:t>
      </w:r>
    </w:p>
    <w:p>
      <w:r>
        <w:t xml:space="preserve">The authoritative temporal property lifecycle. A new period is appended; an active prior period is ended rather than erased. Roles: </w:t>
      </w:r>
      <w:r>
        <w:rPr>
          <w:rFonts w:ascii="Aptos Mono" w:hAnsi="Aptos Mono"/>
          <w:color w:val="1F4E79"/>
          <w:sz w:val="17"/>
        </w:rPr>
        <w:t>owner</w:t>
      </w:r>
      <w:r>
        <w:t xml:space="preserve">, </w:t>
      </w:r>
      <w:r>
        <w:rPr>
          <w:rFonts w:ascii="Aptos Mono" w:hAnsi="Aptos Mono"/>
          <w:color w:val="1F4E79"/>
          <w:sz w:val="17"/>
        </w:rPr>
        <w:t>co-owner</w:t>
      </w:r>
      <w:r>
        <w:t xml:space="preserve">, </w:t>
      </w:r>
      <w:r>
        <w:rPr>
          <w:rFonts w:ascii="Aptos Mono" w:hAnsi="Aptos Mono"/>
          <w:color w:val="1F4E79"/>
          <w:sz w:val="17"/>
        </w:rPr>
        <w:t>tenant</w:t>
      </w:r>
      <w:r>
        <w:t xml:space="preserve">, </w:t>
      </w:r>
      <w:r>
        <w:rPr>
          <w:rFonts w:ascii="Aptos Mono" w:hAnsi="Aptos Mono"/>
          <w:color w:val="1F4E79"/>
          <w:sz w:val="17"/>
        </w:rPr>
        <w:t>occupant</w:t>
      </w:r>
      <w:r>
        <w:t>.</w:t>
      </w:r>
    </w:p>
    <w:p>
      <w:pPr>
        <w:pStyle w:val="Heading2"/>
      </w:pPr>
      <w:r>
        <w:rPr>
          <w:rFonts w:ascii="Aptos Mono" w:hAnsi="Aptos Mono"/>
          <w:color w:val="1F4E79"/>
          <w:sz w:val="17"/>
        </w:rPr>
        <w:t>hs_parking_slots</w:t>
      </w:r>
      <w:r>
        <w:t xml:space="preserve">, </w:t>
      </w:r>
      <w:r>
        <w:rPr>
          <w:rFonts w:ascii="Aptos Mono" w:hAnsi="Aptos Mono"/>
          <w:color w:val="1F4E79"/>
          <w:sz w:val="17"/>
        </w:rPr>
        <w:t>hs_vehicles</w:t>
      </w:r>
      <w:r>
        <w:t xml:space="preserve">, </w:t>
      </w:r>
      <w:r>
        <w:rPr>
          <w:rFonts w:ascii="Aptos Mono" w:hAnsi="Aptos Mono"/>
          <w:color w:val="1F4E79"/>
          <w:sz w:val="17"/>
        </w:rPr>
        <w:t>hs_parking_allocations</w:t>
      </w:r>
    </w:p>
    <w:p>
      <w:r>
        <w:t>Parking slots are society-controlled. Vehicles may be resident-created only for a currently occupied flat. Allocation history is time bounded and admin governed.</w:t>
      </w:r>
    </w:p>
    <w:p>
      <w:pPr>
        <w:pStyle w:val="Heading2"/>
      </w:pPr>
      <w:r>
        <w:rPr>
          <w:rFonts w:ascii="Aptos Mono" w:hAnsi="Aptos Mono"/>
          <w:color w:val="1F4E79"/>
          <w:sz w:val="17"/>
        </w:rPr>
        <w:t>hs_resident_invitations</w:t>
      </w:r>
    </w:p>
    <w:p>
      <w:r>
        <w:t>Invitation records bind a person entity, optional unit, email, single token, expiry and claim state. Accepting requires authentication with the invited email; acceptance joins the society and claims only that resident entity.</w:t>
      </w:r>
    </w:p>
    <w:p>
      <w:pPr>
        <w:pStyle w:val="Heading2"/>
      </w:pPr>
      <w:r>
        <w:rPr>
          <w:rFonts w:ascii="Aptos Mono" w:hAnsi="Aptos Mono"/>
          <w:color w:val="1F4E79"/>
          <w:sz w:val="17"/>
        </w:rPr>
        <w:t>hs_import_batches</w:t>
      </w:r>
    </w:p>
    <w:p>
      <w:r>
        <w:t>Tracks file name, mapping, row count, inserted/updated/skipped counts and commit/failure state.</w:t>
      </w:r>
    </w:p>
    <w:p>
      <w:pPr>
        <w:pStyle w:val="Heading1"/>
      </w:pPr>
      <w:r>
        <w:t>Authorization boundaries</w:t>
      </w:r>
    </w:p>
    <w:p>
      <w:pPr>
        <w:pStyle w:val="ListBullet"/>
      </w:pPr>
      <w:r>
        <w:t xml:space="preserve">official ownership, tenancy and occupancy facts: </w:t>
      </w:r>
      <w:r>
        <w:rPr>
          <w:b/>
        </w:rPr>
        <w:t>network owner/admin only</w:t>
      </w:r>
      <w:r>
        <w:t>;</w:t>
      </w:r>
    </w:p>
    <w:p>
      <w:pPr>
        <w:pStyle w:val="ListBullet"/>
      </w:pPr>
      <w:r>
        <w:t xml:space="preserve">parking slots/allocation: </w:t>
      </w:r>
      <w:r>
        <w:rPr>
          <w:b/>
        </w:rPr>
        <w:t>network owner/admin only</w:t>
      </w:r>
      <w:r>
        <w:t>;</w:t>
      </w:r>
    </w:p>
    <w:p>
      <w:pPr>
        <w:pStyle w:val="ListBullet"/>
      </w:pPr>
      <w:r>
        <w:t>resident claiming: invited verified email only;</w:t>
      </w:r>
    </w:p>
    <w:p>
      <w:pPr>
        <w:pStyle w:val="ListBullet"/>
      </w:pPr>
      <w:r>
        <w:t>My Flat: derived from the signed-in user's claimed person entity;</w:t>
      </w:r>
    </w:p>
    <w:p>
      <w:pPr>
        <w:pStyle w:val="ListBullet"/>
      </w:pPr>
      <w:r>
        <w:t>vehicle registration: member may write only against a currently occupied unit;</w:t>
      </w:r>
    </w:p>
    <w:p>
      <w:pPr>
        <w:pStyle w:val="ListBullet"/>
      </w:pPr>
      <w:r>
        <w:t>invitation list/tokens: admin snapshot only;</w:t>
      </w:r>
    </w:p>
    <w:p>
      <w:pPr>
        <w:pStyle w:val="ListBullet"/>
      </w:pPr>
      <w:r>
        <w:t>finance, complaints, security records and owner documents remain outside HS-1.</w:t>
      </w:r>
    </w:p>
    <w:p>
      <w:pPr>
        <w:pStyle w:val="Heading1"/>
      </w:pPr>
      <w:r>
        <w:t>Bulk onboarding contract</w:t>
      </w:r>
    </w:p>
    <w:p>
      <w:r>
        <w:t xml:space="preserve">The mapper requires </w:t>
      </w:r>
      <w:r>
        <w:rPr>
          <w:rFonts w:ascii="Aptos Mono" w:hAnsi="Aptos Mono"/>
          <w:color w:val="1F4E79"/>
          <w:sz w:val="17"/>
        </w:rPr>
        <w:t>unit</w:t>
      </w:r>
      <w:r>
        <w:t xml:space="preserve"> + </w:t>
      </w:r>
      <w:r>
        <w:rPr>
          <w:rFonts w:ascii="Aptos Mono" w:hAnsi="Aptos Mono"/>
          <w:color w:val="1F4E79"/>
          <w:sz w:val="17"/>
        </w:rPr>
        <w:t>resident_name</w:t>
      </w:r>
      <w:r>
        <w:t>. Recommended fields include building, wing, floor, unit type, occupancy role, resident email, phone, household, vehicle registration/type and parking slot. Aliases cover common inputs such as Flat, Flat No, Tower and Parking.</w:t>
      </w:r>
    </w:p>
    <w:p>
      <w:r>
        <w:t>The database importer upserts structure/person records, links households/residency, appends current occupancy history if absent, creates verified-email invitation records, and can seed vehicle/parking data. It also records an import batch so onboarding is auditable.</w:t>
      </w:r>
    </w:p>
    <w:p>
      <w:pPr>
        <w:pStyle w:val="Heading1"/>
      </w:pPr>
      <w:r>
        <w:t>Validation</w:t>
      </w:r>
    </w:p>
    <w:p>
      <w:pPr>
        <w:pStyle w:val="ListBullet"/>
      </w:pPr>
      <w:r>
        <w:rPr>
          <w:rFonts w:ascii="Aptos Mono" w:hAnsi="Aptos Mono"/>
          <w:color w:val="1F4E79"/>
          <w:sz w:val="17"/>
        </w:rPr>
        <w:t>npm run validate:hs1</w:t>
      </w:r>
      <w:r>
        <w:t>: 25 HS-1 checks.</w:t>
      </w:r>
    </w:p>
    <w:p>
      <w:pPr>
        <w:pStyle w:val="ListBullet"/>
      </w:pPr>
      <w:r>
        <w:t>chained HS-0 gate: 24 checks.</w:t>
      </w:r>
    </w:p>
    <w:p>
      <w:pPr>
        <w:pStyle w:val="ListBullet"/>
      </w:pPr>
      <w:r>
        <w:t>chained FCA-0 regression gate: 27 checks.</w:t>
      </w:r>
    </w:p>
    <w:p>
      <w:pPr>
        <w:pStyle w:val="ListBullet"/>
      </w:pPr>
      <w:r>
        <w:t>7 changed/new TS/TSX HS-1 files pass TypeScript parse/transpile validation with the installed compiler.</w:t>
      </w:r>
    </w:p>
    <w:p>
      <w:pPr>
        <w:pStyle w:val="ListBullet"/>
      </w:pPr>
      <w:r>
        <w:t xml:space="preserve">full project </w:t>
      </w:r>
      <w:r>
        <w:rPr>
          <w:rFonts w:ascii="Aptos Mono" w:hAnsi="Aptos Mono"/>
          <w:color w:val="1F4E79"/>
          <w:sz w:val="17"/>
        </w:rPr>
        <w:t>tsc --noEmit</w:t>
      </w:r>
      <w:r>
        <w:t xml:space="preserve"> is not certifiable from this ZIP because </w:t>
      </w:r>
      <w:r>
        <w:rPr>
          <w:rFonts w:ascii="Aptos Mono" w:hAnsi="Aptos Mono"/>
          <w:color w:val="1F4E79"/>
          <w:sz w:val="17"/>
        </w:rPr>
        <w:t>node_modules</w:t>
      </w:r>
      <w:r>
        <w:t xml:space="preserve"> is absent; errors begin with missing React/Next/Supabase/Node packages.</w:t>
      </w:r>
    </w:p>
    <w:p>
      <w:pPr>
        <w:pStyle w:val="Heading1"/>
      </w:pPr>
      <w:r>
        <w:t>Runtime verification still required</w:t>
      </w:r>
    </w:p>
    <w:p>
      <w:r>
        <w:t xml:space="preserve">Apply migration </w:t>
      </w:r>
      <w:r>
        <w:rPr>
          <w:rFonts w:ascii="Aptos Mono" w:hAnsi="Aptos Mono"/>
          <w:color w:val="1F4E79"/>
          <w:sz w:val="17"/>
        </w:rPr>
        <w:t>083_hs1_property_household_resident_core.sql</w:t>
      </w:r>
      <w:r>
        <w:t xml:space="preserve"> to a disposable/staging Supabase instance and execute </w:t>
      </w:r>
      <w:r>
        <w:rPr>
          <w:rFonts w:ascii="Aptos Mono" w:hAnsi="Aptos Mono"/>
          <w:color w:val="1F4E79"/>
          <w:sz w:val="17"/>
        </w:rPr>
        <w:t>HS-1-RUNTIME-VERIFICATION-CHECKLIST.md</w:t>
      </w:r>
      <w:r>
        <w:t xml:space="preserve"> before calling HS-1 runtime certified.</w:t>
      </w:r>
    </w:p>
    <w:p>
      <w:pPr>
        <w:pStyle w:val="Heading1"/>
      </w:pPr>
      <w:r>
        <w:t>Not included</w:t>
      </w:r>
    </w:p>
    <w:p>
      <w:r>
        <w:t>Complaints/notices/vendor operations (HS-2), maintenance billing/dues (HS-3), governance (HS-4), visitor/security/compliance/assets (HS-5).</w:t>
      </w:r>
    </w:p>
    <w:p>
      <w:pPr>
        <w:pStyle w:val="Heading1"/>
      </w:pPr>
      <w:r>
        <w:t>Next mission</w:t>
      </w:r>
    </w:p>
    <w:p>
      <w:r>
        <w:rPr>
          <w:b/>
        </w:rPr>
        <w:t>HS-2 — Daily Society Operations</w:t>
      </w:r>
      <w:r>
        <w:t xml:space="preserve"> after one HS-1 pilot import and resident-claiming walkthrough confirms the core graph and authorization model.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TrustWeave  •  Housing Society  •  HS-1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ptos" w:hAnsi="Aptos" w:eastAsia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