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FCA-0 — Family Community / Cultural Association Foundation</w:t>
      </w:r>
    </w:p>
    <w:p>
      <w:pPr>
        <w:jc w:val="center"/>
      </w:pPr>
      <w:r>
        <w:rPr>
          <w:b/>
          <w:color w:val="9A6700"/>
        </w:rPr>
        <w:t>TrustWeave / Generic Network OS · Source-complete mission closure</w:t>
      </w:r>
    </w:p>
    <w:p>
      <w:pPr>
        <w:jc w:val="center"/>
      </w:pPr>
      <w:r>
        <w:t>MPF East is the first proving configuration. The implementation remains generic and the existing Community / Association template is preserved unchanged.</w:t>
      </w:r>
    </w:p>
    <w:p>
      <w:pPr>
        <w:pStyle w:val="Heading1"/>
      </w:pPr>
      <w:r>
        <w:t>Mission intent</w:t>
      </w:r>
    </w:p>
    <w:p>
      <w:r>
        <w:t>Create a precise family-centric association vertical for cultural/community societies where the annual membership unit is a family but every spouse/child/member remains a first-class person. Reuse mature Family and shared Network OS engines rather than forking or rewriting them.</w:t>
      </w:r>
    </w:p>
    <w:p>
      <w:pPr>
        <w:pStyle w:val="Heading1"/>
      </w:pPr>
      <w:r>
        <w:t>Product model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Concept</w:t>
            </w:r>
          </w:p>
        </w:tc>
        <w:tc>
          <w:tcPr>
            <w:tcW w:type="dxa" w:w="5083"/>
          </w:tcPr>
          <w:p>
            <w:r>
              <w:t>FCA-0 rule</w:t>
            </w:r>
          </w:p>
        </w:tc>
      </w:tr>
      <w:tr>
        <w:tc>
          <w:tcPr>
            <w:tcW w:type="dxa" w:w="5083"/>
            <w:vAlign w:val="center"/>
          </w:tcPr>
          <w:p>
            <w:r>
              <w:t>Paid membership unit</w:t>
            </w:r>
          </w:p>
        </w:tc>
        <w:tc>
          <w:tcPr>
            <w:tcW w:type="dxa" w:w="5083"/>
            <w:vAlign w:val="center"/>
          </w:tcPr>
          <w:p>
            <w:r>
              <w:t>Family</w:t>
            </w:r>
          </w:p>
        </w:tc>
      </w:tr>
      <w:tr>
        <w:tc>
          <w:tcPr>
            <w:tcW w:type="dxa" w:w="5083"/>
            <w:vAlign w:val="center"/>
          </w:tcPr>
          <w:p>
            <w:r>
              <w:t>Family structure</w:t>
            </w:r>
          </w:p>
        </w:tc>
        <w:tc>
          <w:tcPr>
            <w:tcW w:type="dxa" w:w="5083"/>
            <w:vAlign w:val="center"/>
          </w:tcPr>
          <w:p>
            <w:r>
              <w:t>1 representative + optional spouse + children/dependents</w:t>
            </w:r>
          </w:p>
        </w:tc>
      </w:tr>
      <w:tr>
        <w:tc>
          <w:tcPr>
            <w:tcW w:type="dxa" w:w="5083"/>
            <w:vAlign w:val="center"/>
          </w:tcPr>
          <w:p>
            <w:r>
              <w:t>Default dependent coverage</w:t>
            </w:r>
          </w:p>
        </w:tc>
        <w:tc>
          <w:tcPr>
            <w:tcW w:type="dxa" w:w="5083"/>
            <w:vAlign w:val="center"/>
          </w:tcPr>
          <w:p>
            <w:r>
              <w:t>Until married or configured age threshold; MPF proving default 22</w:t>
            </w:r>
          </w:p>
        </w:tc>
      </w:tr>
      <w:tr>
        <w:tc>
          <w:tcPr>
            <w:tcW w:type="dxa" w:w="5083"/>
            <w:vAlign w:val="center"/>
          </w:tcPr>
          <w:p>
            <w:r>
              <w:t>Membership cycle</w:t>
            </w:r>
          </w:p>
        </w:tc>
        <w:tc>
          <w:tcPr>
            <w:tcW w:type="dxa" w:w="5083"/>
            <w:vAlign w:val="center"/>
          </w:tcPr>
          <w:p>
            <w:r>
              <w:t>Configurable; MPF proving default April–March</w:t>
            </w:r>
          </w:p>
        </w:tc>
      </w:tr>
      <w:tr>
        <w:tc>
          <w:tcPr>
            <w:tcW w:type="dxa" w:w="5083"/>
            <w:vAlign w:val="center"/>
          </w:tcPr>
          <w:p>
            <w:r>
              <w:t>People</w:t>
            </w:r>
          </w:p>
        </w:tc>
        <w:tc>
          <w:tcPr>
            <w:tcW w:type="dxa" w:w="5083"/>
            <w:vAlign w:val="center"/>
          </w:tcPr>
          <w:p>
            <w:r>
              <w:t>Independent full profiles with professional/contact/privacy data</w:t>
            </w:r>
          </w:p>
        </w:tc>
      </w:tr>
      <w:tr>
        <w:tc>
          <w:tcPr>
            <w:tcW w:type="dxa" w:w="5083"/>
            <w:vAlign w:val="center"/>
          </w:tcPr>
          <w:p>
            <w:r>
              <w:t>Official data</w:t>
            </w:r>
          </w:p>
        </w:tc>
        <w:tc>
          <w:tcPr>
            <w:tcW w:type="dxa" w:w="5083"/>
            <w:vAlign w:val="center"/>
          </w:tcPr>
          <w:p>
            <w:r>
              <w:t>Membership/payment/governance controlled by chapter admins</w:t>
            </w:r>
          </w:p>
        </w:tc>
      </w:tr>
      <w:tr>
        <w:tc>
          <w:tcPr>
            <w:tcW w:type="dxa" w:w="5083"/>
            <w:vAlign w:val="center"/>
          </w:tcPr>
          <w:p>
            <w:r>
              <w:t>History</w:t>
            </w:r>
          </w:p>
        </w:tc>
        <w:tc>
          <w:tcPr>
            <w:tcW w:type="dxa" w:w="5083"/>
            <w:vAlign w:val="center"/>
          </w:tcPr>
          <w:p>
            <w:r>
              <w:t>Year-scoped membership, representative, roles, awards and finance preserved</w:t>
            </w:r>
          </w:p>
        </w:tc>
      </w:tr>
    </w:tbl>
    <w:p>
      <w:pPr>
        <w:pStyle w:val="Heading1"/>
      </w:pPr>
      <w:r>
        <w:t>What changed</w:t>
      </w:r>
    </w:p>
    <w:p>
      <w:pPr>
        <w:pStyle w:val="ListBullet"/>
      </w:pPr>
      <w:r>
        <w:t>Added a new `family-association` vertical, template, runtime composition, feature catalog, creation/playground registration and isolated Mahesh-inspired theme. Generic `association` remains separate.</w:t>
      </w:r>
    </w:p>
    <w:p>
      <w:pPr>
        <w:pStyle w:val="ListBullet"/>
      </w:pPr>
      <w:r>
        <w:t>Family-grade relationships: represented_by, member_of_family, spouse_of, parent_of, serves_on and supports. The previously reported relationship-kind failure is covered by both UI and database contracts.</w:t>
      </w:r>
    </w:p>
    <w:p>
      <w:pPr>
        <w:pStyle w:val="ListBullet"/>
      </w:pPr>
      <w:r>
        <w:t>Families &amp; Members directory now includes Families, Representatives and Members modes, Area and Profession filters, richer search and thumbnail-photo support.</w:t>
      </w:r>
    </w:p>
    <w:p>
      <w:pPr>
        <w:pStyle w:val="ListBullet"/>
      </w:pPr>
      <w:r>
        <w:t>Rich person profiles reuse Family-grade identity plus profession, company/business, designation, industry, expertise, LinkedIn/Instagram/Facebook, bio, discoverability and profile/contact visibility.</w:t>
      </w:r>
    </w:p>
    <w:p>
      <w:pPr>
        <w:pStyle w:val="ListBullet"/>
      </w:pPr>
      <w:r>
        <w:t>Family Community home keeps Coming Up birthdays/events and community history while generic Outcome/Intelligence-style home panels are hidden.</w:t>
      </w:r>
    </w:p>
    <w:p>
      <w:pPr>
        <w:pStyle w:val="ListBullet"/>
      </w:pPr>
      <w:r>
        <w:t>Official membership year/status and committee assignment are removed from ordinary self-profile editing. Family co-admins remain household-scoped rather than network-wide admins.</w:t>
      </w:r>
    </w:p>
    <w:p>
      <w:pPr>
        <w:pStyle w:val="ListBullet"/>
      </w:pPr>
      <w:r>
        <w:t>Added temporal annual membership, controlled role catalog/history, awards history and annual finance ledger including opening balance, collections, donations, sponsorship, allocations, good causes, expenses and carry-forward.</w:t>
      </w:r>
    </w:p>
    <w:p>
      <w:pPr>
        <w:pStyle w:val="ListBullet"/>
      </w:pPr>
      <w:r>
        <w:t>Added a dedicated Manage Community panel for annual policy, membership year/fee, renewal/payment status, controlled leadership roles and finance entries.</w:t>
      </w:r>
    </w:p>
    <w:p>
      <w:pPr>
        <w:pStyle w:val="ListBullet"/>
      </w:pPr>
      <w:r>
        <w:t>Added safe shared network lifecycle actions: Leave; Archive &amp; unlink preserving history; Permanent delete of network-owned data only.</w:t>
      </w:r>
    </w:p>
    <w:p>
      <w:pPr>
        <w:pStyle w:val="ListBullet"/>
      </w:pPr>
      <w:r>
        <w:t>Added lightweight likes, comments and browser share actions to shared community activities/memories/updates.</w:t>
      </w:r>
    </w:p>
    <w:p>
      <w:pPr>
        <w:pStyle w:val="ListBullet"/>
      </w:pPr>
      <w:r>
        <w:t>Corrected Pune geography semantics: Pune is the city; Kharadi, Hadapsar, Viman Nagar and similar values are Area / Locality.</w:t>
      </w:r>
    </w:p>
    <w:p>
      <w:pPr>
        <w:pStyle w:val="Heading1"/>
      </w:pPr>
      <w:r>
        <w:t>Annual operating model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Layer</w:t>
            </w:r>
          </w:p>
        </w:tc>
        <w:tc>
          <w:tcPr>
            <w:tcW w:type="dxa" w:w="5083"/>
          </w:tcPr>
          <w:p>
            <w:r>
              <w:t>Examples</w:t>
            </w:r>
          </w:p>
        </w:tc>
      </w:tr>
      <w:tr>
        <w:tc>
          <w:tcPr>
            <w:tcW w:type="dxa" w:w="5083"/>
            <w:vAlign w:val="center"/>
          </w:tcPr>
          <w:p>
            <w:r>
              <w:t>Membership year</w:t>
            </w:r>
          </w:p>
        </w:tc>
        <w:tc>
          <w:tcPr>
            <w:tcW w:type="dxa" w:w="5083"/>
            <w:vAlign w:val="center"/>
          </w:tcPr>
          <w:p>
            <w:r>
              <w:t>2026–27, April–March, family fee, grace period</w:t>
            </w:r>
          </w:p>
        </w:tc>
      </w:tr>
      <w:tr>
        <w:tc>
          <w:tcPr>
            <w:tcW w:type="dxa" w:w="5083"/>
            <w:vAlign w:val="center"/>
          </w:tcPr>
          <w:p>
            <w:r>
              <w:t>Family status</w:t>
            </w:r>
          </w:p>
        </w:tc>
        <w:tc>
          <w:tcPr>
            <w:tcW w:type="dxa" w:w="5083"/>
            <w:vAlign w:val="center"/>
          </w:tcPr>
          <w:p>
            <w:r>
              <w:t>Pending, Active, Grace, Inactive, Removed, Transferred</w:t>
            </w:r>
          </w:p>
        </w:tc>
      </w:tr>
      <w:tr>
        <w:tc>
          <w:tcPr>
            <w:tcW w:type="dxa" w:w="5083"/>
            <w:vAlign w:val="center"/>
          </w:tcPr>
          <w:p>
            <w:r>
              <w:t>Payment status</w:t>
            </w:r>
          </w:p>
        </w:tc>
        <w:tc>
          <w:tcPr>
            <w:tcW w:type="dxa" w:w="5083"/>
            <w:vAlign w:val="center"/>
          </w:tcPr>
          <w:p>
            <w:r>
              <w:t>Unpaid, Paid, Waived, Partial, Not required</w:t>
            </w:r>
          </w:p>
        </w:tc>
      </w:tr>
      <w:tr>
        <w:tc>
          <w:tcPr>
            <w:tcW w:type="dxa" w:w="5083"/>
            <w:vAlign w:val="center"/>
          </w:tcPr>
          <w:p>
            <w:r>
              <w:t>Leadership</w:t>
            </w:r>
          </w:p>
        </w:tc>
        <w:tc>
          <w:tcPr>
            <w:tcW w:type="dxa" w:w="5083"/>
            <w:vAlign w:val="center"/>
          </w:tcPr>
          <w:p>
            <w:r>
              <w:t>President, President Elect, Past President, Secretary, Treasurer, Director, Chairperson, Committee Member, Volunteer, Mentor</w:t>
            </w:r>
          </w:p>
        </w:tc>
      </w:tr>
      <w:tr>
        <w:tc>
          <w:tcPr>
            <w:tcW w:type="dxa" w:w="5083"/>
            <w:vAlign w:val="center"/>
          </w:tcPr>
          <w:p>
            <w:r>
              <w:t>Finance</w:t>
            </w:r>
          </w:p>
        </w:tc>
        <w:tc>
          <w:tcPr>
            <w:tcW w:type="dxa" w:w="5083"/>
            <w:vAlign w:val="center"/>
          </w:tcPr>
          <w:p>
            <w:r>
              <w:t>Opening balance, membership collection, donation, sponsorship, event contribution/allocation, good cause, expense, carry-forward</w:t>
            </w:r>
          </w:p>
        </w:tc>
      </w:tr>
      <w:tr>
        <w:tc>
          <w:tcPr>
            <w:tcW w:type="dxa" w:w="5083"/>
            <w:vAlign w:val="center"/>
          </w:tcPr>
          <w:p>
            <w:r>
              <w:t>Visibility</w:t>
            </w:r>
          </w:p>
        </w:tc>
        <w:tc>
          <w:tcPr>
            <w:tcW w:type="dxa" w:w="5083"/>
            <w:vAlign w:val="center"/>
          </w:tcPr>
          <w:p>
            <w:r>
              <w:t>Admin-only, members, or highlighted aggregate depending on configured policy</w:t>
            </w:r>
          </w:p>
        </w:tc>
      </w:tr>
    </w:tbl>
    <w:p>
      <w:pPr>
        <w:pStyle w:val="Heading1"/>
      </w:pPr>
      <w:r>
        <w:t>Safety and governance boundaries</w:t>
      </w:r>
    </w:p>
    <w:p>
      <w:pPr>
        <w:pStyle w:val="ListBullet"/>
      </w:pPr>
      <w:r>
        <w:t>Permanent deletion cascades data owned by the selected network; independent auth/profile identity and other network data are not deleted.</w:t>
      </w:r>
    </w:p>
    <w:p>
      <w:pPr>
        <w:pStyle w:val="ListBullet"/>
      </w:pPr>
      <w:r>
        <w:t>A sole owner cannot simply leave and orphan the network.</w:t>
      </w:r>
    </w:p>
    <w:p>
      <w:pPr>
        <w:pStyle w:val="ListBullet"/>
      </w:pPr>
      <w:r>
        <w:t>Member self-edit does not grant authority to make a family Paid/Active or assign official committee designations.</w:t>
      </w:r>
    </w:p>
    <w:p>
      <w:pPr>
        <w:pStyle w:val="ListBullet"/>
      </w:pPr>
      <w:r>
        <w:t>Formal election-grade voting is not simulated using Pulse/likes and remains a separately governed mission.</w:t>
      </w:r>
    </w:p>
    <w:p>
      <w:pPr>
        <w:pStyle w:val="ListBullet"/>
      </w:pPr>
      <w:r>
        <w:t>An email stored on a profile is identity/contact data. FCA-0 does not claim a server email transport for productized invitations; the current join-code/link workflow remains until FCA-1 delivery hardening.</w:t>
      </w:r>
    </w:p>
    <w:p>
      <w:pPr>
        <w:pStyle w:val="Heading1"/>
      </w:pPr>
      <w:r>
        <w:t>Validation status</w:t>
      </w:r>
    </w:p>
    <w:p>
      <w:r>
        <w:t>`npm run validate:fca0` passes 27/27 source-contract checks. Changed TS/TSX files were syntax-transpiled with TypeScript 5.8.3. Full project TypeScript/Next.js build is not claimed in this reconstructed workspace because project dependencies are incomplete; runtime certification is required in the real repository after migration 080.</w:t>
      </w:r>
    </w:p>
    <w:p>
      <w:pPr>
        <w:pStyle w:val="Heading1"/>
      </w:pPr>
      <w:r>
        <w:t>Next pilot-focused work</w:t>
      </w:r>
    </w:p>
    <w:p>
      <w:pPr>
        <w:pStyle w:val="ListBullet"/>
      </w:pPr>
      <w:r>
        <w:t>Self-onboarding/review policy and invitation-delivery UX.</w:t>
      </w:r>
    </w:p>
    <w:p>
      <w:pPr>
        <w:pStyle w:val="ListBullet"/>
      </w:pPr>
      <w:r>
        <w:t>Excel column mapping for the existing family list.</w:t>
      </w:r>
    </w:p>
    <w:p>
      <w:pPr>
        <w:pStyle w:val="ListBullet"/>
      </w:pPr>
      <w:r>
        <w:t>Family + individual RSVP counts, guests and optional event contribution/payment status.</w:t>
      </w:r>
    </w:p>
    <w:p>
      <w:pPr>
        <w:pStyle w:val="ListBullet"/>
      </w:pPr>
      <w:r>
        <w:t>Field-level change-request approval matrix and additional-member approval.</w:t>
      </w:r>
    </w:p>
    <w:p>
      <w:pPr>
        <w:pStyle w:val="ListBullet"/>
      </w:pPr>
      <w:r>
        <w:t>Richer event gallery-link/comment flow and member-facing historical contribution views.</w:t>
      </w:r>
    </w:p>
    <w:p>
      <w:pPr>
        <w:pStyle w:val="ListBullet"/>
      </w:pPr>
      <w:r>
        <w:t>Simple parent/umbrella connection UX without exposing Federation terminology.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5336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9A67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5336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