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MPF-A0 — Community / Association Vertical</w:t>
      </w:r>
    </w:p>
    <w:p>
      <w:pPr>
        <w:jc w:val="center"/>
      </w:pPr>
      <w:r>
        <w:rPr>
          <w:i/>
        </w:rPr>
        <w:t>Real-user-driven productization for TrustWeave / Generic Network OS</w:t>
      </w:r>
    </w:p>
    <w:p>
      <w:pPr>
        <w:jc w:val="center"/>
      </w:pPr>
      <w:r>
        <w:rPr>
          <w:b/>
        </w:rPr>
        <w:t>Status: SOURCE COMPLETE · Runtime certification still required</w:t>
      </w:r>
    </w:p>
    <w:p>
      <w:pPr>
        <w:pStyle w:val="Heading1"/>
      </w:pPr>
      <w:r>
        <w:t>Mission outcome</w:t>
      </w:r>
    </w:p>
    <w:p>
      <w:r>
        <w:t>TrustWeave now has a seventh active vertical: Community / Association. It is designed for private member organizations whose participation may be household- or family-based, while still keeping people, committees and locations as first-class entities. MPF East is the first intended real pilot, but no MPF-specific database table or hard-coded business rule was introduced.</w:t>
      </w:r>
    </w:p>
    <w:p>
      <w:pPr>
        <w:pStyle w:val="Heading1"/>
      </w:pPr>
      <w:r>
        <w:t>Why this vertical exists</w:t>
      </w:r>
    </w:p>
    <w:p>
      <w:r>
        <w:t>MPF East does not fit cleanly into a Family Network or an Alumni Network. Its operating unit is a registered family/household with one representative, while the shared chapter experience revolves around membership, events, RSVP, birthdays/celebrations, memories, announcements, committees, voting/governance and annual renewal. The new vertical composes the reusable mechanics already proven elsewhere instead of force-fitting the use case.</w:t>
      </w:r>
    </w:p>
    <w:p>
      <w:pPr>
        <w:pStyle w:val="Heading1"/>
      </w:pPr>
      <w:r>
        <w:t>V1 capability composition</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tcPr>
          <w:p>
            <w:r>
              <w:t>Capability</w:t>
            </w:r>
          </w:p>
        </w:tc>
        <w:tc>
          <w:tcPr>
            <w:tcW w:type="dxa" w:w="3389"/>
          </w:tcPr>
          <w:p>
            <w:r>
              <w:t>V1 status</w:t>
            </w:r>
          </w:p>
        </w:tc>
        <w:tc>
          <w:tcPr>
            <w:tcW w:type="dxa" w:w="3389"/>
          </w:tcPr>
          <w:p>
            <w:r>
              <w:t>Implementation direction</w:t>
            </w:r>
          </w:p>
        </w:tc>
      </w:tr>
      <w:tr>
        <w:trPr>
          <w:cantSplit/>
        </w:trPr>
        <w:tc>
          <w:tcPr>
            <w:tcW w:type="dxa" w:w="3389"/>
            <w:vAlign w:val="center"/>
          </w:tcPr>
          <w:p>
            <w:r>
              <w:t>Household / family membership</w:t>
            </w:r>
          </w:p>
        </w:tc>
        <w:tc>
          <w:tcPr>
            <w:tcW w:type="dxa" w:w="3389"/>
            <w:vAlign w:val="center"/>
          </w:tcPr>
          <w:p>
            <w:r>
              <w:t>Ready in model</w:t>
            </w:r>
          </w:p>
        </w:tc>
        <w:tc>
          <w:tcPr>
            <w:tcW w:type="dxa" w:w="3389"/>
            <w:vAlign w:val="center"/>
          </w:tcPr>
          <w:p>
            <w:r>
              <w:t>Primary entity is Family / Household; people and committees remain first-class entities.</w:t>
            </w:r>
          </w:p>
        </w:tc>
      </w:tr>
      <w:tr>
        <w:trPr>
          <w:cantSplit/>
        </w:trPr>
        <w:tc>
          <w:tcPr>
            <w:tcW w:type="dxa" w:w="3389"/>
            <w:vAlign w:val="center"/>
          </w:tcPr>
          <w:p>
            <w:r>
              <w:t>Family representative</w:t>
            </w:r>
          </w:p>
        </w:tc>
        <w:tc>
          <w:tcPr>
            <w:tcW w:type="dxa" w:w="3389"/>
            <w:vAlign w:val="center"/>
          </w:tcPr>
          <w:p>
            <w:r>
              <w:t>Ready in model</w:t>
            </w:r>
          </w:p>
        </w:tc>
        <w:tc>
          <w:tcPr>
            <w:tcW w:type="dxa" w:w="3389"/>
            <w:vAlign w:val="center"/>
          </w:tcPr>
          <w:p>
            <w:r>
              <w:t>Typed represented_by / member_of_household relationships.</w:t>
            </w:r>
          </w:p>
        </w:tc>
      </w:tr>
      <w:tr>
        <w:trPr>
          <w:cantSplit/>
        </w:trPr>
        <w:tc>
          <w:tcPr>
            <w:tcW w:type="dxa" w:w="3389"/>
            <w:vAlign w:val="center"/>
          </w:tcPr>
          <w:p>
            <w:r>
              <w:t>Annual membership</w:t>
            </w:r>
          </w:p>
        </w:tc>
        <w:tc>
          <w:tcPr>
            <w:tcW w:type="dxa" w:w="3389"/>
            <w:vAlign w:val="center"/>
          </w:tcPr>
          <w:p>
            <w:r>
              <w:t>Ready in model</w:t>
            </w:r>
          </w:p>
        </w:tc>
        <w:tc>
          <w:tcPr>
            <w:tcW w:type="dxa" w:w="3389"/>
            <w:vAlign w:val="center"/>
          </w:tcPr>
          <w:p>
            <w:r>
              <w:t>Membership Year + Membership Status dimensions and renewal projection.</w:t>
            </w:r>
          </w:p>
        </w:tc>
      </w:tr>
      <w:tr>
        <w:trPr>
          <w:cantSplit/>
        </w:trPr>
        <w:tc>
          <w:tcPr>
            <w:tcW w:type="dxa" w:w="3389"/>
            <w:vAlign w:val="center"/>
          </w:tcPr>
          <w:p>
            <w:r>
              <w:t>Events + RSVP</w:t>
            </w:r>
          </w:p>
        </w:tc>
        <w:tc>
          <w:tcPr>
            <w:tcW w:type="dxa" w:w="3389"/>
            <w:vAlign w:val="center"/>
          </w:tcPr>
          <w:p>
            <w:r>
              <w:t>Reusable now</w:t>
            </w:r>
          </w:p>
        </w:tc>
        <w:tc>
          <w:tcPr>
            <w:tcW w:type="dxa" w:w="3389"/>
            <w:vAlign w:val="center"/>
          </w:tcPr>
          <w:p>
            <w:r>
              <w:t>Shared Network OS activity engine.</w:t>
            </w:r>
          </w:p>
        </w:tc>
      </w:tr>
      <w:tr>
        <w:trPr>
          <w:cantSplit/>
        </w:trPr>
        <w:tc>
          <w:tcPr>
            <w:tcW w:type="dxa" w:w="3389"/>
            <w:vAlign w:val="center"/>
          </w:tcPr>
          <w:p>
            <w:r>
              <w:t>Memories / history</w:t>
            </w:r>
          </w:p>
        </w:tc>
        <w:tc>
          <w:tcPr>
            <w:tcW w:type="dxa" w:w="3389"/>
            <w:vAlign w:val="center"/>
          </w:tcPr>
          <w:p>
            <w:r>
              <w:t>Reusable now</w:t>
            </w:r>
          </w:p>
        </w:tc>
        <w:tc>
          <w:tcPr>
            <w:tcW w:type="dxa" w:w="3389"/>
            <w:vAlign w:val="center"/>
          </w:tcPr>
          <w:p>
            <w:r>
              <w:t>Shared activity + media-capability foundation.</w:t>
            </w:r>
          </w:p>
        </w:tc>
      </w:tr>
      <w:tr>
        <w:trPr>
          <w:cantSplit/>
        </w:trPr>
        <w:tc>
          <w:tcPr>
            <w:tcW w:type="dxa" w:w="3389"/>
            <w:vAlign w:val="center"/>
          </w:tcPr>
          <w:p>
            <w:r>
              <w:t>Announcements / updates</w:t>
            </w:r>
          </w:p>
        </w:tc>
        <w:tc>
          <w:tcPr>
            <w:tcW w:type="dxa" w:w="3389"/>
            <w:vAlign w:val="center"/>
          </w:tcPr>
          <w:p>
            <w:r>
              <w:t>Reusable now</w:t>
            </w:r>
          </w:p>
        </w:tc>
        <w:tc>
          <w:tcPr>
            <w:tcW w:type="dxa" w:w="3389"/>
            <w:vAlign w:val="center"/>
          </w:tcPr>
          <w:p>
            <w:r>
              <w:t>Shared activity engine.</w:t>
            </w:r>
          </w:p>
        </w:tc>
      </w:tr>
      <w:tr>
        <w:trPr>
          <w:cantSplit/>
        </w:trPr>
        <w:tc>
          <w:tcPr>
            <w:tcW w:type="dxa" w:w="3389"/>
            <w:vAlign w:val="center"/>
          </w:tcPr>
          <w:p>
            <w:r>
              <w:t>Committees / circles</w:t>
            </w:r>
          </w:p>
        </w:tc>
        <w:tc>
          <w:tcPr>
            <w:tcW w:type="dxa" w:w="3389"/>
            <w:vAlign w:val="center"/>
          </w:tcPr>
          <w:p>
            <w:r>
              <w:t>Reusable now</w:t>
            </w:r>
          </w:p>
        </w:tc>
        <w:tc>
          <w:tcPr>
            <w:tcW w:type="dxa" w:w="3389"/>
            <w:vAlign w:val="center"/>
          </w:tcPr>
          <w:p>
            <w:r>
              <w:t>Shared groups plus committee entity/relationship semantics.</w:t>
            </w:r>
          </w:p>
        </w:tc>
      </w:tr>
      <w:tr>
        <w:trPr>
          <w:cantSplit/>
        </w:trPr>
        <w:tc>
          <w:tcPr>
            <w:tcW w:type="dxa" w:w="3389"/>
            <w:vAlign w:val="center"/>
          </w:tcPr>
          <w:p>
            <w:r>
              <w:t>Directory / structure</w:t>
            </w:r>
          </w:p>
        </w:tc>
        <w:tc>
          <w:tcPr>
            <w:tcW w:type="dxa" w:w="3389"/>
            <w:vAlign w:val="center"/>
          </w:tcPr>
          <w:p>
            <w:r>
              <w:t>Reusable now</w:t>
            </w:r>
          </w:p>
        </w:tc>
        <w:tc>
          <w:tcPr>
            <w:tcW w:type="dxa" w:w="3389"/>
            <w:vAlign w:val="center"/>
          </w:tcPr>
          <w:p>
            <w:r>
              <w:t>Generic entities, affiliations and projections.</w:t>
            </w:r>
          </w:p>
        </w:tc>
      </w:tr>
      <w:tr>
        <w:trPr>
          <w:cantSplit/>
        </w:trPr>
        <w:tc>
          <w:tcPr>
            <w:tcW w:type="dxa" w:w="3389"/>
            <w:vAlign w:val="center"/>
          </w:tcPr>
          <w:p>
            <w:r>
              <w:t>Formal elections</w:t>
            </w:r>
          </w:p>
        </w:tc>
        <w:tc>
          <w:tcPr>
            <w:tcW w:type="dxa" w:w="3389"/>
            <w:vAlign w:val="center"/>
          </w:tcPr>
          <w:p>
            <w:r>
              <w:t>Deferred deliberately</w:t>
            </w:r>
          </w:p>
        </w:tc>
        <w:tc>
          <w:tcPr>
            <w:tcW w:type="dxa" w:w="3389"/>
            <w:vAlign w:val="center"/>
          </w:tcPr>
          <w:p>
            <w:r>
              <w:t>Requires election-grade eligibility, ballot/privacy, one-vote and audit controls.</w:t>
            </w:r>
          </w:p>
        </w:tc>
      </w:tr>
    </w:tbl>
    <w:p>
      <w:pPr>
        <w:pStyle w:val="Heading1"/>
      </w:pPr>
      <w:r>
        <w:t>Association data model</w:t>
      </w:r>
    </w:p>
    <w:p>
      <w:pPr>
        <w:pStyle w:val="ListBullet"/>
      </w:pPr>
      <w:r>
        <w:t>Network: one private Community / Association, for example a chapter.</w:t>
      </w:r>
    </w:p>
    <w:p>
      <w:pPr>
        <w:pStyle w:val="ListBullet"/>
      </w:pPr>
      <w:r>
        <w:t>Primary membership unit: Family / Household.</w:t>
      </w:r>
    </w:p>
    <w:p>
      <w:pPr>
        <w:pStyle w:val="ListBullet"/>
      </w:pPr>
      <w:r>
        <w:t>Representative: one person can represent the household for association membership.</w:t>
      </w:r>
    </w:p>
    <w:p>
      <w:pPr>
        <w:pStyle w:val="ListBullet"/>
      </w:pPr>
      <w:r>
        <w:t>People: spouse, children and other member records can be first-class people when needed.</w:t>
      </w:r>
    </w:p>
    <w:p>
      <w:pPr>
        <w:pStyle w:val="ListBullet"/>
      </w:pPr>
      <w:r>
        <w:t>Membership dimensions: Membership Year, Membership Status, Chapter, City, Committee / Role and Interest / Activity.</w:t>
      </w:r>
    </w:p>
    <w:p>
      <w:pPr>
        <w:pStyle w:val="ListBullet"/>
      </w:pPr>
      <w:r>
        <w:t>Governance relationships: represented by, member of household, serves on, supports.</w:t>
      </w:r>
    </w:p>
    <w:p>
      <w:pPr>
        <w:pStyle w:val="Heading1"/>
      </w:pPr>
      <w:r>
        <w:t>Pilot experience we are optimizing for</w:t>
      </w:r>
    </w:p>
    <w:p>
      <w:r>
        <w:t>Founder/admin creates the association → shares an invite/join path → 5–10 families register → each household has a representative and member details → families see a simple community home → events/RSVP, memories, updates and committees create recurring value → real usage determines MPF-A1 enhancements.</w:t>
      </w:r>
    </w:p>
    <w:p>
      <w:pPr>
        <w:pStyle w:val="Heading1"/>
      </w:pPr>
      <w:r>
        <w:t>What stays hidden in the MPF pilot</w:t>
      </w:r>
    </w:p>
    <w:p>
      <w:r>
        <w:t>Ordinary families should not be taught Alumni, Professional, Franchise, Federation, multi-network identity, Network Passport, NF routing, or platform architecture. Those remain underlying TrustWeave capabilities. The pilot should feel like one purpose-built association product.</w:t>
      </w:r>
    </w:p>
    <w:p>
      <w:pPr>
        <w:pStyle w:val="Heading1"/>
      </w:pPr>
      <w:r>
        <w:t>Governance boundary</w:t>
      </w:r>
    </w:p>
    <w:p>
      <w:r>
        <w:t>Casual community Pulse/polls and binding elections are different products. A picnic-date poll can use lightweight voting. A President/committee election must eventually enforce eligibility, one eligible vote, election windows, privacy/ballot mode, tamper resistance, result publication and audit evidence. MPF-A0 intentionally does not claim those controls are already complete.</w:t>
      </w:r>
    </w:p>
    <w:p>
      <w:pPr>
        <w:pStyle w:val="Heading1"/>
      </w:pPr>
      <w:r>
        <w:t>Source changes</w:t>
      </w:r>
    </w:p>
    <w:p>
      <w:pPr>
        <w:pStyle w:val="ListBullet"/>
      </w:pPr>
      <w:r>
        <w:t>Typed vertical registry and runtime composition for association.</w:t>
      </w:r>
    </w:p>
    <w:p>
      <w:pPr>
        <w:pStyle w:val="ListBullet"/>
      </w:pPr>
      <w:r>
        <w:t>Active Association template promoted from the prior future/proof catalog.</w:t>
      </w:r>
    </w:p>
    <w:p>
      <w:pPr>
        <w:pStyle w:val="ListBullet"/>
      </w:pPr>
      <w:r>
        <w:t>Productized creation/configuration and 10-family generic sample playground.</w:t>
      </w:r>
    </w:p>
    <w:p>
      <w:pPr>
        <w:pStyle w:val="ListBullet"/>
      </w:pPr>
      <w:r>
        <w:t>Setup/Create Network entry, network switcher, My Networks identity and Launch Control support.</w:t>
      </w:r>
    </w:p>
    <w:p>
      <w:pPr>
        <w:pStyle w:val="ListBullet"/>
      </w:pPr>
      <w:r>
        <w:t>Migration 078 expands database constraints and productized network creation/seed behavior.</w:t>
      </w:r>
    </w:p>
    <w:p>
      <w:pPr>
        <w:pStyle w:val="ListBullet"/>
      </w:pPr>
      <w:r>
        <w:t>Association Launch Control baseline plus TEST-default advanced capability parity.</w:t>
      </w:r>
    </w:p>
    <w:p>
      <w:pPr>
        <w:pStyle w:val="ListBullet"/>
      </w:pPr>
      <w:r>
        <w:t>User/Admin Guide coverage, CURRENT-STATE, ROADMAP and both living TrustWeave HTML artifacts updated.</w:t>
      </w:r>
    </w:p>
    <w:p>
      <w:pPr>
        <w:pStyle w:val="ListBullet"/>
      </w:pPr>
      <w:r>
        <w:t>Dedicated npm source gate: npm run validate:mpfa0.</w:t>
      </w:r>
    </w:p>
    <w:p>
      <w:pPr>
        <w:pStyle w:val="Heading1"/>
      </w:pPr>
      <w:r>
        <w:t>Validation result</w:t>
      </w:r>
    </w:p>
    <w:p>
      <w:r>
        <w:t>MPF-A0 source gate: PASS. Full TypeScript/build certification could not be completed in this isolated workspace because dependency installation did not finish; this is not being represented as a successful runtime/build gate.</w:t>
      </w:r>
    </w:p>
    <w:p>
      <w:pPr>
        <w:pStyle w:val="Heading1"/>
      </w:pPr>
      <w:r>
        <w:t>Runtime verification before real families</w:t>
      </w:r>
    </w:p>
    <w:p>
      <w:pPr>
        <w:pStyle w:val="ListNumber"/>
      </w:pPr>
      <w:r>
        <w:t>Apply migration 078 in staging.</w:t>
      </w:r>
    </w:p>
    <w:p>
      <w:pPr>
        <w:pStyle w:val="ListNumber"/>
      </w:pPr>
      <w:r>
        <w:t>Create a real Community / Association network such as MPF East.</w:t>
      </w:r>
    </w:p>
    <w:p>
      <w:pPr>
        <w:pStyle w:val="ListNumber"/>
      </w:pPr>
      <w:r>
        <w:t>Add 5–10 households and representative/member records.</w:t>
      </w:r>
    </w:p>
    <w:p>
      <w:pPr>
        <w:pStyle w:val="ListNumber"/>
      </w:pPr>
      <w:r>
        <w:t>Verify directory, projections, permissions and annual membership status.</w:t>
      </w:r>
    </w:p>
    <w:p>
      <w:pPr>
        <w:pStyle w:val="ListNumber"/>
      </w:pPr>
      <w:r>
        <w:t>Create an event; verify member RSVP counts and responses.</w:t>
      </w:r>
    </w:p>
    <w:p>
      <w:pPr>
        <w:pStyle w:val="ListNumber"/>
      </w:pPr>
      <w:r>
        <w:t>Create announcements and memories; verify media/photo behavior.</w:t>
      </w:r>
    </w:p>
    <w:p>
      <w:pPr>
        <w:pStyle w:val="ListNumber"/>
      </w:pPr>
      <w:r>
        <w:t>Verify owner/admin/member role boundaries and join/claim behavior.</w:t>
      </w:r>
    </w:p>
    <w:p>
      <w:pPr>
        <w:pStyle w:val="ListNumber"/>
      </w:pPr>
      <w:r>
        <w:t>Review desktop/mobile plus Light/Dark/Aurora.</w:t>
      </w:r>
    </w:p>
    <w:p>
      <w:pPr>
        <w:pStyle w:val="ListNumber"/>
      </w:pPr>
      <w:r>
        <w:t>Do not use official election flows until the dedicated governance capability is implemented and certified.</w:t>
      </w:r>
    </w:p>
    <w:p>
      <w:pPr>
        <w:pStyle w:val="Heading1"/>
      </w:pPr>
      <w:r>
        <w:t>Next mission</w:t>
      </w:r>
    </w:p>
    <w:p>
      <w:r>
        <w:t>MPF-A1 — 10-Family Pilot Hardening. The first ten real families become the product roadmap. Improve only what blocks or weakens actual onboarding, participation, events, photos, birthdays, Pulse and annual membership operations, while keeping every change reusable for generic Community / Association networks.</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