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Mission 6-A</w:t>
        <w:br/>
        <w:t>Trusted Identity Unification + Cross-Network Reachability</w:t>
      </w:r>
    </w:p>
    <w:p>
      <w:pPr>
        <w:spacing w:after="100"/>
        <w:jc w:val="left"/>
      </w:pPr>
      <w:r>
        <w:rPr>
          <w:b/>
          <w:sz w:val="18"/>
        </w:rPr>
        <w:t>MEDIUM EFFORT  •  PRODUCT + PLATFORM MISSION</w:t>
      </w:r>
    </w:p>
    <w:p>
      <w:pPr>
        <w:pStyle w:val="Heading1"/>
        <w:spacing w:after="100"/>
      </w:pPr>
      <w:r>
        <w:t>1. Why this mission exists</w:t>
      </w:r>
    </w:p>
    <w:p>
      <w:pPr>
        <w:spacing w:after="100"/>
      </w:pPr>
      <w:r>
        <w:t>Network OS already supports one authenticated person owning or joining multiple independently governed networks and switching between them. NX-1 correctly established that foundation. The remaining gap is not “multi-network identity”; it is making the combined value of those memberships visible and measurable without weakening privacy.</w:t>
      </w:r>
    </w:p>
    <w:tbl>
      <w:tblPr>
        <w:tblW w:type="auto" w:w="0"/>
        <w:tblLayout w:type="autofit"/>
        <w:tblLook w:firstColumn="1" w:firstRow="1" w:lastColumn="0" w:lastRow="0" w:noHBand="0" w:noVBand="1" w:val="04A0"/>
      </w:tblPr>
      <w:tblGrid>
        <w:gridCol w:w="10080"/>
      </w:tblGrid>
      <w:tr>
        <w:tc>
          <w:tcPr>
            <w:tcW w:type="dxa" w:w="10080"/>
            <w:shd w:fill="F3F6FA"/>
          </w:tcPr>
          <w:p>
            <w:r>
              <w:rPr>
                <w:b/>
                <w:sz w:val="22"/>
              </w:rPr>
              <w:t>Core mission statement</w:t>
            </w:r>
          </w:p>
          <w:p>
            <w:pPr>
              <w:spacing w:after="40"/>
            </w:pPr>
            <w:r>
              <w:t>Reuse the existing one-account / many-network model.</w:t>
            </w:r>
          </w:p>
          <w:p>
            <w:pPr>
              <w:spacing w:after="40"/>
            </w:pPr>
            <w:r>
              <w:t>Show the signed-in person what their network universe means collectively.</w:t>
            </w:r>
          </w:p>
          <w:p>
            <w:pPr>
              <w:spacing w:after="40"/>
            </w:pPr>
            <w:r>
              <w:t>Do not create a universal profile, universal directory, or merged social graph.</w:t>
            </w:r>
          </w:p>
        </w:tc>
      </w:tr>
    </w:tbl>
    <w:p>
      <w:pPr>
        <w:spacing w:after="100"/>
      </w:pPr>
    </w:p>
    <w:p>
      <w:pPr>
        <w:pStyle w:val="Heading1"/>
        <w:spacing w:after="100"/>
      </w:pPr>
      <w:r>
        <w:t>2. Where we were before M6-A</w:t>
      </w:r>
    </w:p>
    <w:p>
      <w:pPr>
        <w:spacing w:after="100"/>
      </w:pPr>
      <w:r>
        <w:t>The system already knew that one auth account could have several memberships:</w:t>
      </w:r>
    </w:p>
    <w:tbl>
      <w:tblPr>
        <w:tblW w:type="auto" w:w="0"/>
        <w:tblLayout w:type="autofit"/>
        <w:tblLook w:firstColumn="1" w:firstRow="1" w:lastColumn="0" w:lastRow="0" w:noHBand="0" w:noVBand="1" w:val="04A0"/>
      </w:tblPr>
      <w:tblGrid>
        <w:gridCol w:w="10080"/>
      </w:tblGrid>
      <w:tr>
        <w:tc>
          <w:tcPr>
            <w:tcW w:type="dxa" w:w="10080"/>
            <w:shd w:fill="F3F6FA"/>
          </w:tcPr>
          <w:p>
            <w:r>
              <w:rPr>
                <w:b/>
                <w:sz w:val="22"/>
              </w:rPr>
              <w:t>Existing NX-1 model</w:t>
            </w:r>
          </w:p>
          <w:p>
            <w:pPr>
              <w:spacing w:after="40"/>
            </w:pPr>
            <w:r>
              <w:t>Authenticated account → Family membership → Family-local profile</w:t>
            </w:r>
          </w:p>
          <w:p>
            <w:pPr>
              <w:spacing w:after="40"/>
            </w:pPr>
            <w:r>
              <w:t>Authenticated account → Alumni membership → Alumni-local profile</w:t>
            </w:r>
          </w:p>
          <w:p>
            <w:pPr>
              <w:spacing w:after="40"/>
            </w:pPr>
            <w:r>
              <w:t>Authenticated account → Organization / Business / Franchise / Professional membership → network-local entity context</w:t>
            </w:r>
          </w:p>
          <w:p>
            <w:pPr>
              <w:spacing w:after="40"/>
            </w:pPr>
            <w:r>
              <w:t>My Networks → switch safely between those independently governed spaces</w:t>
            </w:r>
          </w:p>
        </w:tc>
      </w:tr>
    </w:tbl>
    <w:p>
      <w:pPr>
        <w:spacing w:after="100"/>
      </w:pPr>
    </w:p>
    <w:p>
      <w:pPr>
        <w:spacing w:after="100"/>
      </w:pPr>
      <w:r>
        <w:t>This was architecturally correct, but the My Networks experience mostly answered “which network do you want to open?” It did not yet answer “what does your whole trusted network universe look like?”</w:t>
      </w:r>
    </w:p>
    <w:p>
      <w:pPr>
        <w:pStyle w:val="Heading1"/>
        <w:spacing w:after="100"/>
      </w:pPr>
      <w:r>
        <w:t>3. What M6-A adds</w:t>
      </w:r>
    </w:p>
    <w:p>
      <w:pPr>
        <w:pStyle w:val="ListBullet"/>
        <w:spacing w:after="100"/>
      </w:pPr>
      <w:r>
        <w:t>A new TrustedNetworkReach aggregate on the existing TrustedPersonIdentity seam.</w:t>
      </w:r>
    </w:p>
    <w:p>
      <w:pPr>
        <w:pStyle w:val="ListBullet"/>
        <w:spacing w:after="100"/>
      </w:pPr>
      <w:r>
        <w:t>A privacy-safe Supabase RPC: get_my_trusted_network_reach().</w:t>
      </w:r>
    </w:p>
    <w:p>
      <w:pPr>
        <w:pStyle w:val="ListBullet"/>
        <w:spacing w:after="100"/>
      </w:pPr>
      <w:r>
        <w:t>A new “Your Network Reach” section in My Networks.</w:t>
      </w:r>
    </w:p>
    <w:p>
      <w:pPr>
        <w:pStyle w:val="ListBullet"/>
        <w:spacing w:after="100"/>
      </w:pPr>
      <w:r>
        <w:t>Active network count and distinct network vertical/type count.</w:t>
      </w:r>
    </w:p>
    <w:p>
      <w:pPr>
        <w:pStyle w:val="ListBullet"/>
        <w:spacing w:after="100"/>
      </w:pPr>
      <w:r>
        <w:t>Distinct authenticated member accounts across networks the signed-in person already belongs to.</w:t>
      </w:r>
    </w:p>
    <w:p>
      <w:pPr>
        <w:pStyle w:val="ListBullet"/>
        <w:spacing w:after="100"/>
      </w:pPr>
      <w:r>
        <w:t>Identity-linked context coverage: how many memberships are linked to a network-local Family member, Alumni profile, or productized entity.</w:t>
      </w:r>
    </w:p>
    <w:p>
      <w:pPr>
        <w:pStyle w:val="ListBullet"/>
        <w:spacing w:after="100"/>
      </w:pPr>
      <w:r>
        <w:t>Owned and administered network counts.</w:t>
      </w:r>
    </w:p>
    <w:p>
      <w:pPr>
        <w:pStyle w:val="Heading1"/>
        <w:spacing w:after="100"/>
      </w:pPr>
      <w:r>
        <w:t>4. What the user gains</w:t>
      </w:r>
    </w:p>
    <w:p>
      <w:pPr>
        <w:spacing w:after="100"/>
      </w:pPr>
      <w:r>
        <w:t>Instead of seeing only a list of networks, the user starts seeing a personal Network OS-level picture:</w:t>
      </w:r>
    </w:p>
    <w:tbl>
      <w:tblPr>
        <w:tblW w:type="auto" w:w="0"/>
        <w:tblLayout w:type="autofit"/>
        <w:tblLook w:firstColumn="1" w:firstRow="1" w:lastColumn="0" w:lastRow="0" w:noHBand="0" w:noVBand="1" w:val="04A0"/>
      </w:tblPr>
      <w:tblGrid>
        <w:gridCol w:w="10080"/>
      </w:tblGrid>
      <w:tr>
        <w:tc>
          <w:tcPr>
            <w:tcW w:type="dxa" w:w="10080"/>
            <w:shd w:fill="F3F6FA"/>
          </w:tcPr>
          <w:p>
            <w:r>
              <w:rPr>
                <w:b/>
                <w:sz w:val="22"/>
              </w:rPr>
              <w:t>Example</w:t>
            </w:r>
          </w:p>
          <w:p>
            <w:pPr>
              <w:spacing w:after="40"/>
            </w:pPr>
            <w:r>
              <w:t>4 active networks</w:t>
            </w:r>
          </w:p>
          <w:p>
            <w:pPr>
              <w:spacing w:after="40"/>
            </w:pPr>
            <w:r>
              <w:t>3 network types</w:t>
            </w:r>
          </w:p>
          <w:p>
            <w:pPr>
              <w:spacing w:after="40"/>
            </w:pPr>
            <w:r>
              <w:t>287 distinct signed-in member accounts across those networks</w:t>
            </w:r>
          </w:p>
          <w:p>
            <w:pPr>
              <w:spacing w:after="40"/>
            </w:pPr>
            <w:r>
              <w:t>3 / 4 identity-linked contexts</w:t>
            </w:r>
          </w:p>
          <w:p>
            <w:pPr>
              <w:spacing w:after="40"/>
            </w:pPr>
            <w:r>
              <w:t>2 owned • 3 administered</w:t>
            </w:r>
          </w:p>
        </w:tc>
      </w:tr>
    </w:tbl>
    <w:p>
      <w:pPr>
        <w:spacing w:after="100"/>
      </w:pPr>
    </w:p>
    <w:p>
      <w:pPr>
        <w:spacing w:after="100"/>
      </w:pPr>
      <w:r>
        <w:t>This is intentionally an aggregate view. It demonstrates compounding multi-network value while avoiding a cross-network people browser.</w:t>
      </w:r>
    </w:p>
    <w:p>
      <w:pPr>
        <w:pStyle w:val="Heading1"/>
        <w:spacing w:after="100"/>
      </w:pPr>
      <w:r>
        <w:t>5. Identity-linked contexts — easy meaning</w:t>
      </w:r>
    </w:p>
    <w:p>
      <w:pPr>
        <w:spacing w:after="100"/>
      </w:pPr>
      <w:r>
        <w:t>Membership and identity linkage are different. You can belong to a network without yet having claimed or linked the network-local profile/entity that represents you.</w:t>
      </w:r>
    </w:p>
    <w:p>
      <w:pPr>
        <w:pStyle w:val="ListBullet"/>
        <w:spacing w:after="100"/>
      </w:pPr>
      <w:r>
        <w:t>Family uses the existing membership.member_id link.</w:t>
      </w:r>
    </w:p>
    <w:p>
      <w:pPr>
        <w:pStyle w:val="ListBullet"/>
        <w:spacing w:after="100"/>
      </w:pPr>
      <w:r>
        <w:t>Alumni uses the existing alumni_profiles.claimed_by link.</w:t>
      </w:r>
    </w:p>
    <w:p>
      <w:pPr>
        <w:pStyle w:val="ListBullet"/>
        <w:spacing w:after="100"/>
      </w:pPr>
      <w:r>
        <w:t>Organization, Business Trust, Franchise and Professional use the existing network_entities.owner_user_id link.</w:t>
      </w:r>
    </w:p>
    <w:p>
      <w:pPr>
        <w:spacing w:after="100"/>
      </w:pPr>
      <w:r>
        <w:t>M6-A measures that coverage instead of inventing another global identity table. A value such as 2/4 means the account belongs to four networks but is explicitly linked to its local identity in only two of them.</w:t>
      </w:r>
    </w:p>
    <w:p>
      <w:pPr>
        <w:pStyle w:val="Heading1"/>
        <w:spacing w:after="100"/>
      </w:pPr>
      <w:r>
        <w:t>6. Privacy and governance boundary</w:t>
      </w:r>
    </w:p>
    <w:tbl>
      <w:tblPr>
        <w:tblW w:type="auto" w:w="0"/>
        <w:tblLayout w:type="autofit"/>
        <w:tblLook w:firstColumn="1" w:firstRow="1" w:lastColumn="0" w:lastRow="0" w:noHBand="0" w:noVBand="1" w:val="04A0"/>
      </w:tblPr>
      <w:tblGrid>
        <w:gridCol w:w="10080"/>
      </w:tblGrid>
      <w:tr>
        <w:tc>
          <w:tcPr>
            <w:tcW w:type="dxa" w:w="10080"/>
            <w:shd w:fill="F3F6FA"/>
          </w:tcPr>
          <w:p>
            <w:r>
              <w:rPr>
                <w:b/>
                <w:sz w:val="22"/>
              </w:rPr>
              <w:t>Non-negotiable invariant</w:t>
            </w:r>
          </w:p>
          <w:p>
            <w:pPr>
              <w:spacing w:after="40"/>
            </w:pPr>
            <w:r>
              <w:t>One person can participate across many networks.</w:t>
            </w:r>
          </w:p>
          <w:p>
            <w:pPr>
              <w:spacing w:after="40"/>
            </w:pPr>
            <w:r>
              <w:t>Each network still owns its profile/entity data and graph.</w:t>
            </w:r>
          </w:p>
          <w:p>
            <w:pPr>
              <w:spacing w:after="40"/>
            </w:pPr>
            <w:r>
              <w:t>M6-A returns counts only for networks the actor is already an active member of.</w:t>
            </w:r>
          </w:p>
          <w:p>
            <w:pPr>
              <w:spacing w:after="40"/>
            </w:pPr>
            <w:r>
              <w:t>No cross-network member names, profile fields, relationships, activity, or graph edges are returned.</w:t>
            </w:r>
          </w:p>
          <w:p>
            <w:pPr>
              <w:spacing w:after="40"/>
            </w:pPr>
            <w:r>
              <w:t>No networks are silently merged.</w:t>
            </w:r>
          </w:p>
        </w:tc>
      </w:tr>
    </w:tbl>
    <w:p>
      <w:pPr>
        <w:spacing w:after="100"/>
      </w:pPr>
    </w:p>
    <w:p>
      <w:pPr>
        <w:spacing w:after="100"/>
      </w:pPr>
      <w:r>
        <w:t>The database function is security-definer because underlying tables have restricted direct access, but the function starts from auth.uid() and only aggregates the caller’s own active network memberships.</w:t>
      </w:r>
    </w:p>
    <w:p>
      <w:pPr>
        <w:pStyle w:val="Heading1"/>
        <w:spacing w:after="100"/>
      </w:pPr>
      <w:r>
        <w:t>7. Before vs after</w:t>
      </w:r>
    </w:p>
    <w:tbl>
      <w:tblPr>
        <w:tblStyle w:val="TableGrid"/>
        <w:tblW w:type="auto" w:w="0"/>
        <w:tblLook w:firstColumn="1" w:firstRow="1" w:lastColumn="0" w:lastRow="0" w:noHBand="0" w:noVBand="1" w:val="04A0"/>
      </w:tblPr>
      <w:tblGrid>
        <w:gridCol w:w="3360"/>
        <w:gridCol w:w="3360"/>
        <w:gridCol w:w="3360"/>
      </w:tblGrid>
      <w:tr>
        <w:tc>
          <w:tcPr>
            <w:tcW w:type="dxa" w:w="3360"/>
          </w:tcPr>
          <w:p>
            <w:r>
              <w:t>Capability</w:t>
            </w:r>
          </w:p>
        </w:tc>
        <w:tc>
          <w:tcPr>
            <w:tcW w:type="dxa" w:w="3360"/>
          </w:tcPr>
          <w:p>
            <w:r>
              <w:t>Before M6-A</w:t>
            </w:r>
          </w:p>
        </w:tc>
        <w:tc>
          <w:tcPr>
            <w:tcW w:type="dxa" w:w="3360"/>
          </w:tcPr>
          <w:p>
            <w:r>
              <w:t>After M6-A</w:t>
            </w:r>
          </w:p>
        </w:tc>
      </w:tr>
      <w:tr>
        <w:tc>
          <w:tcPr>
            <w:tcW w:type="dxa" w:w="3360"/>
          </w:tcPr>
          <w:p>
            <w:r>
              <w:t>One login / many networks</w:t>
            </w:r>
          </w:p>
        </w:tc>
        <w:tc>
          <w:tcPr>
            <w:tcW w:type="dxa" w:w="3360"/>
          </w:tcPr>
          <w:p>
            <w:r>
              <w:t>Already available</w:t>
            </w:r>
          </w:p>
        </w:tc>
        <w:tc>
          <w:tcPr>
            <w:tcW w:type="dxa" w:w="3360"/>
          </w:tcPr>
          <w:p>
            <w:r>
              <w:t>Preserved</w:t>
            </w:r>
          </w:p>
        </w:tc>
      </w:tr>
      <w:tr>
        <w:tc>
          <w:tcPr>
            <w:tcW w:type="dxa" w:w="3360"/>
          </w:tcPr>
          <w:p>
            <w:r>
              <w:t>Network switching</w:t>
            </w:r>
          </w:p>
        </w:tc>
        <w:tc>
          <w:tcPr>
            <w:tcW w:type="dxa" w:w="3360"/>
          </w:tcPr>
          <w:p>
            <w:r>
              <w:t>Already available</w:t>
            </w:r>
          </w:p>
        </w:tc>
        <w:tc>
          <w:tcPr>
            <w:tcW w:type="dxa" w:w="3360"/>
          </w:tcPr>
          <w:p>
            <w:r>
              <w:t>Preserved</w:t>
            </w:r>
          </w:p>
        </w:tc>
      </w:tr>
      <w:tr>
        <w:tc>
          <w:tcPr>
            <w:tcW w:type="dxa" w:w="3360"/>
          </w:tcPr>
          <w:p>
            <w:r>
              <w:t>Network-local profiles</w:t>
            </w:r>
          </w:p>
        </w:tc>
        <w:tc>
          <w:tcPr>
            <w:tcW w:type="dxa" w:w="3360"/>
          </w:tcPr>
          <w:p>
            <w:r>
              <w:t>Already available</w:t>
            </w:r>
          </w:p>
        </w:tc>
        <w:tc>
          <w:tcPr>
            <w:tcW w:type="dxa" w:w="3360"/>
          </w:tcPr>
          <w:p>
            <w:r>
              <w:t>Preserved</w:t>
            </w:r>
          </w:p>
        </w:tc>
      </w:tr>
      <w:tr>
        <w:tc>
          <w:tcPr>
            <w:tcW w:type="dxa" w:w="3360"/>
          </w:tcPr>
          <w:p>
            <w:r>
              <w:t>Combined network reach</w:t>
            </w:r>
          </w:p>
        </w:tc>
        <w:tc>
          <w:tcPr>
            <w:tcW w:type="dxa" w:w="3360"/>
          </w:tcPr>
          <w:p>
            <w:r>
              <w:t>Not visible</w:t>
            </w:r>
          </w:p>
        </w:tc>
        <w:tc>
          <w:tcPr>
            <w:tcW w:type="dxa" w:w="3360"/>
          </w:tcPr>
          <w:p>
            <w:r>
              <w:t>Visible as privacy-safe aggregate</w:t>
            </w:r>
          </w:p>
        </w:tc>
      </w:tr>
      <w:tr>
        <w:tc>
          <w:tcPr>
            <w:tcW w:type="dxa" w:w="3360"/>
          </w:tcPr>
          <w:p>
            <w:r>
              <w:t>Identity linkage coverage</w:t>
            </w:r>
          </w:p>
        </w:tc>
        <w:tc>
          <w:tcPr>
            <w:tcW w:type="dxa" w:w="3360"/>
          </w:tcPr>
          <w:p>
            <w:r>
              <w:t>Implicit</w:t>
            </w:r>
          </w:p>
        </w:tc>
        <w:tc>
          <w:tcPr>
            <w:tcW w:type="dxa" w:w="3360"/>
          </w:tcPr>
          <w:p>
            <w:r>
              <w:t>Measured across memberships</w:t>
            </w:r>
          </w:p>
        </w:tc>
      </w:tr>
      <w:tr>
        <w:tc>
          <w:tcPr>
            <w:tcW w:type="dxa" w:w="3360"/>
          </w:tcPr>
          <w:p>
            <w:r>
              <w:t>Cross-network member directory</w:t>
            </w:r>
          </w:p>
        </w:tc>
        <w:tc>
          <w:tcPr>
            <w:tcW w:type="dxa" w:w="3360"/>
          </w:tcPr>
          <w:p>
            <w:r>
              <w:t>Not available</w:t>
            </w:r>
          </w:p>
        </w:tc>
        <w:tc>
          <w:tcPr>
            <w:tcW w:type="dxa" w:w="3360"/>
          </w:tcPr>
          <w:p>
            <w:r>
              <w:t>Still not available</w:t>
            </w:r>
          </w:p>
        </w:tc>
      </w:tr>
      <w:tr>
        <w:tc>
          <w:tcPr>
            <w:tcW w:type="dxa" w:w="3360"/>
          </w:tcPr>
          <w:p>
            <w:r>
              <w:t>Network-to-network trust edges</w:t>
            </w:r>
          </w:p>
        </w:tc>
        <w:tc>
          <w:tcPr>
            <w:tcW w:type="dxa" w:w="3360"/>
          </w:tcPr>
          <w:p>
            <w:r>
              <w:t>Not available</w:t>
            </w:r>
          </w:p>
        </w:tc>
        <w:tc>
          <w:tcPr>
            <w:tcW w:type="dxa" w:w="3360"/>
          </w:tcPr>
          <w:p>
            <w:r>
              <w:t>Deferred to M6-B</w:t>
            </w:r>
          </w:p>
        </w:tc>
      </w:tr>
      <w:tr>
        <w:tc>
          <w:tcPr>
            <w:tcW w:type="dxa" w:w="3360"/>
          </w:tcPr>
          <w:p>
            <w:r>
              <w:t>Privacy-safe introductions</w:t>
            </w:r>
          </w:p>
        </w:tc>
        <w:tc>
          <w:tcPr>
            <w:tcW w:type="dxa" w:w="3360"/>
          </w:tcPr>
          <w:p>
            <w:r>
              <w:t>Not available</w:t>
            </w:r>
          </w:p>
        </w:tc>
        <w:tc>
          <w:tcPr>
            <w:tcW w:type="dxa" w:w="3360"/>
          </w:tcPr>
          <w:p>
            <w:r>
              <w:t>Deferred to M6-C</w:t>
            </w:r>
          </w:p>
        </w:tc>
      </w:tr>
    </w:tbl>
    <w:p>
      <w:pPr>
        <w:pStyle w:val="Heading1"/>
        <w:spacing w:after="100"/>
      </w:pPr>
      <w:r>
        <w:t>8. Deliberately not implemented</w:t>
      </w:r>
    </w:p>
    <w:p>
      <w:pPr>
        <w:pStyle w:val="ListBullet"/>
        <w:spacing w:after="100"/>
      </w:pPr>
      <w:r>
        <w:t>No new universal person/profile table.</w:t>
      </w:r>
    </w:p>
    <w:p>
      <w:pPr>
        <w:pStyle w:val="ListBullet"/>
        <w:spacing w:after="100"/>
      </w:pPr>
      <w:r>
        <w:t>No automatic identity merge across Family, Alumni, Organization, Business, Franchise or Professional.</w:t>
      </w:r>
    </w:p>
    <w:p>
      <w:pPr>
        <w:pStyle w:val="ListBullet"/>
        <w:spacing w:after="100"/>
      </w:pPr>
      <w:r>
        <w:t>No network-to-network trust relationship yet.</w:t>
      </w:r>
    </w:p>
    <w:p>
      <w:pPr>
        <w:pStyle w:val="ListBullet"/>
        <w:spacing w:after="100"/>
      </w:pPr>
      <w:r>
        <w:t>No unrestricted cross-network search.</w:t>
      </w:r>
    </w:p>
    <w:p>
      <w:pPr>
        <w:pStyle w:val="ListBullet"/>
        <w:spacing w:after="100"/>
      </w:pPr>
      <w:r>
        <w:t>No portable reputation/social score.</w:t>
      </w:r>
    </w:p>
    <w:p>
      <w:pPr>
        <w:pStyle w:val="ListBullet"/>
        <w:spacing w:after="100"/>
      </w:pPr>
      <w:r>
        <w:t>No cross-network introduction workflow yet.</w:t>
      </w:r>
    </w:p>
    <w:p>
      <w:pPr>
        <w:pStyle w:val="ListBullet"/>
        <w:spacing w:after="100"/>
      </w:pPr>
      <w:r>
        <w:t>No new external infrastructure or AI requirement.</w:t>
      </w:r>
    </w:p>
    <w:p>
      <w:pPr>
        <w:pStyle w:val="Heading1"/>
        <w:spacing w:after="100"/>
      </w:pPr>
      <w:r>
        <w:t>9. Technical implementation summary</w:t>
      </w:r>
    </w:p>
    <w:p>
      <w:pPr>
        <w:pStyle w:val="ListBullet"/>
        <w:spacing w:after="100"/>
      </w:pPr>
      <w:r>
        <w:t>Migration 057 adds get_my_trusted_network_reach().</w:t>
      </w:r>
    </w:p>
    <w:p>
      <w:pPr>
        <w:pStyle w:val="ListBullet"/>
        <w:spacing w:after="100"/>
      </w:pPr>
      <w:r>
        <w:t>core/identity/trusted-person.ts extends TrustedPersonIdentity with TrustedNetworkReach.</w:t>
      </w:r>
    </w:p>
    <w:p>
      <w:pPr>
        <w:pStyle w:val="ListBullet"/>
        <w:spacing w:after="100"/>
      </w:pPr>
      <w:r>
        <w:t>capabilities/trusted-identity/runtime.ts loads memberships and reach together.</w:t>
      </w:r>
    </w:p>
    <w:p>
      <w:pPr>
        <w:pStyle w:val="ListBullet"/>
        <w:spacing w:after="100"/>
      </w:pPr>
      <w:r>
        <w:t>components/MyNetworksHome.tsx renders the new Network Reach card.</w:t>
      </w:r>
    </w:p>
    <w:p>
      <w:pPr>
        <w:pStyle w:val="ListBullet"/>
        <w:spacing w:after="100"/>
      </w:pPr>
      <w:r>
        <w:t>English, Hindi and Marathi catalog entries were added for the new UI.</w:t>
      </w:r>
    </w:p>
    <w:p>
      <w:pPr>
        <w:pStyle w:val="ListBullet"/>
        <w:spacing w:after="100"/>
      </w:pPr>
      <w:r>
        <w:t>Responsive/dark-theme compatible styling was added in app/globals.css.</w:t>
      </w:r>
    </w:p>
    <w:p>
      <w:pPr>
        <w:pStyle w:val="ListBullet"/>
        <w:spacing w:after="100"/>
      </w:pPr>
      <w:r>
        <w:t>CI now starts with validate:m6a, which cascades through M5 → M4 → M3 → M2 → STABILITY-1.</w:t>
      </w:r>
    </w:p>
    <w:p>
      <w:pPr>
        <w:pStyle w:val="Heading1"/>
        <w:spacing w:after="100"/>
      </w:pPr>
      <w:r>
        <w:t>10. Validation status</w:t>
      </w:r>
    </w:p>
    <w:p>
      <w:pPr>
        <w:pStyle w:val="ListBullet"/>
        <w:spacing w:after="100"/>
      </w:pPr>
      <w:r>
        <w:t>M6-A source gate: 10/10 PASS.</w:t>
      </w:r>
    </w:p>
    <w:p>
      <w:pPr>
        <w:pStyle w:val="ListBullet"/>
        <w:spacing w:after="100"/>
      </w:pPr>
      <w:r>
        <w:t>M5 regression gate: 12/12 PASS.</w:t>
      </w:r>
    </w:p>
    <w:p>
      <w:pPr>
        <w:pStyle w:val="ListBullet"/>
        <w:spacing w:after="100"/>
      </w:pPr>
      <w:r>
        <w:t>M4 regression gate: 11/11 PASS.</w:t>
      </w:r>
    </w:p>
    <w:p>
      <w:pPr>
        <w:pStyle w:val="ListBullet"/>
        <w:spacing w:after="100"/>
      </w:pPr>
      <w:r>
        <w:t>M3 regression gate: 11/11 PASS.</w:t>
      </w:r>
    </w:p>
    <w:p>
      <w:pPr>
        <w:pStyle w:val="ListBullet"/>
        <w:spacing w:after="100"/>
      </w:pPr>
      <w:r>
        <w:t>M2 regression gate: 19/19 PASS.</w:t>
      </w:r>
    </w:p>
    <w:p>
      <w:pPr>
        <w:pStyle w:val="ListBullet"/>
        <w:spacing w:after="100"/>
      </w:pPr>
      <w:r>
        <w:t>STABILITY-1 regression gate: 14/14 PASS.</w:t>
      </w:r>
    </w:p>
    <w:p>
      <w:pPr>
        <w:pStyle w:val="ListBullet"/>
        <w:spacing w:after="100"/>
      </w:pPr>
      <w:r>
        <w:t>Visible-literal i18n audit: 0.</w:t>
      </w:r>
    </w:p>
    <w:p>
      <w:pPr>
        <w:pStyle w:val="ListBullet"/>
        <w:spacing w:after="100"/>
      </w:pPr>
      <w:r>
        <w:t>Type/build certification remains local because the working dependency tree in this execution environment is incomplete.</w:t>
      </w:r>
    </w:p>
    <w:p>
      <w:pPr>
        <w:pStyle w:val="Heading1"/>
        <w:spacing w:after="100"/>
      </w:pPr>
      <w:r>
        <w:t>11. Runtime verification</w:t>
      </w:r>
    </w:p>
    <w:p>
      <w:pPr>
        <w:pStyle w:val="ListBullet"/>
        <w:spacing w:after="100"/>
      </w:pPr>
      <w:r>
        <w:t>Apply 057_m6a_trusted_identity_reach.sql.</w:t>
      </w:r>
    </w:p>
    <w:p>
      <w:pPr>
        <w:pStyle w:val="ListBullet"/>
        <w:spacing w:after="100"/>
      </w:pPr>
      <w:r>
        <w:t>Run npm run validate:m6a.</w:t>
      </w:r>
    </w:p>
    <w:p>
      <w:pPr>
        <w:pStyle w:val="ListBullet"/>
        <w:spacing w:after="100"/>
      </w:pPr>
      <w:r>
        <w:t>Run npm run check:types and npm run build in the fully installed local project.</w:t>
      </w:r>
    </w:p>
    <w:p>
      <w:pPr>
        <w:pStyle w:val="ListBullet"/>
        <w:spacing w:after="100"/>
      </w:pPr>
      <w:r>
        <w:t>Sign in with an account belonging to multiple networks and open My Networks.</w:t>
      </w:r>
    </w:p>
    <w:p>
      <w:pPr>
        <w:pStyle w:val="ListBullet"/>
        <w:spacing w:after="100"/>
      </w:pPr>
      <w:r>
        <w:t>Verify active network/type counts and identity-linked context coverage are sensible.</w:t>
      </w:r>
    </w:p>
    <w:p>
      <w:pPr>
        <w:pStyle w:val="ListBullet"/>
        <w:spacing w:after="100"/>
      </w:pPr>
      <w:r>
        <w:t>Verify no cross-network member list or profile leakage appears.</w:t>
      </w:r>
    </w:p>
    <w:p>
      <w:pPr>
        <w:pStyle w:val="ListBullet"/>
        <w:spacing w:after="100"/>
      </w:pPr>
      <w:r>
        <w:t>Switch into Family, Alumni and a productized vertical to confirm existing navigation remains unchanged.</w:t>
      </w:r>
    </w:p>
    <w:p>
      <w:pPr>
        <w:pStyle w:val="Heading1"/>
        <w:spacing w:after="100"/>
      </w:pPr>
      <w:r>
        <w:t>12. Permanent mission documentation rule</w:t>
      </w:r>
    </w:p>
    <w:p>
      <w:pPr>
        <w:spacing w:after="100"/>
      </w:pPr>
      <w:r>
        <w:t>Starting with M6-A, every major mission (or intentionally grouped batch of small missions) must include a human-readable DOCX mission record in addition to the implementation Markdown and release/runtime artifacts. The Markdown remains the technical source of truth; the DOCX is the durable human-readable record.</w:t>
      </w:r>
    </w:p>
    <w:tbl>
      <w:tblPr>
        <w:tblW w:type="auto" w:w="0"/>
        <w:tblLayout w:type="autofit"/>
        <w:tblLook w:firstColumn="1" w:firstRow="1" w:lastColumn="0" w:lastRow="0" w:noHBand="0" w:noVBand="1" w:val="04A0"/>
      </w:tblPr>
      <w:tblGrid>
        <w:gridCol w:w="10080"/>
      </w:tblGrid>
      <w:tr>
        <w:tc>
          <w:tcPr>
            <w:tcW w:type="dxa" w:w="10080"/>
            <w:shd w:fill="F3F6FA"/>
          </w:tcPr>
          <w:p>
            <w:r>
              <w:rPr>
                <w:b/>
                <w:sz w:val="22"/>
              </w:rPr>
              <w:t>Updated closure lifecycle</w:t>
            </w:r>
          </w:p>
          <w:p>
            <w:pPr>
              <w:spacing w:after="40"/>
            </w:pPr>
            <w:r>
              <w:t>IMPLEMENT → VALIDATE → GUIDE → PLAYGROUND → LAUNCH CONTROL → WHAT’S NEW → ROADMAP/STATUS → DOCX → CLOSE</w:t>
            </w:r>
          </w:p>
        </w:tc>
      </w:tr>
    </w:tbl>
    <w:p>
      <w:pPr>
        <w:spacing w:after="100"/>
      </w:pPr>
    </w:p>
    <w:p>
      <w:pPr>
        <w:pStyle w:val="Heading1"/>
        <w:spacing w:after="100"/>
      </w:pPr>
      <w:r>
        <w:t>13. What comes next</w:t>
      </w:r>
    </w:p>
    <w:p>
      <w:pPr>
        <w:spacing w:after="100"/>
      </w:pPr>
      <w:r>
        <w:t>M6-B — Trusted Network-to-Network Linking &amp; Governed Bridges is the recommended next strategic mission at MEDIUM effort.</w:t>
      </w:r>
    </w:p>
    <w:p>
      <w:pPr>
        <w:spacing w:after="100"/>
      </w:pPr>
      <w:r>
        <w:t>M6-B should let two independently governed networks establish an explicit trust/affiliation bridge with scope, consent, lifecycle and governance. It must still avoid member-list leakage or graph merging. Only after those governed bridges exist should M6-C add privacy-safe discovery and introduction paths.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Mission 6-A • Trusted Identity + Network Reach • 28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6"/>
      </w:rPr>
      <w:t>GENERIC NETWORK OS  /  MISSION 6-A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