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Mission 6-D</w:t>
      </w:r>
    </w:p>
    <w:p>
      <w:pPr>
        <w:jc w:val="center"/>
      </w:pPr>
      <w:r>
        <w:rPr>
          <w:b/>
          <w:sz w:val="24"/>
        </w:rPr>
        <w:t>Network Effect Activation &amp; Measurement · MEDIUM effort</w:t>
      </w:r>
    </w:p>
    <w:p>
      <w:r>
        <w:rPr>
          <w:b/>
        </w:rPr>
        <w:t xml:space="preserve">Mission outcome. </w:t>
      </w:r>
      <w:r>
        <w:t>Turn the trusted multi-network capabilities from M6-A/B/C into a measurable product loop without turning analytics into cross-network surveillance.</w:t>
      </w:r>
    </w:p>
    <w:p>
      <w:pPr>
        <w:pStyle w:val="Heading1"/>
      </w:pPr>
      <w:r>
        <w:t>What changed</w:t>
      </w:r>
    </w:p>
    <w:p>
      <w:pPr>
        <w:pStyle w:val="ListBullet"/>
      </w:pPr>
      <w:r>
        <w:t>A first-party Network Effect Pulse appears in My Networks.</w:t>
      </w:r>
    </w:p>
    <w:p>
      <w:pPr>
        <w:pStyle w:val="ListBullet"/>
      </w:pPr>
      <w:r>
        <w:t>A privacy-minimal event stream records discovery, opportunity and introduction milestones.</w:t>
      </w:r>
    </w:p>
    <w:p>
      <w:pPr>
        <w:pStyle w:val="ListBullet"/>
      </w:pPr>
      <w:r>
        <w:t>A deterministic activation ladder shows the next missing step: multi-network → bridge → discovery → introduction → consent → proven.</w:t>
      </w:r>
    </w:p>
    <w:p>
      <w:pPr>
        <w:pStyle w:val="ListBullet"/>
      </w:pPr>
      <w:r>
        <w:t>M6-C identity-disclosure rules remain unchanged.</w:t>
      </w:r>
    </w:p>
    <w:p>
      <w:pPr>
        <w:pStyle w:val="Heading1"/>
      </w:pPr>
      <w:r>
        <w:t>Why this mission matters</w:t>
      </w:r>
    </w:p>
    <w:p>
      <w:r>
        <w:t>Before M6-D, Network OS could create trusted cross-network value but could not tell whether that value was actually happening. M6-D makes the loop observable so future decisions can be driven by adoption evidence rather than architectural enthusiasm.</w:t>
      </w:r>
    </w:p>
    <w:p>
      <w:r>
        <w:br w:type="page"/>
      </w:r>
    </w:p>
    <w:p>
      <w:pPr>
        <w:pStyle w:val="Title"/>
      </w:pPr>
      <w:r>
        <w:t>1. Product experience</w:t>
      </w:r>
    </w:p>
    <w:p>
      <w:pPr>
        <w:pStyle w:val="Heading1"/>
      </w:pPr>
      <w:r>
        <w:t>Network Effect Pulse</w:t>
      </w:r>
    </w:p>
    <w:p>
      <w:r>
        <w:t>The pulse summarizes the last 30 days for the signed-in person and their trusted-network activity.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Signal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Accepted bridges</w:t>
            </w:r>
          </w:p>
        </w:tc>
        <w:tc>
          <w:tcPr>
            <w:tcW w:type="dxa" w:w="5040"/>
          </w:tcPr>
          <w:p>
            <w:r>
              <w:t>How many governed connections touch networks the person belongs to.</w:t>
            </w:r>
          </w:p>
        </w:tc>
      </w:tr>
      <w:tr>
        <w:tc>
          <w:tcPr>
            <w:tcW w:type="dxa" w:w="5040"/>
          </w:tcPr>
          <w:p>
            <w:r>
              <w:t>Discovery searches</w:t>
            </w:r>
          </w:p>
        </w:tc>
        <w:tc>
          <w:tcPr>
            <w:tcW w:type="dxa" w:w="5040"/>
          </w:tcPr>
          <w:p>
            <w:r>
              <w:t>How often the person tried to use trusted adjacent reach.</w:t>
            </w:r>
          </w:p>
        </w:tc>
      </w:tr>
      <w:tr>
        <w:tc>
          <w:tcPr>
            <w:tcW w:type="dxa" w:w="5040"/>
          </w:tcPr>
          <w:p>
            <w:r>
              <w:t>Opportunities found</w:t>
            </w:r>
          </w:p>
        </w:tc>
        <w:tc>
          <w:tcPr>
            <w:tcW w:type="dxa" w:w="5040"/>
          </w:tcPr>
          <w:p>
            <w:r>
              <w:t>Anonymous matches returned; identity is still hidden.</w:t>
            </w:r>
          </w:p>
        </w:tc>
      </w:tr>
      <w:tr>
        <w:tc>
          <w:tcPr>
            <w:tcW w:type="dxa" w:w="5040"/>
          </w:tcPr>
          <w:p>
            <w:r>
              <w:t>Introductions requested</w:t>
            </w:r>
          </w:p>
        </w:tc>
        <w:tc>
          <w:tcPr>
            <w:tcW w:type="dxa" w:w="5040"/>
          </w:tcPr>
          <w:p>
            <w:r>
              <w:t>How often discovery became a concrete consent request.</w:t>
            </w:r>
          </w:p>
        </w:tc>
      </w:tr>
      <w:tr>
        <w:tc>
          <w:tcPr>
            <w:tcW w:type="dxa" w:w="5040"/>
          </w:tcPr>
          <w:p>
            <w:r>
              <w:t>Accepted introductions</w:t>
            </w:r>
          </w:p>
        </w:tc>
        <w:tc>
          <w:tcPr>
            <w:tcW w:type="dxa" w:w="5040"/>
          </w:tcPr>
          <w:p>
            <w:r>
              <w:t>How often the target explicitly consented.</w:t>
            </w:r>
          </w:p>
        </w:tc>
      </w:tr>
      <w:tr>
        <w:tc>
          <w:tcPr>
            <w:tcW w:type="dxa" w:w="5040"/>
          </w:tcPr>
          <w:p>
            <w:r>
              <w:t>Acceptance rate</w:t>
            </w:r>
          </w:p>
        </w:tc>
        <w:tc>
          <w:tcPr>
            <w:tcW w:type="dxa" w:w="5040"/>
          </w:tcPr>
          <w:p>
            <w:r>
              <w:t>Accepted outgoing requests ÷ outgoing requests.</w:t>
            </w:r>
          </w:p>
        </w:tc>
      </w:tr>
    </w:tbl>
    <w:p>
      <w:pPr>
        <w:pStyle w:val="Heading1"/>
      </w:pPr>
      <w:r>
        <w:t>Activation ladder</w:t>
      </w:r>
    </w:p>
    <w:p>
      <w:pPr>
        <w:pStyle w:val="ListBullet"/>
      </w:pPr>
      <w:r>
        <w:t>Join or create at least two networks.</w:t>
      </w:r>
    </w:p>
    <w:p>
      <w:pPr>
        <w:pStyle w:val="ListBullet"/>
      </w:pPr>
      <w:r>
        <w:t>Create or participate in an accepted trusted bridge.</w:t>
      </w:r>
    </w:p>
    <w:p>
      <w:pPr>
        <w:pStyle w:val="ListBullet"/>
      </w:pPr>
      <w:r>
        <w:t>Run a real cross-network discovery.</w:t>
      </w:r>
    </w:p>
    <w:p>
      <w:pPr>
        <w:pStyle w:val="ListBullet"/>
      </w:pPr>
      <w:r>
        <w:t>Request a respectful introduction.</w:t>
      </w:r>
    </w:p>
    <w:p>
      <w:pPr>
        <w:pStyle w:val="ListBullet"/>
      </w:pPr>
      <w:r>
        <w:t>Receive explicit consent.</w:t>
      </w:r>
    </w:p>
    <w:p>
      <w:pPr>
        <w:pStyle w:val="ListBullet"/>
      </w:pPr>
      <w:r>
        <w:t>Repeat only when genuine value exists.</w:t>
      </w:r>
    </w:p>
    <w:p>
      <w:r>
        <w:br w:type="page"/>
      </w:r>
    </w:p>
    <w:p>
      <w:pPr>
        <w:pStyle w:val="Title"/>
      </w:pPr>
      <w:r>
        <w:t>2. Privacy and measurement architecture</w:t>
      </w:r>
    </w:p>
    <w:p>
      <w:pPr>
        <w:pStyle w:val="Heading1"/>
      </w:pPr>
      <w:r>
        <w:t>What analytics stores</w:t>
      </w:r>
    </w:p>
    <w:p>
      <w:pPr>
        <w:pStyle w:val="ListBullet"/>
      </w:pPr>
      <w:r>
        <w:t>Actor user ID for the person’s own pulse.</w:t>
      </w:r>
    </w:p>
    <w:p>
      <w:pPr>
        <w:pStyle w:val="ListBullet"/>
      </w:pPr>
      <w:r>
        <w:t>Source network ID and optional bridge ID.</w:t>
      </w:r>
    </w:p>
    <w:p>
      <w:pPr>
        <w:pStyle w:val="ListBullet"/>
      </w:pPr>
      <w:r>
        <w:t>Event type and compact event count.</w:t>
      </w:r>
    </w:p>
    <w:p>
      <w:pPr>
        <w:pStyle w:val="ListBullet"/>
      </w:pPr>
      <w:r>
        <w:t>Timestamp.</w:t>
      </w:r>
    </w:p>
    <w:p>
      <w:pPr>
        <w:pStyle w:val="Heading1"/>
      </w:pPr>
      <w:r>
        <w:t>What analytics deliberately does NOT store</w:t>
      </w:r>
    </w:p>
    <w:p>
      <w:pPr>
        <w:pStyle w:val="ListBullet"/>
      </w:pPr>
      <w:r>
        <w:t>Search terms or intent text.</w:t>
      </w:r>
    </w:p>
    <w:p>
      <w:pPr>
        <w:pStyle w:val="ListBullet"/>
      </w:pPr>
      <w:r>
        <w:t>Candidate identity or target entity ID.</w:t>
      </w:r>
    </w:p>
    <w:p>
      <w:pPr>
        <w:pStyle w:val="ListBullet"/>
      </w:pPr>
      <w:r>
        <w:t>Target profile metadata.</w:t>
      </w:r>
    </w:p>
    <w:p>
      <w:pPr>
        <w:pStyle w:val="ListBullet"/>
      </w:pPr>
      <w:r>
        <w:t>Email, phone or other contact details.</w:t>
      </w:r>
    </w:p>
    <w:p>
      <w:pPr>
        <w:pStyle w:val="ListBullet"/>
      </w:pPr>
      <w:r>
        <w:t>Cross-network member directory snapshots.</w:t>
      </w:r>
    </w:p>
    <w:p>
      <w:pPr>
        <w:pStyle w:val="ListBullet"/>
      </w:pPr>
      <w:r>
        <w:t>A universal trust score or social score.</w:t>
      </w:r>
    </w:p>
    <w:p>
      <w:pPr>
        <w:pStyle w:val="Heading1"/>
      </w:pPr>
      <w:r>
        <w:t>Event types</w:t>
      </w:r>
    </w:p>
    <w:p>
      <w:r>
        <w:t>discovery_search · discovery_opportunity · introduction_requested · introduction_accepted · introduction_declined</w:t>
      </w:r>
    </w:p>
    <w:p>
      <w:pPr>
        <w:pStyle w:val="Heading1"/>
      </w:pPr>
      <w:r>
        <w:t>Boundary</w:t>
      </w:r>
    </w:p>
    <w:p>
      <w:r>
        <w:t>M6-D measures whether the privacy-safe M6-C flow is being used. It does not weaken that flow. Anonymous discovery remains anonymous, and target identity is still disclosed to the requester only after target acceptance.</w:t>
      </w:r>
    </w:p>
    <w:p>
      <w:r>
        <w:br w:type="page"/>
      </w:r>
    </w:p>
    <w:p>
      <w:pPr>
        <w:pStyle w:val="Title"/>
      </w:pPr>
      <w:r>
        <w:t>3. Technical implementation</w:t>
      </w:r>
    </w:p>
    <w:p>
      <w:pPr>
        <w:pStyle w:val="Heading1"/>
      </w:pPr>
      <w:r>
        <w:t>Database</w:t>
      </w:r>
    </w:p>
    <w:p>
      <w:pPr>
        <w:pStyle w:val="ListBullet"/>
      </w:pPr>
      <w:r>
        <w:t>Migration 060 adds network_effect_events with RLS enabled and direct authenticated table access revoked.</w:t>
      </w:r>
    </w:p>
    <w:p>
      <w:pPr>
        <w:pStyle w:val="ListBullet"/>
      </w:pPr>
      <w:r>
        <w:t>M6-C discovery/request/review RPCs are redefined to emit compact measurement events while preserving their contracts.</w:t>
      </w:r>
    </w:p>
    <w:p>
      <w:pPr>
        <w:pStyle w:val="ListBullet"/>
      </w:pPr>
      <w:r>
        <w:t>get_my_network_effect_pulse(days) derives the 7–90 day personal funnel and activation stage.</w:t>
      </w:r>
    </w:p>
    <w:p>
      <w:pPr>
        <w:pStyle w:val="Heading1"/>
      </w:pPr>
      <w:r>
        <w:t>Frontend</w:t>
      </w:r>
    </w:p>
    <w:p>
      <w:pPr>
        <w:pStyle w:val="ListBullet"/>
      </w:pPr>
      <w:r>
        <w:t>core/trust/network-effect.ts defines the typed pulse contract.</w:t>
      </w:r>
    </w:p>
    <w:p>
      <w:pPr>
        <w:pStyle w:val="ListBullet"/>
      </w:pPr>
      <w:r>
        <w:t>capabilities/network-trust/effect-remote.ts reads the aggregate RPC.</w:t>
      </w:r>
    </w:p>
    <w:p>
      <w:pPr>
        <w:pStyle w:val="ListBullet"/>
      </w:pPr>
      <w:r>
        <w:t>components/NetworkEffectPulse.tsx renders metrics, funnel and next action.</w:t>
      </w:r>
    </w:p>
    <w:p>
      <w:pPr>
        <w:pStyle w:val="ListBullet"/>
      </w:pPr>
      <w:r>
        <w:t>MyNetworksHome integrates the pulse below the trusted bridge/discovery experiences.</w:t>
      </w:r>
    </w:p>
    <w:p>
      <w:pPr>
        <w:pStyle w:val="Heading1"/>
      </w:pPr>
      <w:r>
        <w:t>Operational approach</w:t>
      </w:r>
    </w:p>
    <w:p>
      <w:r>
        <w:t>No external analytics vendor, queue, Redis, AI ranking or new hosted service was introduced. The telemetry is intentionally small enough to remain first-party in Postgres until real scale or analytical requirements justify more.</w:t>
      </w:r>
    </w:p>
    <w:p>
      <w:r>
        <w:br w:type="page"/>
      </w:r>
    </w:p>
    <w:p>
      <w:pPr>
        <w:pStyle w:val="Title"/>
      </w:pPr>
      <w:r>
        <w:t>4. Verification and strategic next step</w:t>
      </w:r>
    </w:p>
    <w:p>
      <w:pPr>
        <w:pStyle w:val="Heading1"/>
      </w:pPr>
      <w:r>
        <w:t>Runtime verification</w:t>
      </w:r>
    </w:p>
    <w:p>
      <w:pPr>
        <w:pStyle w:val="ListBullet"/>
      </w:pPr>
      <w:r>
        <w:t>Apply 060_m6d_network_effect_activation_measurement.sql.</w:t>
      </w:r>
    </w:p>
    <w:p>
      <w:pPr>
        <w:pStyle w:val="ListBullet"/>
      </w:pPr>
      <w:r>
        <w:t>Run npm run validate:m6d, npm run check:types and npm run build.</w:t>
      </w:r>
    </w:p>
    <w:p>
      <w:pPr>
        <w:pStyle w:val="ListBullet"/>
      </w:pPr>
      <w:r>
        <w:t>Open My Networks and confirm the pulse contains aggregates only.</w:t>
      </w:r>
    </w:p>
    <w:p>
      <w:pPr>
        <w:pStyle w:val="ListBullet"/>
      </w:pPr>
      <w:r>
        <w:t>Progress through bridge → discover → request → accept and verify the activation stage advances.</w:t>
      </w:r>
    </w:p>
    <w:p>
      <w:pPr>
        <w:pStyle w:val="ListBullet"/>
      </w:pPr>
      <w:r>
        <w:t>Retest M6-C anonymity before consent.</w:t>
      </w:r>
    </w:p>
    <w:p>
      <w:pPr>
        <w:pStyle w:val="Heading1"/>
      </w:pPr>
      <w:r>
        <w:t>Source validation at implementation</w:t>
      </w:r>
    </w:p>
    <w:p>
      <w:r>
        <w:t>M6-D 12/12 · M6-C 12/12 · M6-B 12/12 · M6-A 10/10 · M5 12/12 · M4 11/11 · M3 11/11 · M2 19/19 · STABILITY-1 14/14 · i18n visible-literal audit 0.</w:t>
      </w:r>
    </w:p>
    <w:p>
      <w:pPr>
        <w:pStyle w:val="Heading1"/>
      </w:pPr>
      <w:r>
        <w:t>Strategic interpretation</w:t>
      </w:r>
    </w:p>
    <w:p>
      <w:r>
        <w:t>M6-D should become a decision gate. If real users bridge networks, discover useful opportunities and accept introductions, the network-effect thesis gains evidence. If the funnel stalls, improve the failing step rather than automatically adding more graph complexity.</w:t>
      </w:r>
    </w:p>
    <w:p>
      <w:pPr>
        <w:pStyle w:val="Heading1"/>
      </w:pPr>
      <w:r>
        <w:t>Recommended next mission</w:t>
      </w:r>
    </w:p>
    <w:p>
      <w:r>
        <w:t>Do not automatically add multi-hop discovery. The next mission should be chosen from runtime evidence. A likely high-value direction is M7 — Real-World Activation &amp; Pilot Readiness: onboarding, seed-network activation, admin launch tools, invitation conversion, feedback capture and pilot instrumentation.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