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MISSION 7-F • FINAL MISSION 7 CLOSURE</w:t>
      </w:r>
    </w:p>
    <w:p>
      <w:pPr>
        <w:pStyle w:val="Title"/>
      </w:pPr>
      <w:r>
        <w:t>Pilot Evidence Review</w:t>
        <w:br/>
        <w:t>&amp; Product Decision Gate</w:t>
      </w:r>
    </w:p>
    <w:p>
      <w:r>
        <w:t>Turn real pilot learning into explicit product choices — and stop speculative expansion when the evidence is weak.</w:t>
      </w:r>
    </w:p>
    <w:p>
      <w:r>
        <w:rPr>
          <w:b/>
        </w:rPr>
        <w:t>SHOW  →  GUIDE  →  OPERATE  →  LEARN  →  CERTIFY  →  DECIDE</w:t>
      </w:r>
    </w:p>
    <w:tbl>
      <w:tblPr>
        <w:tblW w:type="auto" w:w="0"/>
        <w:jc w:val="center"/>
        <w:tblLook w:firstColumn="1" w:firstRow="1" w:lastColumn="0" w:lastRow="0" w:noHBand="0" w:noVBand="1" w:val="04A0"/>
      </w:tblPr>
      <w:tblGrid>
        <w:gridCol w:w="10166"/>
      </w:tblGrid>
      <w:tr>
        <w:tc>
          <w:tcPr>
            <w:tcW w:type="dxa" w:w="10166"/>
            <w:shd w:fill="E8F2EE"/>
            <w:vAlign w:val="center"/>
          </w:tcPr>
          <w:p>
            <w:r>
              <w:rPr>
                <w:b/>
                <w:sz w:val="22"/>
              </w:rPr>
              <w:t>Mission purpose</w:t>
              <w:br/>
            </w:r>
            <w:r>
              <w:t>M7-F is not another feature release. It is the governance layer that decides whether the next unit of engineering effort should INVEST, FIX, HOLD, or STOP based on pilot evidence and an explicit human rationale.</w:t>
            </w:r>
          </w:p>
        </w:tc>
      </w:tr>
    </w:tbl>
    <w:p>
      <w:pPr>
        <w:pStyle w:val="Heading2"/>
      </w:pPr>
      <w:r>
        <w:t>Why this mission exists</w:t>
      </w:r>
    </w:p>
    <w:p>
      <w:pPr>
        <w:pStyle w:val="ListBullet"/>
      </w:pPr>
      <w:r>
        <w:t>M7-D already captures lightweight contextual pilot feedback.</w:t>
      </w:r>
    </w:p>
    <w:p>
      <w:pPr>
        <w:pStyle w:val="ListBullet"/>
      </w:pPr>
      <w:r>
        <w:t>M7-E certifies whether the real runtime is ready before a showcase.</w:t>
      </w:r>
    </w:p>
    <w:p>
      <w:pPr>
        <w:pStyle w:val="ListBullet"/>
      </w:pPr>
      <w:r>
        <w:t>Without a decision gate, the product can still keep accumulating features regardless of what pilots actually value.</w:t>
      </w:r>
    </w:p>
    <w:p>
      <w:pPr>
        <w:pStyle w:val="ListBullet"/>
      </w:pPr>
      <w:r>
        <w:t>M7-F closes that loop and makes the evidence-to-roadmap handoff explicit and auditable.</w:t>
      </w:r>
    </w:p>
    <w:p>
      <w:pPr>
        <w:pStyle w:val="Heading2"/>
      </w:pPr>
      <w:r>
        <w:t>Mission 7 completion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8ED"/>
          </w:tcPr>
          <w:p>
            <w:r>
              <w:t>Stage</w:t>
            </w:r>
          </w:p>
        </w:tc>
        <w:tc>
          <w:tcPr>
            <w:tcW w:type="dxa" w:w="3389"/>
            <w:shd w:fill="DCE8ED"/>
          </w:tcPr>
          <w:p>
            <w:r>
              <w:t>Mission</w:t>
            </w:r>
          </w:p>
        </w:tc>
        <w:tc>
          <w:tcPr>
            <w:tcW w:type="dxa" w:w="3389"/>
            <w:shd w:fill="DCE8ED"/>
          </w:tcPr>
          <w:p>
            <w:r>
              <w:t>Purpose</w:t>
            </w:r>
          </w:p>
        </w:tc>
      </w:tr>
      <w:tr>
        <w:tc>
          <w:tcPr>
            <w:tcW w:type="dxa" w:w="3389"/>
          </w:tcPr>
          <w:p>
            <w:r>
              <w:t>SHOW</w:t>
            </w:r>
          </w:p>
        </w:tc>
        <w:tc>
          <w:tcPr>
            <w:tcW w:type="dxa" w:w="3389"/>
          </w:tcPr>
          <w:p>
            <w:r>
              <w:t>M7-B</w:t>
            </w:r>
          </w:p>
        </w:tc>
        <w:tc>
          <w:tcPr>
            <w:tcW w:type="dxa" w:w="3389"/>
          </w:tcPr>
          <w:p>
            <w:r>
              <w:t>Demonstrate the trusted-network story safely.</w:t>
            </w:r>
          </w:p>
        </w:tc>
      </w:tr>
      <w:tr>
        <w:tc>
          <w:tcPr>
            <w:tcW w:type="dxa" w:w="3389"/>
          </w:tcPr>
          <w:p>
            <w:r>
              <w:t>GUIDE</w:t>
            </w:r>
          </w:p>
        </w:tc>
        <w:tc>
          <w:tcPr>
            <w:tcW w:type="dxa" w:w="3389"/>
          </w:tcPr>
          <w:p>
            <w:r>
              <w:t>M7-A</w:t>
            </w:r>
          </w:p>
        </w:tc>
        <w:tc>
          <w:tcPr>
            <w:tcW w:type="dxa" w:w="3389"/>
          </w:tcPr>
          <w:p>
            <w:r>
              <w:t>Move a network toward first value.</w:t>
            </w:r>
          </w:p>
        </w:tc>
      </w:tr>
      <w:tr>
        <w:tc>
          <w:tcPr>
            <w:tcW w:type="dxa" w:w="3389"/>
          </w:tcPr>
          <w:p>
            <w:r>
              <w:t>OPERATE</w:t>
            </w:r>
          </w:p>
        </w:tc>
        <w:tc>
          <w:tcPr>
            <w:tcW w:type="dxa" w:w="3389"/>
          </w:tcPr>
          <w:p>
            <w:r>
              <w:t>M7-C</w:t>
            </w:r>
          </w:p>
        </w:tc>
        <w:tc>
          <w:tcPr>
            <w:tcW w:type="dxa" w:w="3389"/>
          </w:tcPr>
          <w:p>
            <w:r>
              <w:t>Focus admin intervention where it matters.</w:t>
            </w:r>
          </w:p>
        </w:tc>
      </w:tr>
      <w:tr>
        <w:tc>
          <w:tcPr>
            <w:tcW w:type="dxa" w:w="3389"/>
          </w:tcPr>
          <w:p>
            <w:r>
              <w:t>LEARN</w:t>
            </w:r>
          </w:p>
        </w:tc>
        <w:tc>
          <w:tcPr>
            <w:tcW w:type="dxa" w:w="3389"/>
          </w:tcPr>
          <w:p>
            <w:r>
              <w:t>M7-D</w:t>
            </w:r>
          </w:p>
        </w:tc>
        <w:tc>
          <w:tcPr>
            <w:tcW w:type="dxa" w:w="3389"/>
          </w:tcPr>
          <w:p>
            <w:r>
              <w:t>Capture what helped and what blocked.</w:t>
            </w:r>
          </w:p>
        </w:tc>
      </w:tr>
      <w:tr>
        <w:tc>
          <w:tcPr>
            <w:tcW w:type="dxa" w:w="3389"/>
          </w:tcPr>
          <w:p>
            <w:r>
              <w:t>CERTIFY</w:t>
            </w:r>
          </w:p>
        </w:tc>
        <w:tc>
          <w:tcPr>
            <w:tcW w:type="dxa" w:w="3389"/>
          </w:tcPr>
          <w:p>
            <w:r>
              <w:t>M7-E</w:t>
            </w:r>
          </w:p>
        </w:tc>
        <w:tc>
          <w:tcPr>
            <w:tcW w:type="dxa" w:w="3389"/>
          </w:tcPr>
          <w:p>
            <w:r>
              <w:t>Preflight the real runtime.</w:t>
            </w:r>
          </w:p>
        </w:tc>
      </w:tr>
      <w:tr>
        <w:tc>
          <w:tcPr>
            <w:tcW w:type="dxa" w:w="3389"/>
          </w:tcPr>
          <w:p>
            <w:r>
              <w:t>DECIDE</w:t>
            </w:r>
          </w:p>
        </w:tc>
        <w:tc>
          <w:tcPr>
            <w:tcW w:type="dxa" w:w="3389"/>
          </w:tcPr>
          <w:p>
            <w:r>
              <w:t>M7-F</w:t>
            </w:r>
          </w:p>
        </w:tc>
        <w:tc>
          <w:tcPr>
            <w:tcW w:type="dxa" w:w="3389"/>
          </w:tcPr>
          <w:p>
            <w:r>
              <w:t>Choose the next investment from evidence.</w:t>
            </w:r>
          </w:p>
        </w:tc>
      </w:tr>
    </w:tbl>
    <w:p>
      <w:r>
        <w:br w:type="page"/>
      </w:r>
    </w:p>
    <w:p>
      <w:pPr>
        <w:pStyle w:val="Kicker"/>
      </w:pPr>
      <w:r>
        <w:t>DECISION VOCABULARY</w:t>
      </w:r>
    </w:p>
    <w:p>
      <w:pPr>
        <w:pStyle w:val="Heading1"/>
      </w:pPr>
      <w:r>
        <w:t>Four choices, deliberately simple</w:t>
      </w:r>
    </w:p>
    <w:tbl>
      <w:tblPr>
        <w:tblW w:type="auto" w:w="0"/>
        <w:jc w:val="center"/>
        <w:tblLook w:firstColumn="1" w:firstRow="1" w:lastColumn="0" w:lastRow="0" w:noHBand="0" w:noVBand="1" w:val="04A0"/>
      </w:tblPr>
      <w:tblGrid>
        <w:gridCol w:w="10166"/>
      </w:tblGrid>
      <w:tr>
        <w:tc>
          <w:tcPr>
            <w:tcW w:type="dxa" w:w="10166"/>
            <w:shd w:fill="F4F6F7"/>
            <w:vAlign w:val="center"/>
          </w:tcPr>
          <w:p>
            <w:r>
              <w:rPr>
                <w:b/>
                <w:sz w:val="22"/>
              </w:rPr>
              <w:t>INVEST</w:t>
              <w:br/>
            </w:r>
            <w:r>
              <w:t>Pilots repeatedly find the capability useful. Deepen the capability, coverage, quality, or reach.</w:t>
            </w:r>
          </w:p>
        </w:tc>
      </w:tr>
    </w:tbl>
    <w:tbl>
      <w:tblPr>
        <w:tblW w:type="auto" w:w="0"/>
        <w:jc w:val="center"/>
        <w:tblLook w:firstColumn="1" w:firstRow="1" w:lastColumn="0" w:lastRow="0" w:noHBand="0" w:noVBand="1" w:val="04A0"/>
      </w:tblPr>
      <w:tblGrid>
        <w:gridCol w:w="10166"/>
      </w:tblGrid>
      <w:tr>
        <w:tc>
          <w:tcPr>
            <w:tcW w:type="dxa" w:w="10166"/>
            <w:shd w:fill="FBF1EC"/>
            <w:vAlign w:val="center"/>
          </w:tcPr>
          <w:p>
            <w:r>
              <w:rPr>
                <w:b/>
                <w:sz w:val="22"/>
              </w:rPr>
              <w:t>FIX</w:t>
              <w:br/>
            </w:r>
            <w:r>
              <w:t>The capability has value, but repeated friction blocks it. Repair the existing experience before expanding scope.</w:t>
            </w:r>
          </w:p>
        </w:tc>
      </w:tr>
    </w:tbl>
    <w:tbl>
      <w:tblPr>
        <w:tblW w:type="auto" w:w="0"/>
        <w:jc w:val="center"/>
        <w:tblLook w:firstColumn="1" w:firstRow="1" w:lastColumn="0" w:lastRow="0" w:noHBand="0" w:noVBand="1" w:val="04A0"/>
      </w:tblPr>
      <w:tblGrid>
        <w:gridCol w:w="10166"/>
      </w:tblGrid>
      <w:tr>
        <w:tc>
          <w:tcPr>
            <w:tcW w:type="dxa" w:w="10166"/>
            <w:shd w:fill="F4F6F7"/>
            <w:vAlign w:val="center"/>
          </w:tcPr>
          <w:p>
            <w:r>
              <w:rPr>
                <w:b/>
                <w:sz w:val="22"/>
              </w:rPr>
              <w:t>HOLD</w:t>
              <w:br/>
            </w:r>
            <w:r>
              <w:t>Evidence is too thin or mixed. Keep the capability stable and gather more evidence instead of adding complexity.</w:t>
            </w:r>
          </w:p>
        </w:tc>
      </w:tr>
    </w:tbl>
    <w:tbl>
      <w:tblPr>
        <w:tblW w:type="auto" w:w="0"/>
        <w:jc w:val="center"/>
        <w:tblLook w:firstColumn="1" w:firstRow="1" w:lastColumn="0" w:lastRow="0" w:noHBand="0" w:noVBand="1" w:val="04A0"/>
      </w:tblPr>
      <w:tblGrid>
        <w:gridCol w:w="10166"/>
      </w:tblGrid>
      <w:tr>
        <w:tc>
          <w:tcPr>
            <w:tcW w:type="dxa" w:w="10166"/>
            <w:shd w:fill="F4F6F7"/>
            <w:vAlign w:val="center"/>
          </w:tcPr>
          <w:p>
            <w:r>
              <w:rPr>
                <w:b/>
                <w:sz w:val="22"/>
              </w:rPr>
              <w:t>STOP</w:t>
              <w:br/>
            </w:r>
            <w:r>
              <w:t>Do not spend more on this capability until the premise, market, or evidence changes.</w:t>
            </w:r>
          </w:p>
        </w:tc>
      </w:tr>
    </w:tbl>
    <w:p>
      <w:pPr>
        <w:pStyle w:val="Heading2"/>
      </w:pPr>
      <w:r>
        <w:t>Recommendation policy</w:t>
      </w:r>
    </w:p>
    <w:p>
      <w:r>
        <w:t>The V1 recommendation is intentionally transparent rather than ML-driven:</w:t>
      </w:r>
    </w:p>
    <w:p>
      <w:pPr>
        <w:pStyle w:val="ListBullet"/>
      </w:pPr>
      <w:r>
        <w:t>Fewer than 5 responses for a moment → HOLD.</w:t>
      </w:r>
    </w:p>
    <w:p>
      <w:pPr>
        <w:pStyle w:val="ListBullet"/>
      </w:pPr>
      <w:r>
        <w:t>Blocked feedback ≥ 40% → FIX.</w:t>
      </w:r>
    </w:p>
    <w:p>
      <w:pPr>
        <w:pStyle w:val="ListBullet"/>
      </w:pPr>
      <w:r>
        <w:t>Helpful feedback ≥ 70% → INVEST.</w:t>
      </w:r>
    </w:p>
    <w:p>
      <w:pPr>
        <w:pStyle w:val="ListBullet"/>
      </w:pPr>
      <w:r>
        <w:t>Partial + blocked feedback ≥ 60% → FIX.</w:t>
      </w:r>
    </w:p>
    <w:p>
      <w:pPr>
        <w:pStyle w:val="ListBullet"/>
      </w:pPr>
      <w:r>
        <w:t>Otherwise → HOLD.</w:t>
      </w:r>
    </w:p>
    <w:tbl>
      <w:tblPr>
        <w:tblW w:type="auto" w:w="0"/>
        <w:jc w:val="center"/>
        <w:tblLook w:firstColumn="1" w:firstRow="1" w:lastColumn="0" w:lastRow="0" w:noHBand="0" w:noVBand="1" w:val="04A0"/>
      </w:tblPr>
      <w:tblGrid>
        <w:gridCol w:w="10166"/>
      </w:tblGrid>
      <w:tr>
        <w:tc>
          <w:tcPr>
            <w:tcW w:type="dxa" w:w="10166"/>
            <w:shd w:fill="FFF6E6"/>
            <w:vAlign w:val="center"/>
          </w:tcPr>
          <w:p>
            <w:r>
              <w:rPr>
                <w:b/>
                <w:sz w:val="22"/>
              </w:rPr>
              <w:t>Why STOP is never auto-recommended</w:t>
              <w:br/>
            </w:r>
            <w:r>
              <w:t>STOP remains available to the human decision maker, but V1 will not recommend it automatically. Ending investment is a consequential product judgment and should require explicit reasoning, not a small-sample threshold.</w:t>
            </w:r>
          </w:p>
        </w:tc>
      </w:tr>
    </w:tbl>
    <w:p>
      <w:pPr>
        <w:pStyle w:val="Heading2"/>
      </w:pPr>
      <w:r>
        <w:t>Confidence</w:t>
      </w:r>
    </w:p>
    <w:p>
      <w:pPr>
        <w:pStyle w:val="ListBullet"/>
      </w:pPr>
      <w:r>
        <w:t>Low: fewer than 5 feedback signals.</w:t>
      </w:r>
    </w:p>
    <w:p>
      <w:pPr>
        <w:pStyle w:val="ListBullet"/>
      </w:pPr>
      <w:r>
        <w:t>Medium: at least 5 feedback signals.</w:t>
      </w:r>
    </w:p>
    <w:p>
      <w:pPr>
        <w:pStyle w:val="ListBullet"/>
      </w:pPr>
      <w:r>
        <w:t>High: at least 12 feedback signals.</w:t>
      </w:r>
    </w:p>
    <w:p>
      <w:r>
        <w:br w:type="page"/>
      </w:r>
    </w:p>
    <w:p>
      <w:pPr>
        <w:pStyle w:val="Kicker"/>
      </w:pPr>
      <w:r>
        <w:t>EVIDENCE AND GOVERNANCE</w:t>
      </w:r>
    </w:p>
    <w:p>
      <w:pPr>
        <w:pStyle w:val="Heading1"/>
      </w:pPr>
      <w:r>
        <w:t>What the gate reviews</w:t>
      </w:r>
    </w:p>
    <w:p>
      <w:r>
        <w:t>M7-F reuses the existing M7-D feedback store. It does not create a parallel analytics system.</w:t>
      </w:r>
    </w:p>
    <w:p>
      <w:pPr>
        <w:pStyle w:val="Heading2"/>
      </w:pPr>
      <w:r>
        <w:t>Evidence is grouped by meaningful product moment</w:t>
      </w:r>
    </w:p>
    <w:p>
      <w:pPr>
        <w:pStyle w:val="ListBullet"/>
      </w:pPr>
      <w:r>
        <w:t>Launch</w:t>
      </w:r>
    </w:p>
    <w:p>
      <w:pPr>
        <w:pStyle w:val="ListBullet"/>
      </w:pPr>
      <w:r>
        <w:t>Participation</w:t>
      </w:r>
    </w:p>
    <w:p>
      <w:pPr>
        <w:pStyle w:val="ListBullet"/>
      </w:pPr>
      <w:r>
        <w:t>Claim</w:t>
      </w:r>
    </w:p>
    <w:p>
      <w:pPr>
        <w:pStyle w:val="ListBullet"/>
      </w:pPr>
      <w:r>
        <w:t>Bridge</w:t>
      </w:r>
    </w:p>
    <w:p>
      <w:pPr>
        <w:pStyle w:val="ListBullet"/>
      </w:pPr>
      <w:r>
        <w:t>Discovery</w:t>
      </w:r>
    </w:p>
    <w:p>
      <w:pPr>
        <w:pStyle w:val="ListBullet"/>
      </w:pPr>
      <w:r>
        <w:t>Introduction</w:t>
      </w:r>
    </w:p>
    <w:p>
      <w:pPr>
        <w:pStyle w:val="ListBullet"/>
      </w:pPr>
      <w:r>
        <w:t>Outcome</w:t>
      </w:r>
    </w:p>
    <w:p>
      <w:pPr>
        <w:pStyle w:val="ListBullet"/>
      </w:pPr>
      <w:r>
        <w:t>General feedback</w:t>
      </w:r>
    </w:p>
    <w:p>
      <w:r>
        <w:t>For each moment the gate shows feedback count, helpful / partial / blocked counts, helpful rate, top bounded friction category, confidence, recommendation, and a human-readable reason.</w:t>
      </w:r>
    </w:p>
    <w:p>
      <w:pPr>
        <w:pStyle w:val="Heading2"/>
      </w:pPr>
      <w:r>
        <w:t>Decision ledger</w:t>
      </w:r>
    </w:p>
    <w:p>
      <w:r>
        <w:t>Migration 067 adds pilot_product_decisions. Every saved decision captures:</w:t>
      </w:r>
    </w:p>
    <w:p>
      <w:pPr>
        <w:pStyle w:val="ListBullet"/>
      </w:pPr>
      <w:r>
        <w:t>human disposition: INVEST / FIX / HOLD / STOP;</w:t>
      </w:r>
    </w:p>
    <w:p>
      <w:pPr>
        <w:pStyle w:val="ListBullet"/>
      </w:pPr>
      <w:r>
        <w:t>evidence window (7–90 days);</w:t>
      </w:r>
    </w:p>
    <w:p>
      <w:pPr>
        <w:pStyle w:val="ListBullet"/>
      </w:pPr>
      <w:r>
        <w:t>bounded evidence snapshot at decision time;</w:t>
      </w:r>
    </w:p>
    <w:p>
      <w:pPr>
        <w:pStyle w:val="ListBullet"/>
      </w:pPr>
      <w:r>
        <w:t>required rationale;</w:t>
      </w:r>
    </w:p>
    <w:p>
      <w:pPr>
        <w:pStyle w:val="ListBullet"/>
      </w:pPr>
      <w:r>
        <w:t>optional concrete next action;</w:t>
      </w:r>
    </w:p>
    <w:p>
      <w:pPr>
        <w:pStyle w:val="ListBullet"/>
      </w:pPr>
      <w:r>
        <w:t>decision timestamp and actor.</w:t>
      </w:r>
    </w:p>
    <w:tbl>
      <w:tblPr>
        <w:tblW w:type="auto" w:w="0"/>
        <w:jc w:val="center"/>
        <w:tblLook w:firstColumn="1" w:firstRow="1" w:lastColumn="0" w:lastRow="0" w:noHBand="0" w:noVBand="1" w:val="04A0"/>
      </w:tblPr>
      <w:tblGrid>
        <w:gridCol w:w="10166"/>
      </w:tblGrid>
      <w:tr>
        <w:tc>
          <w:tcPr>
            <w:tcW w:type="dxa" w:w="10166"/>
            <w:shd w:fill="E8F2EE"/>
            <w:vAlign w:val="center"/>
          </w:tcPr>
          <w:p>
            <w:r>
              <w:rPr>
                <w:b/>
                <w:sz w:val="22"/>
              </w:rPr>
              <w:t>Auditability over automation</w:t>
              <w:br/>
            </w:r>
            <w:r>
              <w:t>A later roadmap conversation can answer “what did we know when we chose this?” without allowing the database to silently alter features, permissions, code, or roadmap artifacts.</w:t>
            </w:r>
          </w:p>
        </w:tc>
      </w:tr>
    </w:tbl>
    <w:p>
      <w:pPr>
        <w:pStyle w:val="Heading2"/>
      </w:pPr>
      <w:r>
        <w:t>Privacy boundary</w:t>
      </w:r>
    </w:p>
    <w:p>
      <w:pPr>
        <w:pStyle w:val="ListBullet"/>
      </w:pPr>
      <w:r>
        <w:t>Owner/Admin access only.</w:t>
      </w:r>
    </w:p>
    <w:p>
      <w:pPr>
        <w:pStyle w:val="ListBullet"/>
      </w:pPr>
      <w:r>
        <w:t>Uses M7-D de-identified feedback evidence.</w:t>
      </w:r>
    </w:p>
    <w:p>
      <w:pPr>
        <w:pStyle w:val="ListBullet"/>
      </w:pPr>
      <w:r>
        <w:t>No feedback author is exposed by the decision gate.</w:t>
      </w:r>
    </w:p>
    <w:p>
      <w:pPr>
        <w:pStyle w:val="ListBullet"/>
      </w:pPr>
      <w:r>
        <w:t>No discovery query text, candidate identity, contact detail, or adjacent-network directory is returned.</w:t>
      </w:r>
    </w:p>
    <w:p>
      <w:r>
        <w:br w:type="page"/>
      </w:r>
    </w:p>
    <w:p>
      <w:pPr>
        <w:pStyle w:val="Kicker"/>
      </w:pPr>
      <w:r>
        <w:t>RUNTIME EXPERIENCE</w:t>
      </w:r>
    </w:p>
    <w:p>
      <w:pPr>
        <w:pStyle w:val="Heading1"/>
      </w:pPr>
      <w:r>
        <w:t>How an Owner/Admin uses M7-F</w:t>
      </w:r>
    </w:p>
    <w:p>
      <w:pPr>
        <w:pStyle w:val="Heading2"/>
      </w:pPr>
      <w:r>
        <w:t>1. Review</w:t>
      </w:r>
    </w:p>
    <w:p>
      <w:r>
        <w:t>Open My Networks → Pilot Evidence Review after pilots have generated feedback.</w:t>
      </w:r>
    </w:p>
    <w:p>
      <w:pPr>
        <w:pStyle w:val="Heading2"/>
      </w:pPr>
      <w:r>
        <w:t>2. Compare</w:t>
      </w:r>
    </w:p>
    <w:p>
      <w:r>
        <w:t>Look across moments to see where value is strong and where friction clusters.</w:t>
      </w:r>
    </w:p>
    <w:p>
      <w:pPr>
        <w:pStyle w:val="Heading2"/>
      </w:pPr>
      <w:r>
        <w:t>3. Challenge recommendation</w:t>
      </w:r>
    </w:p>
    <w:p>
      <w:r>
        <w:t>Treat INVEST / FIX / HOLD as an evidence prompt, not an instruction.</w:t>
      </w:r>
    </w:p>
    <w:p>
      <w:pPr>
        <w:pStyle w:val="Heading2"/>
      </w:pPr>
      <w:r>
        <w:t>4. Decide</w:t>
      </w:r>
    </w:p>
    <w:p>
      <w:r>
        <w:t>Choose INVEST, FIX, HOLD, or STOP.</w:t>
      </w:r>
    </w:p>
    <w:p>
      <w:pPr>
        <w:pStyle w:val="Heading2"/>
      </w:pPr>
      <w:r>
        <w:t>5. Explain</w:t>
      </w:r>
    </w:p>
    <w:p>
      <w:r>
        <w:t>Write the rationale and optionally a concrete next action.</w:t>
      </w:r>
    </w:p>
    <w:p>
      <w:pPr>
        <w:pStyle w:val="Heading2"/>
      </w:pPr>
      <w:r>
        <w:t>6. Record</w:t>
      </w:r>
    </w:p>
    <w:p>
      <w:r>
        <w:t>Save the decision with its current evidence snapshot.</w:t>
      </w:r>
    </w:p>
    <w:p>
      <w:pPr>
        <w:pStyle w:val="Heading2"/>
      </w:pPr>
      <w:r>
        <w:t>7. Open future work only when justified</w:t>
      </w:r>
    </w:p>
    <w:p>
      <w:r>
        <w:t>A future mission should follow credible INVEST/FIX evidence or an explicitly chosen business goal.</w:t>
      </w:r>
    </w:p>
    <w:p>
      <w:pPr>
        <w:pStyle w:val="Heading2"/>
      </w:pPr>
      <w:r>
        <w:t>Example</w:t>
      </w:r>
    </w:p>
    <w:tbl>
      <w:tblPr>
        <w:tblW w:type="auto" w:w="0"/>
        <w:jc w:val="center"/>
        <w:tblLook w:firstColumn="1" w:firstRow="1" w:lastColumn="0" w:lastRow="0" w:noHBand="0" w:noVBand="1" w:val="04A0"/>
      </w:tblPr>
      <w:tblGrid>
        <w:gridCol w:w="10166"/>
      </w:tblGrid>
      <w:tr>
        <w:tc>
          <w:tcPr>
            <w:tcW w:type="dxa" w:w="10166"/>
            <w:shd w:fill="FBF1EC"/>
            <w:vAlign w:val="center"/>
          </w:tcPr>
          <w:p>
            <w:r>
              <w:rPr>
                <w:b/>
                <w:sz w:val="22"/>
              </w:rPr>
              <w:t>Discovery • 14 signals • 43% blocked</w:t>
              <w:br/>
            </w:r>
            <w:r>
              <w:t>Recommendation: FIX. Rationale: pilots understand the value, but claim eligibility and zero-result explanations repeatedly interrupt discovery. Next action: simplify claim activation and re-run the scenario with two pilot networks.</w:t>
            </w:r>
          </w:p>
        </w:tc>
      </w:tr>
    </w:tbl>
    <w:p>
      <w:r>
        <w:t>That decision does not itself change discovery. It creates the evidence-backed authorization context for a future focused mission.</w:t>
      </w:r>
    </w:p>
    <w:p>
      <w:r>
        <w:br w:type="page"/>
      </w:r>
    </w:p>
    <w:p>
      <w:pPr>
        <w:pStyle w:val="Kicker"/>
      </w:pPr>
      <w:r>
        <w:t>ARCHITECTURE AND CERTIFICATION</w:t>
      </w:r>
    </w:p>
    <w:p>
      <w:pPr>
        <w:pStyle w:val="Heading1"/>
      </w:pPr>
      <w:r>
        <w:t>Implementation footprint</w:t>
      </w:r>
    </w:p>
    <w:p>
      <w:pPr>
        <w:pStyle w:val="ListBullet"/>
      </w:pPr>
      <w:r>
        <w:t>UI: components/PilotEvidenceDecisionGate.tsx</w:t>
      </w:r>
    </w:p>
    <w:p>
      <w:pPr>
        <w:pStyle w:val="ListBullet"/>
      </w:pPr>
      <w:r>
        <w:t>Domain types: core/activation/pilot-decision.ts</w:t>
      </w:r>
    </w:p>
    <w:p>
      <w:pPr>
        <w:pStyle w:val="ListBullet"/>
      </w:pPr>
      <w:r>
        <w:t>Remote adapter: capabilities/pilot-decision/remote.ts</w:t>
      </w:r>
    </w:p>
    <w:p>
      <w:pPr>
        <w:pStyle w:val="ListBullet"/>
      </w:pPr>
      <w:r>
        <w:t>Database: supabase/migrations/067_m7f_pilot_evidence_product_decision_gate.sql</w:t>
      </w:r>
    </w:p>
    <w:p>
      <w:pPr>
        <w:pStyle w:val="ListBullet"/>
      </w:pPr>
      <w:r>
        <w:t>Validation: scripts/m7f-pilot-evidence-decision-gate.mjs</w:t>
      </w:r>
    </w:p>
    <w:p>
      <w:pPr>
        <w:pStyle w:val="ListBullet"/>
      </w:pPr>
      <w:r>
        <w:t>My Networks integration, responsive CSS, English i18n tokens, CI and durable mission documentation.</w:t>
      </w:r>
    </w:p>
    <w:p>
      <w:pPr>
        <w:pStyle w:val="Heading2"/>
      </w:pPr>
      <w:r>
        <w:t>New governed RPCs</w:t>
      </w:r>
    </w:p>
    <w:p>
      <w:pPr>
        <w:pStyle w:val="ListBullet"/>
      </w:pPr>
      <w:r>
        <w:t>get_my_pilot_product_decision_gate(p_days)</w:t>
      </w:r>
    </w:p>
    <w:p>
      <w:pPr>
        <w:pStyle w:val="ListBullet"/>
      </w:pPr>
      <w:r>
        <w:t>record_pilot_product_decision(moment, disposition, evidence_days, rationale, next_action)</w:t>
      </w:r>
    </w:p>
    <w:p>
      <w:pPr>
        <w:pStyle w:val="Heading2"/>
      </w:pPr>
      <w:r>
        <w:t>Runtime certification</w:t>
      </w:r>
    </w:p>
    <w:p>
      <w:pPr>
        <w:pStyle w:val="ListBullet"/>
      </w:pPr>
      <w:r>
        <w:t>Apply migration 067 after migration 066.</w:t>
      </w:r>
    </w:p>
    <w:p>
      <w:pPr>
        <w:pStyle w:val="ListBullet"/>
      </w:pPr>
      <w:r>
        <w:t>Verify evidence counts and recommendations against M7-D feedback.</w:t>
      </w:r>
    </w:p>
    <w:p>
      <w:pPr>
        <w:pStyle w:val="ListBullet"/>
      </w:pPr>
      <w:r>
        <w:t>Record a decision and confirm it appears in history.</w:t>
      </w:r>
    </w:p>
    <w:p>
      <w:pPr>
        <w:pStyle w:val="ListBullet"/>
      </w:pPr>
      <w:r>
        <w:t>Confirm saving a decision changes no feature flag, permission, roadmap artifact or runtime capability.</w:t>
      </w:r>
    </w:p>
    <w:p>
      <w:pPr>
        <w:pStyle w:val="ListBullet"/>
      </w:pPr>
      <w:r>
        <w:t>Confirm non-admin members do not see the gate.</w:t>
      </w:r>
    </w:p>
    <w:p>
      <w:pPr>
        <w:pStyle w:val="ListBullet"/>
      </w:pPr>
      <w:r>
        <w:t>Run npm run validate:m7f, npm run check:types, and npm run build in the complete repository environment.</w:t>
      </w:r>
    </w:p>
    <w:p>
      <w:pPr>
        <w:pStyle w:val="Heading2"/>
      </w:pPr>
      <w:r>
        <w:t>Source validation status</w:t>
      </w:r>
    </w:p>
    <w:tbl>
      <w:tblPr>
        <w:tblW w:type="auto" w:w="0"/>
        <w:jc w:val="center"/>
        <w:tblLook w:firstColumn="1" w:firstRow="1" w:lastColumn="0" w:lastRow="0" w:noHBand="0" w:noVBand="1" w:val="04A0"/>
      </w:tblPr>
      <w:tblGrid>
        <w:gridCol w:w="10166"/>
      </w:tblGrid>
      <w:tr>
        <w:tc>
          <w:tcPr>
            <w:tcW w:type="dxa" w:w="10166"/>
            <w:shd w:fill="E8F2EE"/>
            <w:vAlign w:val="center"/>
          </w:tcPr>
          <w:p>
            <w:r>
              <w:rPr>
                <w:b/>
                <w:sz w:val="22"/>
              </w:rPr>
              <w:t>M7-F gate: 10 / 10 PASS</w:t>
              <w:br/>
            </w:r>
            <w:r>
              <w:t>The full cumulative mission source chain passes through M7-E, M7-D, M7-C, M7-A, M7-B, M6-A–E, M5, M4, M3, M2 and STABILITY-1. Independent TypeScript transpilation of the M7-F changed TS/TSX files also passes. Full repository typecheck in the extracted workspace still stops before project source on missing external type packages (react, node, d3-*, leaflet, etc.).</w:t>
            </w:r>
          </w:p>
        </w:tc>
      </w:tr>
    </w:tbl>
    <w:p>
      <w:pPr>
        <w:pStyle w:val="Heading2"/>
      </w:pPr>
      <w:r>
        <w:t>Closure</w:t>
      </w:r>
    </w:p>
    <w:p>
      <w:r>
        <w:t>M7-F is the final planned Mission 7 implementation. There is no automatic M7-G. The trusted-network/showcase track now ends with a product-development checkpoint: build next because evidence supports it, fix what pilots repeatedly struggle with, or hold when the signal is not yet strong enough.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Generic Network OS  •  Mission 7-F  •  Pilot Evidence Review &amp; Product Decision Gate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95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B56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