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18"/>
        </w:rPr>
        <w:t>TRUSTWEAVE · FEDERATION MISSION</w:t>
      </w:r>
    </w:p>
    <w:p>
      <w:pPr>
        <w:pStyle w:val="Title"/>
        <w:spacing w:after="40"/>
        <w:jc w:val="center"/>
      </w:pPr>
      <w:r>
        <w:t>NF-6 — Trusted Request Routing</w:t>
      </w:r>
    </w:p>
    <w:p>
      <w:pPr>
        <w:spacing w:after="40"/>
        <w:jc w:val="center"/>
      </w:pPr>
      <w:r>
        <w:rPr>
          <w:i/>
        </w:rPr>
        <w:t>From browsing trusted profiles to routing real needs through governed institutional paths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b/>
              </w:rPr>
              <w:t>SOURCE IMPLEMENTED</w:t>
            </w:r>
          </w:p>
        </w:tc>
        <w:tc>
          <w:tcPr>
            <w:tcW w:type="dxa" w:w="3389"/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b/>
              </w:rPr>
              <w:t>TEST BY DEFAULT</w:t>
            </w:r>
          </w:p>
        </w:tc>
        <w:tc>
          <w:tcPr>
            <w:tcW w:type="dxa" w:w="3389"/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b/>
              </w:rPr>
              <w:t>RUNTIME VALIDATION DEFERRED</w:t>
            </w:r>
          </w:p>
        </w:tc>
      </w:tr>
    </w:tbl>
    <w:p>
      <w:pPr>
        <w:pStyle w:val="Heading1"/>
        <w:spacing w:after="40"/>
      </w:pPr>
      <w:r>
        <w:t>1. Why this mission exists</w:t>
      </w:r>
    </w:p>
    <w:p>
      <w:pPr>
        <w:spacing w:after="40"/>
      </w:pPr>
      <w:r>
        <w:t>NF-4 made governed Networks discoverable and NF-5 added explicit person-owned purpose opt-ins. The remaining gap was user intent: people still had to browse/search manually. NF-6 introduces the durable request primitive so a need can generate explainable trust routes without broadcasting globally or exposing private contact data.</w:t>
      </w:r>
    </w:p>
    <w:p>
      <w:pPr>
        <w:pStyle w:val="Heading1"/>
        <w:spacing w:after="40"/>
      </w:pPr>
      <w:r>
        <w:t>2. Before → After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pPr>
              <w:spacing w:after="0"/>
            </w:pPr>
            <w:r>
              <w:rPr>
                <w:b/>
              </w:rPr>
              <w:t>Before NF-6</w:t>
            </w:r>
          </w:p>
        </w:tc>
        <w:tc>
          <w:tcPr>
            <w:tcW w:type="dxa" w:w="5083"/>
            <w:shd w:fill="D9EAF7"/>
          </w:tcPr>
          <w:p>
            <w:pPr>
              <w:spacing w:after="0"/>
            </w:pPr>
            <w:r>
              <w:rPr>
                <w:b/>
              </w:rPr>
              <w:t>After NF-6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>
              <w:t>Manual search of NF-5 profiles</w:t>
            </w:r>
          </w:p>
        </w:tc>
        <w:tc>
          <w:tcPr>
            <w:tcW w:type="dxa" w:w="5083"/>
          </w:tcPr>
          <w:p>
            <w:pPr>
              <w:spacing w:after="0"/>
            </w:pPr>
            <w:r>
              <w:t>Persisted purpose-scoped request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>
              <w:t>Transient search result</w:t>
            </w:r>
          </w:p>
        </w:tc>
        <w:tc>
          <w:tcPr>
            <w:tcW w:type="dxa" w:w="5083"/>
          </w:tcPr>
          <w:p>
            <w:pPr>
              <w:spacing w:after="0"/>
            </w:pPr>
            <w:r>
              <w:t>Persisted route evidence + reasons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>
              <w:t>No request state</w:t>
            </w:r>
          </w:p>
        </w:tc>
        <w:tc>
          <w:tcPr>
            <w:tcW w:type="dxa" w:w="5083"/>
          </w:tcPr>
          <w:p>
            <w:pPr>
              <w:spacing w:after="0"/>
            </w:pPr>
            <w:r>
              <w:t>Open / closed / cancelled lifecycle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>
              <w:t>No route decision memory</w:t>
            </w:r>
          </w:p>
        </w:tc>
        <w:tc>
          <w:tcPr>
            <w:tcW w:type="dxa" w:w="5083"/>
          </w:tcPr>
          <w:p>
            <w:pPr>
              <w:spacing w:after="0"/>
            </w:pPr>
            <w:r>
              <w:t>Suggested / shortlisted / dismissed route state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>
              <w:t>Directory-centric</w:t>
            </w:r>
          </w:p>
        </w:tc>
        <w:tc>
          <w:tcPr>
            <w:tcW w:type="dxa" w:w="5083"/>
          </w:tcPr>
          <w:p>
            <w:pPr>
              <w:spacing w:after="0"/>
            </w:pPr>
            <w:r>
              <w:t>Request → route foundation for later introduction/outcome</w:t>
            </w:r>
          </w:p>
        </w:tc>
      </w:tr>
    </w:tbl>
    <w:p>
      <w:pPr>
        <w:pStyle w:val="Heading1"/>
        <w:spacing w:after="40"/>
      </w:pPr>
      <w:r>
        <w:t>3. Governed routing model</w:t>
      </w:r>
    </w:p>
    <w:p>
      <w:pPr>
        <w:spacing w:after="40"/>
        <w:jc w:val="center"/>
      </w:pPr>
      <w:r>
        <w:rPr>
          <w:b/>
        </w:rPr>
        <w:t>Requester → Source Network → Approved Umbrella → Target Network → Active NF-5 Purpose Opt-In</w:t>
      </w:r>
    </w:p>
    <w:p>
      <w:pPr>
        <w:pStyle w:val="ListBullet"/>
        <w:spacing w:after="40"/>
      </w:pPr>
      <w:r>
        <w:t>A request is scoped to one source Network, one Umbrella and one exact purpose.</w:t>
      </w:r>
    </w:p>
    <w:p>
      <w:pPr>
        <w:pStyle w:val="ListBullet"/>
        <w:spacing w:after="40"/>
      </w:pPr>
      <w:r>
        <w:t>Target eligibility is rechecked against current affiliation, active umbrella, Passport visibility/purpose and NF-5 consent.</w:t>
      </w:r>
    </w:p>
    <w:p>
      <w:pPr>
        <w:pStyle w:val="ListBullet"/>
        <w:spacing w:after="40"/>
      </w:pPr>
      <w:r>
        <w:t>Routing uses selective outward data only: purpose tags, broad location, headline/summary and profile freshness.</w:t>
      </w:r>
    </w:p>
    <w:p>
      <w:pPr>
        <w:pStyle w:val="ListBullet"/>
        <w:spacing w:after="40"/>
      </w:pPr>
      <w:r>
        <w:t>The requester’s own NF-5 profile is excluded from candidate routes.</w:t>
      </w:r>
    </w:p>
    <w:p>
      <w:pPr>
        <w:pStyle w:val="Heading1"/>
        <w:spacing w:after="40"/>
      </w:pPr>
      <w:r>
        <w:t>4. What was implemented</w:t>
      </w:r>
    </w:p>
    <w:p>
      <w:pPr>
        <w:pStyle w:val="ListBullet"/>
        <w:spacing w:after="40"/>
      </w:pPr>
      <w:r>
        <w:t>New contract: core/federation/trusted-request-routing.ts</w:t>
      </w:r>
    </w:p>
    <w:p>
      <w:pPr>
        <w:pStyle w:val="ListBullet"/>
        <w:spacing w:after="40"/>
      </w:pPr>
      <w:r>
        <w:t>New Supabase adapter: capabilities/federation/trusted-request-routing-remote.ts</w:t>
      </w:r>
    </w:p>
    <w:p>
      <w:pPr>
        <w:pStyle w:val="ListBullet"/>
        <w:spacing w:after="40"/>
      </w:pPr>
      <w:r>
        <w:t>New lazy-loaded UI: components/TrustedRequestRouting.tsx</w:t>
      </w:r>
    </w:p>
    <w:p>
      <w:pPr>
        <w:pStyle w:val="ListBullet"/>
        <w:spacing w:after="40"/>
      </w:pPr>
      <w:r>
        <w:t>New migration 075_nf6_trusted_request_routing.sql</w:t>
      </w:r>
    </w:p>
    <w:p>
      <w:pPr>
        <w:pStyle w:val="ListBullet"/>
        <w:spacing w:after="40"/>
      </w:pPr>
      <w:r>
        <w:t>New source gate scripts/nf6-trusted-request-routing-gate.mjs</w:t>
      </w:r>
    </w:p>
    <w:p>
      <w:pPr>
        <w:pStyle w:val="ListBullet"/>
        <w:spacing w:after="40"/>
      </w:pPr>
      <w:r>
        <w:t>Launch Control key *.advanced.trusted_request_routing in the federation bundle, TEST by default.</w:t>
      </w:r>
    </w:p>
    <w:p>
      <w:pPr>
        <w:pStyle w:val="Heading1"/>
        <w:spacing w:after="40"/>
      </w:pPr>
      <w:r>
        <w:t>5. Privacy and consent boundary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F0E8"/>
          </w:tcPr>
          <w:p>
            <w:pPr>
              <w:spacing w:after="0"/>
            </w:pPr>
            <w:r>
              <w:rPr>
                <w:b/>
              </w:rPr>
              <w:t>NF-6 does</w:t>
            </w:r>
          </w:p>
        </w:tc>
        <w:tc>
          <w:tcPr>
            <w:tcW w:type="dxa" w:w="5083"/>
            <w:shd w:fill="E8F0E8"/>
          </w:tcPr>
          <w:p>
            <w:pPr>
              <w:spacing w:after="0"/>
            </w:pPr>
            <w:r>
              <w:rPr>
                <w:b/>
              </w:rPr>
              <w:t>NF-6 does NOT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>
              <w:t>Persist requester-owned needs</w:t>
            </w:r>
          </w:p>
        </w:tc>
        <w:tc>
          <w:tcPr>
            <w:tcW w:type="dxa" w:w="5083"/>
          </w:tcPr>
          <w:p>
            <w:pPr>
              <w:spacing w:after="0"/>
            </w:pPr>
            <w:r>
              <w:t>Notify the target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>
              <w:t>Rank current eligible opt-ins</w:t>
            </w:r>
          </w:p>
        </w:tc>
        <w:tc>
          <w:tcPr>
            <w:tcW w:type="dxa" w:w="5083"/>
          </w:tcPr>
          <w:p>
            <w:pPr>
              <w:spacing w:after="0"/>
            </w:pPr>
            <w:r>
              <w:t>Reveal email/phone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>
              <w:t>Explain relevance reasons</w:t>
            </w:r>
          </w:p>
        </w:tc>
        <w:tc>
          <w:tcPr>
            <w:tcW w:type="dxa" w:w="5083"/>
          </w:tcPr>
          <w:p>
            <w:pPr>
              <w:spacing w:after="0"/>
            </w:pPr>
            <w:r>
              <w:t>Copy private source profiles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>
              <w:t>Persist shortlist/dismiss decisions</w:t>
            </w:r>
          </w:p>
        </w:tc>
        <w:tc>
          <w:tcPr>
            <w:tcW w:type="dxa" w:w="5083"/>
          </w:tcPr>
          <w:p>
            <w:pPr>
              <w:spacing w:after="0"/>
            </w:pPr>
            <w:r>
              <w:t>Create an introduction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>
              <w:t>Show institutional Trust Receipt path</w:t>
            </w:r>
          </w:p>
        </w:tc>
        <w:tc>
          <w:tcPr>
            <w:tcW w:type="dxa" w:w="5083"/>
          </w:tcPr>
          <w:p>
            <w:pPr>
              <w:spacing w:after="0"/>
            </w:pPr>
            <w:r>
              <w:t>Claim endorsement/reputation</w:t>
            </w:r>
          </w:p>
        </w:tc>
      </w:tr>
    </w:tbl>
    <w:p>
      <w:pPr>
        <w:pStyle w:val="Heading1"/>
        <w:spacing w:after="40"/>
      </w:pPr>
      <w:r>
        <w:t>6. Route evidence, not reputation</w:t>
      </w:r>
    </w:p>
    <w:p>
      <w:pPr>
        <w:spacing w:after="40"/>
      </w:pPr>
      <w:r>
        <w:t>Each candidate route stores a deterministic relevance score and human-readable reasons such as purpose-tag overlap, broad location alignment, request wording match and recent purpose-profile freshness. The score is intentionally a routing hint inside one request context—not a universal public reputation score.</w:t>
      </w:r>
    </w:p>
    <w:p>
      <w:pPr>
        <w:pStyle w:val="Heading1"/>
        <w:spacing w:after="40"/>
      </w:pPr>
      <w:r>
        <w:t>7. Strategic moat progression</w:t>
      </w:r>
    </w:p>
    <w:p>
      <w:pPr>
        <w:spacing w:after="40"/>
        <w:jc w:val="center"/>
      </w:pPr>
      <w:r>
        <w:rPr>
          <w:b/>
        </w:rPr>
        <w:t>request → route evidence → NF-7 consented introduction → NF-8 outcome → NF-9 adaptive routing</w:t>
      </w:r>
    </w:p>
    <w:p>
      <w:pPr>
        <w:spacing w:after="40"/>
      </w:pPr>
      <w:r>
        <w:t>This creates proprietary evidence around real needs and real outcomes rather than merely accumulating profiles. It also gives TrustWeave a measurable product loop that can later improve routing while retaining purpose-specific consent and explainability.</w:t>
      </w:r>
    </w:p>
    <w:p>
      <w:pPr>
        <w:pStyle w:val="Heading1"/>
        <w:spacing w:after="40"/>
      </w:pPr>
      <w:r>
        <w:t>8. Controlled-reveal documentation architecture</w:t>
      </w:r>
    </w:p>
    <w:p>
      <w:pPr>
        <w:spacing w:after="40"/>
      </w:pPr>
      <w:r>
        <w:t>The roadmap now includes a separate DR track for a future trustweave-docs repository. Documentation is intentionally role-specific and progressively disclosed: User, Community Head, Agent/Operator, Partner, Developer, Architect and Founder. Sensitive founder strategy, partner economics, IP candidates, ranking mechanics and anti-abuse logic must be excluded from public builds rather than merely hidden from navigation.</w:t>
      </w:r>
    </w:p>
    <w:p>
      <w:pPr>
        <w:pStyle w:val="ListBullet"/>
        <w:spacing w:after="40"/>
      </w:pPr>
      <w:r>
        <w:t>First contact: problem, mission and product value.</w:t>
      </w:r>
    </w:p>
    <w:p>
      <w:pPr>
        <w:pStyle w:val="ListBullet"/>
        <w:spacing w:after="40"/>
      </w:pPr>
      <w:r>
        <w:t>Interested organizer: governance, launch effort and demo proof.</w:t>
      </w:r>
    </w:p>
    <w:p>
      <w:pPr>
        <w:pStyle w:val="ListBullet"/>
        <w:spacing w:after="40"/>
      </w:pPr>
      <w:r>
        <w:t>Partner/operator: rollout mechanics and relevant economics.</w:t>
      </w:r>
    </w:p>
    <w:p>
      <w:pPr>
        <w:pStyle w:val="ListBullet"/>
        <w:spacing w:after="40"/>
      </w:pPr>
      <w:r>
        <w:t>Technical evaluator: architecture and implementation evidence.</w:t>
      </w:r>
    </w:p>
    <w:p>
      <w:pPr>
        <w:pStyle w:val="ListBullet"/>
        <w:spacing w:after="40"/>
      </w:pPr>
      <w:r>
        <w:t>Founder-private: complete sequencing, moat, IP and commercial strategy.</w:t>
      </w:r>
    </w:p>
    <w:p>
      <w:pPr>
        <w:pStyle w:val="Heading1"/>
        <w:spacing w:after="40"/>
      </w:pPr>
      <w:r>
        <w:t>9. Validation status</w:t>
      </w:r>
    </w:p>
    <w:p>
      <w:pPr>
        <w:pStyle w:val="ListBullet"/>
        <w:spacing w:after="40"/>
      </w:pPr>
      <w:r>
        <w:t>NF-6 architecture/source gate: PASS.</w:t>
      </w:r>
    </w:p>
    <w:p>
      <w:pPr>
        <w:pStyle w:val="ListBullet"/>
        <w:spacing w:after="40"/>
      </w:pPr>
      <w:r>
        <w:t>i18n visible-literal audit: PASS (0 TSX candidates).</w:t>
      </w:r>
    </w:p>
    <w:p>
      <w:pPr>
        <w:pStyle w:val="ListBullet"/>
        <w:spacing w:after="40"/>
      </w:pPr>
      <w:r>
        <w:t>Isolated TypeScript syntax transpilation for NF-6 files: PASS.</w:t>
      </w:r>
    </w:p>
    <w:p>
      <w:pPr>
        <w:pStyle w:val="ListBullet"/>
        <w:spacing w:after="40"/>
      </w:pPr>
      <w:r>
        <w:t>Known private vertical/contact-table dependency check: PASS.</w:t>
      </w:r>
    </w:p>
    <w:p>
      <w:pPr>
        <w:pStyle w:val="ListBullet"/>
        <w:spacing w:after="40"/>
      </w:pPr>
      <w:r>
        <w:t>Integrated database/runtime/full typecheck: intentionally deferred to the sequential federation validation pass.</w:t>
      </w:r>
    </w:p>
    <w:p>
      <w:pPr>
        <w:pStyle w:val="Heading1"/>
        <w:spacing w:after="40"/>
      </w:pPr>
      <w:r>
        <w:t>10. Next mission</w:t>
      </w:r>
    </w:p>
    <w:p>
      <w:pPr>
        <w:spacing w:after="40"/>
      </w:pPr>
      <w:r>
        <w:t>NF-7 — Governed Introduction &amp; Consent. A shortlisted NF-6 route can become a recipient-controlled introduction request. Contact details remain hidden until the recipient accepts; the request/consent path becomes part of the Trust Receipt.</w:t>
      </w:r>
    </w:p>
    <w:sectPr w:rsidR="00FC693F" w:rsidRPr="0006063C" w:rsidSect="00034616">
      <w:pgSz w:w="12240" w:h="15840"/>
      <w:pgMar w:top="835" w:right="1037" w:bottom="835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