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NX-7 - My Networks Journey Workspace</w:t>
      </w:r>
    </w:p>
    <w:p>
      <w:r>
        <w:rPr>
          <w:b/>
        </w:rPr>
        <w:t>Iteration 1 | TrustWeave / Generic Network OS | Source implemented</w:t>
      </w:r>
    </w:p>
    <w:p>
      <w:r>
        <w:t>Purpose: replace the increasingly heavy My Networks scrolling page with a clear, progressive workspace that teaches advanced concepts before exposing their tools.</w:t>
      </w:r>
    </w:p>
    <w:p>
      <w:pPr>
        <w:pStyle w:val="Heading1"/>
      </w:pPr>
      <w:r>
        <w:t>1. Why the redesign was needed</w:t>
      </w:r>
    </w:p>
    <w:p>
      <w:r>
        <w:t>My Networks had become the landing place for M6, M7 and NF-0A through NF-8. Even with feature flags and dynamic imports, enabling many capabilities produced one long vertical stack. Users had no strong mental model for what belonged together, which steps depended on earlier steps, or which features were everyday versus administrator/pilot tools.</w:t>
      </w:r>
    </w:p>
    <w:p>
      <w:pPr>
        <w:pStyle w:val="Heading1"/>
      </w:pPr>
      <w:r>
        <w:t>2. New information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Journey</w:t>
            </w:r>
          </w:p>
        </w:tc>
        <w:tc>
          <w:tcPr>
            <w:tcW w:type="dxa" w:w="3456"/>
          </w:tcPr>
          <w:p>
            <w:r>
              <w:t>Intent</w:t>
            </w:r>
          </w:p>
        </w:tc>
        <w:tc>
          <w:tcPr>
            <w:tcW w:type="dxa" w:w="3456"/>
          </w:tcPr>
          <w:p>
            <w:r>
              <w:t>What belongs here</w:t>
            </w:r>
          </w:p>
        </w:tc>
      </w:tr>
      <w:tr>
        <w:tc>
          <w:tcPr>
            <w:tcW w:type="dxa" w:w="3456"/>
            <w:vAlign w:val="center"/>
          </w:tcPr>
          <w:p>
            <w:r>
              <w:t>My Spaces</w:t>
            </w:r>
          </w:p>
        </w:tc>
        <w:tc>
          <w:tcPr>
            <w:tcW w:type="dxa" w:w="3456"/>
            <w:vAlign w:val="center"/>
          </w:tcPr>
          <w:p>
            <w:r>
              <w:t>Everyday entry point</w:t>
            </w:r>
          </w:p>
        </w:tc>
        <w:tc>
          <w:tcPr>
            <w:tcW w:type="dxa" w:w="3456"/>
            <w:vAlign w:val="center"/>
          </w:tcPr>
          <w:p>
            <w:r>
              <w:t>Open networks, add/join, playground and privacy guidance.</w:t>
            </w:r>
          </w:p>
        </w:tc>
      </w:tr>
      <w:tr>
        <w:tc>
          <w:tcPr>
            <w:tcW w:type="dxa" w:w="3456"/>
            <w:vAlign w:val="center"/>
          </w:tcPr>
          <w:p>
            <w:r>
              <w:t>Trust &amp; Reach</w:t>
            </w:r>
          </w:p>
        </w:tc>
        <w:tc>
          <w:tcPr>
            <w:tcW w:type="dxa" w:w="3456"/>
            <w:vAlign w:val="center"/>
          </w:tcPr>
          <w:p>
            <w:r>
              <w:t>Cross-network understanding</w:t>
            </w:r>
          </w:p>
        </w:tc>
        <w:tc>
          <w:tcPr>
            <w:tcW w:type="dxa" w:w="3456"/>
            <w:vAlign w:val="center"/>
          </w:tcPr>
          <w:p>
            <w:r>
              <w:t>Aggregate reach, bridges, cross-network discovery and network-effect measurement.</w:t>
            </w:r>
          </w:p>
        </w:tc>
      </w:tr>
      <w:tr>
        <w:tc>
          <w:tcPr>
            <w:tcW w:type="dxa" w:w="3456"/>
            <w:vAlign w:val="center"/>
          </w:tcPr>
          <w:p>
            <w:r>
              <w:t>Federation</w:t>
            </w:r>
          </w:p>
        </w:tc>
        <w:tc>
          <w:tcPr>
            <w:tcW w:type="dxa" w:w="3456"/>
            <w:vAlign w:val="center"/>
          </w:tcPr>
          <w:p>
            <w:r>
              <w:t>Network-of-networks journey</w:t>
            </w:r>
          </w:p>
        </w:tc>
        <w:tc>
          <w:tcPr>
            <w:tcW w:type="dxa" w:w="3456"/>
            <w:vAlign w:val="center"/>
          </w:tcPr>
          <w:p>
            <w:r>
              <w:t>Passport -&gt; affiliation -&gt; umbrella runtime -&gt; federated directory, plus distribution planning.</w:t>
            </w:r>
          </w:p>
        </w:tc>
      </w:tr>
      <w:tr>
        <w:tc>
          <w:tcPr>
            <w:tcW w:type="dxa" w:w="3456"/>
            <w:vAlign w:val="center"/>
          </w:tcPr>
          <w:p>
            <w:r>
              <w:t>Requests &amp; Outcomes</w:t>
            </w:r>
          </w:p>
        </w:tc>
        <w:tc>
          <w:tcPr>
            <w:tcW w:type="dxa" w:w="3456"/>
            <w:vAlign w:val="center"/>
          </w:tcPr>
          <w:p>
            <w:r>
              <w:t>Need-to-outcome journey</w:t>
            </w:r>
          </w:p>
        </w:tc>
        <w:tc>
          <w:tcPr>
            <w:tcW w:type="dxa" w:w="3456"/>
            <w:vAlign w:val="center"/>
          </w:tcPr>
          <w:p>
            <w:r>
              <w:t>Purpose opt-in -&gt; request routing -&gt; governed introduction -&gt; outcome + Trust Receipt.</w:t>
            </w:r>
          </w:p>
        </w:tc>
      </w:tr>
      <w:tr>
        <w:tc>
          <w:tcPr>
            <w:tcW w:type="dxa" w:w="3456"/>
            <w:vAlign w:val="center"/>
          </w:tcPr>
          <w:p>
            <w:r>
              <w:t>Launch &amp; Learn</w:t>
            </w:r>
          </w:p>
        </w:tc>
        <w:tc>
          <w:tcPr>
            <w:tcW w:type="dxa" w:w="3456"/>
            <w:vAlign w:val="center"/>
          </w:tcPr>
          <w:p>
            <w:r>
              <w:t>Pilot/operator workspace</w:t>
            </w:r>
          </w:p>
        </w:tc>
        <w:tc>
          <w:tcPr>
            <w:tcW w:type="dxa" w:w="3456"/>
            <w:vAlign w:val="center"/>
          </w:tcPr>
          <w:p>
            <w:r>
              <w:t>Guided launch, showcase, pilot console, feedback, certification and evidence decision gates.</w:t>
            </w:r>
          </w:p>
        </w:tc>
      </w:tr>
    </w:tbl>
    <w:p>
      <w:pPr>
        <w:pStyle w:val="Heading1"/>
      </w:pPr>
      <w:r>
        <w:t>3. UX principles applied</w:t>
      </w:r>
    </w:p>
    <w:p>
      <w:pPr>
        <w:pStyle w:val="ListBullet"/>
      </w:pPr>
      <w:r>
        <w:t>Overview first: the default view focuses on networks the person already belongs to.</w:t>
      </w:r>
    </w:p>
    <w:p>
      <w:pPr>
        <w:pStyle w:val="ListBullet"/>
      </w:pPr>
      <w:r>
        <w:t>Progressive disclosure: only the selected journey renders its advanced capabilities.</w:t>
      </w:r>
    </w:p>
    <w:p>
      <w:pPr>
        <w:pStyle w:val="ListBullet"/>
      </w:pPr>
      <w:r>
        <w:t>Journey before tool: Federation and Requests &amp; Outcomes teach the sequence before showing detailed controls.</w:t>
      </w:r>
    </w:p>
    <w:p>
      <w:pPr>
        <w:pStyle w:val="ListBullet"/>
      </w:pPr>
      <w:r>
        <w:t>Role separation: pilot/admin operations no longer compete visually with ordinary network use.</w:t>
      </w:r>
    </w:p>
    <w:p>
      <w:pPr>
        <w:pStyle w:val="ListBullet"/>
      </w:pPr>
      <w:r>
        <w:t>Explicit vertical context: Network Type Context shows which vertical's Launch Control configuration is being reviewed.</w:t>
      </w:r>
    </w:p>
    <w:p>
      <w:pPr>
        <w:pStyle w:val="ListBullet"/>
      </w:pPr>
      <w:r>
        <w:t>Clear disabled state: an unavailable journey explains that capabilities are not enabled for the selected vertical instead of appearing blank.</w:t>
      </w:r>
    </w:p>
    <w:p>
      <w:pPr>
        <w:pStyle w:val="Heading1"/>
      </w:pPr>
      <w:r>
        <w:t>4. Performance and Launch Control</w:t>
      </w:r>
    </w:p>
    <w:p>
      <w:r>
        <w:t>All advanced modules remain independently Launch-Controlled and continue using Next.js dynamic imports. NX-7 adds no bypass and no new permission model. Because only one journey is mounted at a time, enabled advanced features in other journeys are not rendered simply because the user opened My Networks.</w:t>
      </w:r>
    </w:p>
    <w:p>
      <w:r>
        <w:t>NX-7 itself is an organizing shell rather than a separately releasable product capability; therefore the existing M6/M7/NF flags remain the authoritative rollout controls.</w:t>
      </w:r>
    </w:p>
    <w:p>
      <w:pPr>
        <w:pStyle w:val="Heading1"/>
      </w:pPr>
      <w:r>
        <w:t>5. Network Type Context</w:t>
      </w:r>
    </w:p>
    <w:p>
      <w:r>
        <w:t>Users who belong to more than one network vertical can switch the context used to evaluate advanced Launch Control availability. This is an explanation and workspace-selection mechanism only: it does not switch identity, merge data, alter memberships or grant access.</w:t>
      </w:r>
    </w:p>
    <w:p>
      <w:pPr>
        <w:pStyle w:val="Heading1"/>
      </w:pPr>
      <w:r>
        <w:t>6. Validation status</w:t>
      </w:r>
    </w:p>
    <w:p>
      <w:pPr>
        <w:pStyle w:val="ListBullet"/>
      </w:pPr>
      <w:r>
        <w:t>MyNetworksHome.tsx JSX/TypeScript syntax transpilation: PASS.</w:t>
      </w:r>
    </w:p>
    <w:p>
      <w:pPr>
        <w:pStyle w:val="ListBullet"/>
      </w:pPr>
      <w:r>
        <w:t>English message catalog syntax transpilation: PASS.</w:t>
      </w:r>
    </w:p>
    <w:p>
      <w:pPr>
        <w:pStyle w:val="ListBullet"/>
      </w:pPr>
      <w:r>
        <w:t>New translation-token presence check: PASS.</w:t>
      </w:r>
    </w:p>
    <w:p>
      <w:pPr>
        <w:pStyle w:val="ListBullet"/>
      </w:pPr>
      <w:r>
        <w:t>Full production build and browser UX review: pending in the normal project workspace.</w:t>
      </w:r>
    </w:p>
    <w:p>
      <w:pPr>
        <w:pStyle w:val="Heading1"/>
      </w:pPr>
      <w:r>
        <w:t>7. Iteration 2 contract</w:t>
      </w:r>
    </w:p>
    <w:p>
      <w:r>
        <w:t>Iteration 2 should be refinement, not another structural rewrite. Use real runtime feedback to tune labels, spacing, responsive behavior, sticky navigation and information density. Preserve the journey model and progressive disclosure unless user testing reveals a fundamental flaw.</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