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QA Phase 4D</w:t>
      </w:r>
    </w:p>
    <w:p>
      <w:pPr>
        <w:jc w:val="center"/>
      </w:pPr>
      <w:r>
        <w:rPr>
          <w:b/>
          <w:sz w:val="26"/>
        </w:rPr>
        <w:t>Vertical-Specific Workflow &amp; Business-Rule Certification</w:t>
      </w:r>
    </w:p>
    <w:p>
      <w:pPr>
        <w:jc w:val="center"/>
      </w:pPr>
      <w:r>
        <w:rPr>
          <w:i/>
        </w:rPr>
        <w:t>TrustWeave / Generic Network OS  •  10 Sep 2026</w:t>
      </w:r>
    </w:p>
    <w:p>
      <w:r>
        <w:rPr>
          <w:b/>
        </w:rPr>
        <w:t xml:space="preserve">Mission. </w:t>
      </w:r>
      <w:r>
        <w:t>Prove that all nine released verticals preserve their own domain model, workflow vocabulary, relationship rules and role-scoped surfaces—not merely the shared application shell.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sz w:val="17"/>
              </w:rPr>
              <w:t>Safety boundary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No SQL/migrations • No Storage mutation • No destructive lifecycle • No service role • No seed/cleanup • Existing deterministic fixture only</w:t>
            </w:r>
          </w:p>
        </w:tc>
      </w:tr>
    </w:tbl>
    <w:p>
      <w:pPr>
        <w:pStyle w:val="Heading1"/>
      </w:pPr>
      <w:r>
        <w:t>Certification model</w:t>
      </w:r>
    </w:p>
    <w:p>
      <w:pPr>
        <w:pStyle w:val="ListBullet"/>
      </w:pPr>
      <w:r>
        <w:t>Local business-rule contracts validate domain definitions and negative relationship rules directly from the production model.</w:t>
      </w:r>
    </w:p>
    <w:p>
      <w:pPr>
        <w:pStyle w:val="ListBullet"/>
      </w:pPr>
      <w:r>
        <w:t>Headed Chromium (one worker) validates that the distinct vertical controls and vocabularies actually appear in the released UI.</w:t>
      </w:r>
    </w:p>
    <w:p>
      <w:pPr>
        <w:pStyle w:val="ListBullet"/>
      </w:pPr>
      <w:r>
        <w:t>Browser execution is read-only for governed domain data; only active-network context is switched between already-seeded networks.</w:t>
      </w:r>
    </w:p>
    <w:p>
      <w:pPr>
        <w:pStyle w:val="ListBullet"/>
      </w:pPr>
      <w:r>
        <w:t>Phase-3 Storage/RLS blocker remains open and is neither evaluated nor waived by Phase 4D.</w:t>
      </w:r>
    </w:p>
    <w:p>
      <w:pPr>
        <w:pStyle w:val="Heading1"/>
      </w:pPr>
      <w:r>
        <w:t>Nine released vertical contracts</w:t>
      </w:r>
    </w:p>
    <w:p>
      <w:pPr>
        <w:pStyle w:val="ListBullet"/>
      </w:pPr>
      <w:r>
        <w:rPr>
          <w:b/>
        </w:rPr>
        <w:t xml:space="preserve">Family: </w:t>
      </w:r>
      <w:r>
        <w:t>Tree/kinship remains primary. Reject self-links, duplicates, generation inversion and parent/child cycles.</w:t>
      </w:r>
    </w:p>
    <w:p>
      <w:pPr>
        <w:pStyle w:val="ListBullet"/>
      </w:pPr>
      <w:r>
        <w:rPr>
          <w:b/>
        </w:rPr>
        <w:t xml:space="preserve">Housing Society: </w:t>
      </w:r>
      <w:r>
        <w:t>Flat/unit is the operating object. Ownership, tenancy, household membership and residency remain distinct; official property operations stay in the society admin surface.</w:t>
      </w:r>
    </w:p>
    <w:p>
      <w:pPr>
        <w:pStyle w:val="ListBullet"/>
      </w:pPr>
      <w:r>
        <w:rPr>
          <w:b/>
        </w:rPr>
        <w:t xml:space="preserve">Family Association: </w:t>
      </w:r>
      <w:r>
        <w:t>Family is the annual paid membership unit; representatives and members remain first-class people; annual membership/leadership/finance are governed operations.</w:t>
      </w:r>
    </w:p>
    <w:p>
      <w:pPr>
        <w:pStyle w:val="ListBullet"/>
      </w:pPr>
      <w:r>
        <w:rPr>
          <w:b/>
        </w:rPr>
        <w:t xml:space="preserve">Association: </w:t>
      </w:r>
      <w:r>
        <w:t>Household-centric membership stays separate from Family Association-specific controls; election-grade voting remains a separate governed extension.</w:t>
      </w:r>
    </w:p>
    <w:p>
      <w:pPr>
        <w:pStyle w:val="ListBullet"/>
      </w:pPr>
      <w:r>
        <w:rPr>
          <w:b/>
        </w:rPr>
        <w:t xml:space="preserve">Alumni: </w:t>
      </w:r>
      <w:r>
        <w:t>Institutional cohort semantics remain primary; directory retains batch/program filters and never inherits Family generation/tree semantics.</w:t>
      </w:r>
    </w:p>
    <w:p>
      <w:pPr>
        <w:pStyle w:val="ListBullet"/>
      </w:pPr>
      <w:r>
        <w:rPr>
          <w:b/>
        </w:rPr>
        <w:t xml:space="preserve">Organization: </w:t>
      </w:r>
      <w:r>
        <w:t>Relationship vocabulary is Reports to / Works with / Owns / Depends on.</w:t>
      </w:r>
    </w:p>
    <w:p>
      <w:pPr>
        <w:pStyle w:val="ListBullet"/>
      </w:pPr>
      <w:r>
        <w:rPr>
          <w:b/>
        </w:rPr>
        <w:t xml:space="preserve">Business Trust: </w:t>
      </w:r>
      <w:r>
        <w:t>Relationship vocabulary is Recommends / Verified by / Supplies to / Worked with, preserving provenance-oriented trust semantics.</w:t>
      </w:r>
    </w:p>
    <w:p>
      <w:pPr>
        <w:pStyle w:val="ListBullet"/>
      </w:pPr>
      <w:r>
        <w:rPr>
          <w:b/>
        </w:rPr>
        <w:t xml:space="preserve">Franchise: </w:t>
      </w:r>
      <w:r>
        <w:t>Relationship vocabulary is Owns / Operates / Manages / Supports; geography, location/branch and operator/owner dimensions remain distinct.</w:t>
      </w:r>
    </w:p>
    <w:p>
      <w:pPr>
        <w:pStyle w:val="ListBullet"/>
      </w:pPr>
      <w:r>
        <w:rPr>
          <w:b/>
        </w:rPr>
        <w:t xml:space="preserve">Professional: </w:t>
      </w:r>
      <w:r>
        <w:t>Relationship vocabulary is Worked with / Referred by / Collaborates with / Mentors; mentoring is person-to-person; regulated clinical/patient workflows stay out of scope.</w:t>
      </w:r>
    </w:p>
    <w:p>
      <w:pPr>
        <w:pStyle w:val="Heading1"/>
      </w:pPr>
      <w:r>
        <w:t>Executable evidence</w:t>
      </w:r>
    </w:p>
    <w:p>
      <w:pPr>
        <w:pStyle w:val="ListBullet"/>
      </w:pPr>
      <w:r>
        <w:t>P4D-FAMILY-001 — Family tree/kinship and graph-integrity rules.</w:t>
      </w:r>
    </w:p>
    <w:p>
      <w:pPr>
        <w:pStyle w:val="ListBullet"/>
      </w:pPr>
      <w:r>
        <w:t>P4D-HS-001 — unit/resident directory controls plus society-only admin operating panel.</w:t>
      </w:r>
    </w:p>
    <w:p>
      <w:pPr>
        <w:pStyle w:val="ListBullet"/>
      </w:pPr>
      <w:r>
        <w:t>P4D-FCA-001 — Family/Representative/Member modes plus dedicated annual administration.</w:t>
      </w:r>
    </w:p>
    <w:p>
      <w:pPr>
        <w:pStyle w:val="ListBullet"/>
      </w:pPr>
      <w:r>
        <w:t>P4D-ASSOCIATION-001 — household-centric separation from Family Association.</w:t>
      </w:r>
    </w:p>
    <w:p>
      <w:pPr>
        <w:pStyle w:val="ListBullet"/>
      </w:pPr>
      <w:r>
        <w:t>P4D-ALUMNI-001 — batch/program directory semantics.</w:t>
      </w:r>
    </w:p>
    <w:p>
      <w:pPr>
        <w:pStyle w:val="ListBullet"/>
      </w:pPr>
      <w:r>
        <w:t>P4D-ORG/BUSINESS/FRANCHISE/PROFESSIONAL-REL — four distinct relationship vocabularies rendered from production definitions.</w:t>
      </w:r>
    </w:p>
    <w:p>
      <w:pPr>
        <w:pStyle w:val="ListBullet"/>
      </w:pPr>
      <w:r>
        <w:t>P4D-VERTICAL-ROLE-001 — members cannot receive Housing Society or Family Association admin operating panels.</w:t>
      </w:r>
    </w:p>
    <w:p>
      <w:pPr>
        <w:pStyle w:val="Heading1"/>
      </w:pPr>
      <w:r>
        <w:t>Execution</w:t>
      </w:r>
    </w:p>
    <w:p>
      <w:r>
        <w:rPr>
          <w:rFonts w:ascii="Consolas" w:hAnsi="Consolas"/>
          <w:sz w:val="18"/>
        </w:rPr>
        <w:t>npm run qa:phase4d:local</w:t>
      </w:r>
    </w:p>
    <w:p>
      <w:r>
        <w:rPr>
          <w:rFonts w:ascii="Consolas" w:hAnsi="Consolas"/>
          <w:sz w:val="18"/>
        </w:rPr>
        <w:t>npm run qa:phase4d:browser</w:t>
      </w:r>
    </w:p>
    <w:p>
      <w:r>
        <w:rPr>
          <w:rFonts w:ascii="Consolas" w:hAnsi="Consolas"/>
          <w:sz w:val="18"/>
        </w:rPr>
        <w:t>npm run qa:certify:phase4d</w:t>
      </w:r>
    </w:p>
    <w:p>
      <w:r>
        <w:rPr>
          <w:b/>
        </w:rPr>
        <w:t xml:space="preserve">Expected closure: </w:t>
      </w:r>
      <w:r>
        <w:t>PHASE4D_CERTIFIED</w:t>
      </w:r>
    </w:p>
    <w:p>
      <w:pPr>
        <w:pStyle w:val="Heading1"/>
      </w:pPr>
      <w:r>
        <w:t>Deferred beyond Phase 4D</w:t>
      </w:r>
    </w:p>
    <w:p>
      <w:pPr>
        <w:pStyle w:val="ListBullet"/>
      </w:pPr>
      <w:r>
        <w:t>Phase-3 Storage/RLS blocker and staging-drift reconciliation.</w:t>
      </w:r>
    </w:p>
    <w:p>
      <w:pPr>
        <w:pStyle w:val="ListBullet"/>
      </w:pPr>
      <w:r>
        <w:t>Strict RPC privilege remediation.</w:t>
      </w:r>
    </w:p>
    <w:p>
      <w:pPr>
        <w:pStyle w:val="ListBullet"/>
      </w:pPr>
      <w:r>
        <w:t>Clean migration replay / production upgrade-path certification.</w:t>
      </w:r>
    </w:p>
    <w:p>
      <w:pPr>
        <w:pStyle w:val="ListBullet"/>
      </w:pPr>
      <w:r>
        <w:t>Disposable-environment destructive lifecycle certification.</w:t>
      </w:r>
    </w:p>
    <w:p>
      <w:pPr>
        <w:pStyle w:val="ListBullet"/>
      </w:pPr>
      <w:r>
        <w:t>Load, stress and broad cross-browser matrices.</w:t>
      </w:r>
    </w:p>
    <w:p>
      <w:pPr>
        <w:pStyle w:val="ListBullet"/>
      </w:pPr>
      <w:r>
        <w:t>Unreleased election-grade voting, payment/accounting and regulated clinical workflows.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