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 w:line="240" w:lineRule="auto"/>
        <w:jc w:val="center"/>
      </w:pPr>
      <w:r>
        <w:t>QA Phase 5C</w:t>
      </w:r>
    </w:p>
    <w:p>
      <w:pPr>
        <w:spacing w:after="40" w:before="0" w:line="240" w:lineRule="auto"/>
        <w:jc w:val="center"/>
      </w:pPr>
      <w:r>
        <w:rPr>
          <w:i/>
          <w:sz w:val="22"/>
        </w:rPr>
        <w:t>Production Release Certification</w:t>
      </w:r>
    </w:p>
    <w:p>
      <w:pPr>
        <w:spacing w:after="40" w:before="0" w:line="240" w:lineRule="auto"/>
      </w:pPr>
    </w:p>
    <w:p>
      <w:pPr>
        <w:pStyle w:val="Heading1"/>
        <w:spacing w:after="40" w:before="120" w:line="240" w:lineRule="auto"/>
      </w:pPr>
      <w:r>
        <w:t>Mission</w:t>
      </w:r>
    </w:p>
    <w:p>
      <w:pPr>
        <w:spacing w:after="40" w:before="0" w:line="240" w:lineRule="auto"/>
      </w:pPr>
      <w:r>
        <w:t>Compose the certified application, data, governance, vertical, security and migration evidence into the final release gate, with one focused runtime/destructive pass on the Phase-5B disposable release-candidate project.</w:t>
      </w:r>
    </w:p>
    <w:p>
      <w:pPr>
        <w:pStyle w:val="Heading1"/>
        <w:spacing w:after="40" w:before="120" w:line="240" w:lineRule="auto"/>
      </w:pPr>
      <w:r>
        <w:t>Prerequisites</w:t>
      </w:r>
    </w:p>
    <w:p>
      <w:pPr>
        <w:pStyle w:val="ListBullet"/>
        <w:spacing w:after="40" w:before="0" w:line="240" w:lineRule="auto"/>
      </w:pPr>
      <w:r>
        <w:t>Phase 4A Runtime Robustness — certified.</w:t>
      </w:r>
    </w:p>
    <w:p>
      <w:pPr>
        <w:pStyle w:val="ListBullet"/>
        <w:spacing w:after="40" w:before="0" w:line="240" w:lineRule="auto"/>
      </w:pPr>
      <w:r>
        <w:t>Phase 4B Data Integrity / Import / Export / Recovery — certified.</w:t>
      </w:r>
    </w:p>
    <w:p>
      <w:pPr>
        <w:pStyle w:val="ListBullet"/>
        <w:spacing w:after="40" w:before="0" w:line="240" w:lineRule="auto"/>
      </w:pPr>
      <w:r>
        <w:t>Phase 4C Governance / Permissions / Destructive Safety — certified.</w:t>
      </w:r>
    </w:p>
    <w:p>
      <w:pPr>
        <w:pStyle w:val="ListBullet"/>
        <w:spacing w:after="40" w:before="0" w:line="240" w:lineRule="auto"/>
      </w:pPr>
      <w:r>
        <w:t>Phase 4D Vertical Business Rules — certified.</w:t>
      </w:r>
    </w:p>
    <w:p>
      <w:pPr>
        <w:pStyle w:val="ListBullet"/>
        <w:spacing w:after="40" w:before="0" w:line="240" w:lineRule="auto"/>
      </w:pPr>
      <w:r>
        <w:t>Phase 5A Strict Security / RPC Closure — certified.</w:t>
      </w:r>
    </w:p>
    <w:p>
      <w:pPr>
        <w:pStyle w:val="ListBullet"/>
        <w:spacing w:after="40" w:before="0" w:line="240" w:lineRule="auto"/>
      </w:pPr>
      <w:r>
        <w:t>Phase 5B Fresh Migration / Upgrade — certified.</w:t>
      </w:r>
    </w:p>
    <w:p>
      <w:pPr>
        <w:pStyle w:val="Heading1"/>
        <w:spacing w:after="40" w:before="120" w:line="240" w:lineRule="auto"/>
      </w:pPr>
      <w:r>
        <w:t>Release-candidate safety</w:t>
      </w:r>
    </w:p>
    <w:p>
      <w:pPr>
        <w:pStyle w:val="ListBullet"/>
        <w:spacing w:after="40" w:before="0" w:line="240" w:lineRule="auto"/>
      </w:pPr>
      <w:r>
        <w:t>Use a dedicated .env.qa.release file.</w:t>
      </w:r>
    </w:p>
    <w:p>
      <w:pPr>
        <w:pStyle w:val="ListBullet"/>
        <w:spacing w:after="40" w:before="0" w:line="240" w:lineRule="auto"/>
      </w:pPr>
      <w:r>
        <w:t>The release project must match Phase-5B replay evidence and differ from the protected staging project.</w:t>
      </w:r>
    </w:p>
    <w:p>
      <w:pPr>
        <w:pStyle w:val="ListBullet"/>
        <w:spacing w:after="40" w:before="0" w:line="240" w:lineRule="auto"/>
      </w:pPr>
      <w:r>
        <w:t>QA_RELEASE_CONFIRM_DISPOSABLE=YES_DELETE_ME is required for runtime mutation.</w:t>
      </w:r>
    </w:p>
    <w:p>
      <w:pPr>
        <w:pStyle w:val="ListBullet"/>
        <w:spacing w:after="40" w:before="0" w:line="240" w:lineRule="auto"/>
      </w:pPr>
      <w:r>
        <w:t>Production-like application or Supabase hosts are rejected.</w:t>
      </w:r>
    </w:p>
    <w:p>
      <w:pPr>
        <w:pStyle w:val="ListBullet"/>
        <w:spacing w:after="40" w:before="0" w:line="240" w:lineRule="auto"/>
      </w:pPr>
      <w:r>
        <w:t>Final certification is evidence-only and does not repeat seed, migration replay or destructive lifecycle.</w:t>
      </w:r>
    </w:p>
    <w:p>
      <w:pPr>
        <w:pStyle w:val="Heading1"/>
        <w:spacing w:after="40" w:before="120" w:line="240" w:lineRule="auto"/>
      </w:pPr>
      <w:r>
        <w:t>Runtime proofs</w:t>
      </w:r>
    </w:p>
    <w:p>
      <w:pPr>
        <w:pStyle w:val="ListBullet"/>
        <w:spacing w:after="40" w:before="0" w:line="240" w:lineRule="auto"/>
      </w:pPr>
      <w:r>
        <w:t>Health/readiness and anonymous protected-route denial.</w:t>
      </w:r>
    </w:p>
    <w:p>
      <w:pPr>
        <w:pStyle w:val="ListBullet"/>
        <w:spacing w:after="40" w:before="0" w:line="240" w:lineRule="auto"/>
      </w:pPr>
      <w:r>
        <w:t>Owner/admin/member browser boundaries and cross-tenant isolation.</w:t>
      </w:r>
    </w:p>
    <w:p>
      <w:pPr>
        <w:pStyle w:val="ListBullet"/>
        <w:spacing w:after="40" w:before="0" w:line="240" w:lineRule="auto"/>
      </w:pPr>
      <w:r>
        <w:t>Invitation expiry, revoke, resend-token rotation and replay denial.</w:t>
      </w:r>
    </w:p>
    <w:p>
      <w:pPr>
        <w:pStyle w:val="ListBullet"/>
        <w:spacing w:after="40" w:before="0" w:line="240" w:lineRule="auto"/>
      </w:pPr>
      <w:r>
        <w:t>Private media signed-URL authorization across target member, foreign tenant and anonymous actors.</w:t>
      </w:r>
    </w:p>
    <w:p>
      <w:pPr>
        <w:pStyle w:val="ListBullet"/>
        <w:spacing w:after="40" w:before="0" w:line="240" w:lineRule="auto"/>
      </w:pPr>
      <w:r>
        <w:t>Strict RPC security recheck and adversarial RLS matrix.</w:t>
      </w:r>
    </w:p>
    <w:p>
      <w:pPr>
        <w:pStyle w:val="ListBullet"/>
        <w:spacing w:after="40" w:before="0" w:line="240" w:lineRule="auto"/>
      </w:pPr>
      <w:r>
        <w:t>Logical export/backup with manifest-only media semantics.</w:t>
      </w:r>
    </w:p>
    <w:p>
      <w:pPr>
        <w:pStyle w:val="ListBullet"/>
        <w:spacing w:after="40" w:before="0" w:line="240" w:lineRule="auto"/>
      </w:pPr>
      <w:r>
        <w:t>Create → import → media → archive → restore → purge → zero residue.</w:t>
      </w:r>
    </w:p>
    <w:p>
      <w:pPr>
        <w:pStyle w:val="ListBullet"/>
        <w:spacing w:after="40" w:before="0" w:line="240" w:lineRule="auto"/>
      </w:pPr>
      <w:r>
        <w:t>Deterministic fixture cleanup.</w:t>
      </w:r>
    </w:p>
    <w:p>
      <w:pPr>
        <w:pStyle w:val="Heading1"/>
        <w:spacing w:after="40" w:before="120" w:line="240" w:lineRule="auto"/>
      </w:pPr>
      <w:r>
        <w:t>Verification order</w:t>
      </w:r>
    </w:p>
    <w:p>
      <w:pPr>
        <w:spacing w:after="40" w:before="0" w:line="240" w:lineRule="auto"/>
      </w:pPr>
      <w:r>
        <w:rPr>
          <w:rFonts w:ascii="Consolas" w:hAnsi="Consolas"/>
          <w:sz w:val="18"/>
        </w:rPr>
        <w:t>npm run qa:phase5c:local</w:t>
      </w:r>
    </w:p>
    <w:p>
      <w:pPr>
        <w:pStyle w:val="ListBullet"/>
        <w:spacing w:after="40" w:before="0" w:line="240" w:lineRule="auto"/>
      </w:pPr>
      <w:r>
        <w:t>Configure .env.qa.release to the same disposable project used by Phase 5B.</w:t>
      </w:r>
    </w:p>
    <w:p>
      <w:pPr>
        <w:spacing w:after="40" w:before="0" w:line="240" w:lineRule="auto"/>
      </w:pPr>
      <w:r>
        <w:rPr>
          <w:rFonts w:ascii="Consolas" w:hAnsi="Consolas"/>
          <w:sz w:val="18"/>
        </w:rPr>
        <w:t>npm run qa:phase5c:runtime</w:t>
      </w:r>
    </w:p>
    <w:p>
      <w:pPr>
        <w:spacing w:after="40" w:before="0" w:line="240" w:lineRule="auto"/>
      </w:pPr>
      <w:r>
        <w:rPr>
          <w:rFonts w:ascii="Consolas" w:hAnsi="Consolas"/>
          <w:sz w:val="18"/>
        </w:rPr>
        <w:t>npm run qa:certify:phase5c</w:t>
      </w:r>
    </w:p>
    <w:p>
      <w:pPr>
        <w:pStyle w:val="Heading1"/>
        <w:spacing w:after="40" w:before="120" w:line="240" w:lineRule="auto"/>
      </w:pPr>
      <w:r>
        <w:t>Expected closure</w:t>
      </w:r>
    </w:p>
    <w:p>
      <w:pPr>
        <w:spacing w:after="40" w:before="0" w:line="240" w:lineRule="auto"/>
      </w:pPr>
      <w:r>
        <w:t>TrustWeave Production Certification: PRODUCTION_CERTIFIED</w:t>
      </w:r>
    </w:p>
    <w:sectPr w:rsidR="00FC693F" w:rsidRPr="0006063C" w:rsidSect="00034616">
      <w:footerReference w:type="default" r:id="rId9"/>
      <w:pgSz w:w="12240" w:h="15840"/>
      <w:pgMar w:top="720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QA • Release Certification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