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M7-E — Showcase Runtime Hardening &amp; Demo Certification</w:t>
      </w:r>
    </w:p>
    <w:p>
      <w:pPr>
        <w:jc w:val="left"/>
      </w:pPr>
      <w:r>
        <w:t>Closure mission for the M6/M7 trusted-network track</w:t>
      </w:r>
    </w:p>
    <w:p>
      <w:r>
        <w:t>Mission intent: make the WOW showcase dependable in a real runtime, explain why discovery returns zero results without leaking private network data, and provide a clear preflight signal before a live demo or pilot.</w:t>
      </w:r>
    </w:p>
    <w:p>
      <w:pPr>
        <w:pStyle w:val="Heading1"/>
      </w:pPr>
      <w:r>
        <w:t>Why this mission exists</w:t>
      </w:r>
    </w:p>
    <w:p>
      <w:r>
        <w:t>M6 and M7 already proved the architecture and product story: one identity across separately governed networks, explicit bridges, privacy-safe discovery, trusted introductions, activation measurement, a WOW showcase, launch guidance, pilot operations, and product-learning feedback. Runtime testing exposed the remaining risk: sophisticated capabilities can appear “broken” when the real issue is setup, claim eligibility, or bridge permissions.</w:t>
      </w:r>
    </w:p>
    <w:p>
      <w:pPr>
        <w:pStyle w:val="Heading1"/>
      </w:pPr>
      <w:r>
        <w:t>M7-E outcome</w:t>
      </w:r>
    </w:p>
    <w:p>
      <w:pPr>
        <w:pStyle w:val="ListBullet"/>
      </w:pPr>
      <w:r>
        <w:t>A live Showcase Runtime Health card in My Networks.</w:t>
      </w:r>
    </w:p>
    <w:p>
      <w:pPr>
        <w:pStyle w:val="ListBullet"/>
      </w:pPr>
      <w:r>
        <w:t>Privacy-safe diagnosis for zero-result discovery.</w:t>
      </w:r>
    </w:p>
    <w:p>
      <w:pPr>
        <w:pStyle w:val="ListBullet"/>
      </w:pPr>
      <w:r>
        <w:t>A deterministic runtime certification checklist for one-hop and two-hop demos.</w:t>
      </w:r>
    </w:p>
    <w:p>
      <w:pPr>
        <w:pStyle w:val="ListBullet"/>
      </w:pPr>
      <w:r>
        <w:t>No new graph depth, directory access, identity leakage, or analytics platform.</w:t>
      </w:r>
    </w:p>
    <w:p>
      <w:pPr>
        <w:pStyle w:val="Heading1"/>
      </w:pPr>
      <w:r>
        <w:t>Track closure principle</w:t>
      </w:r>
    </w:p>
    <w:p>
      <w:r>
        <w:t>After M7-E, additional M6/M7 graph or showcase work should be driven by real pilot evidence—not by architecture imagination.</w:t>
      </w:r>
    </w:p>
    <w:p>
      <w:r>
        <w:br w:type="page"/>
      </w:r>
    </w:p>
    <w:p>
      <w:pPr>
        <w:pStyle w:val="Title"/>
      </w:pPr>
      <w:r>
        <w:t>Runtime Certification Model</w:t>
      </w:r>
    </w:p>
    <w:p>
      <w:pPr>
        <w:pStyle w:val="Heading1"/>
      </w:pPr>
      <w:r>
        <w:t>What the preflight checks</w:t>
      </w:r>
    </w:p>
    <w:tbl>
      <w:tblPr>
        <w:tblStyle w:val="LightShading-Accent1"/>
        <w:tblW w:type="auto" w:w="0"/>
        <w:tblLook w:firstColumn="1" w:firstRow="1" w:lastColumn="0" w:lastRow="0" w:noHBand="0" w:noVBand="1" w:val="04A0"/>
      </w:tblPr>
      <w:tblGrid>
        <w:gridCol w:w="5112"/>
        <w:gridCol w:w="5112"/>
      </w:tblGrid>
      <w:tr>
        <w:tc>
          <w:tcPr>
            <w:tcW w:type="dxa" w:w="5112"/>
          </w:tcPr>
          <w:p>
            <w:r>
              <w:t>Signal</w:t>
            </w:r>
          </w:p>
        </w:tc>
        <w:tc>
          <w:tcPr>
            <w:tcW w:type="dxa" w:w="5112"/>
          </w:tcPr>
          <w:p>
            <w:r>
              <w:t>Meaning</w:t>
            </w:r>
          </w:p>
        </w:tc>
      </w:tr>
      <w:tr>
        <w:tc>
          <w:tcPr>
            <w:tcW w:type="dxa" w:w="5112"/>
          </w:tcPr>
          <w:p>
            <w:r>
              <w:t>Active networks</w:t>
            </w:r>
          </w:p>
        </w:tc>
        <w:tc>
          <w:tcPr>
            <w:tcW w:type="dxa" w:w="5112"/>
          </w:tcPr>
          <w:p>
            <w:r>
              <w:t>The signed-in person has real network contexts to operate from.</w:t>
            </w:r>
          </w:p>
        </w:tc>
      </w:tr>
      <w:tr>
        <w:tc>
          <w:tcPr>
            <w:tcW w:type="dxa" w:w="5112"/>
          </w:tcPr>
          <w:p>
            <w:r>
              <w:t>Claimed contexts</w:t>
            </w:r>
          </w:p>
        </w:tc>
        <w:tc>
          <w:tcPr>
            <w:tcW w:type="dxa" w:w="5112"/>
          </w:tcPr>
          <w:p>
            <w:r>
              <w:t>At least one membership is linked to a real person identity.</w:t>
            </w:r>
          </w:p>
        </w:tc>
      </w:tr>
      <w:tr>
        <w:tc>
          <w:tcPr>
            <w:tcW w:type="dxa" w:w="5112"/>
          </w:tcPr>
          <w:p>
            <w:r>
              <w:t>Accepted bridges</w:t>
            </w:r>
          </w:p>
        </w:tc>
        <w:tc>
          <w:tcPr>
            <w:tcW w:type="dxa" w:w="5112"/>
          </w:tcPr>
          <w:p>
            <w:r>
              <w:t>Network-to-network trust has been approved.</w:t>
            </w:r>
          </w:p>
        </w:tc>
      </w:tr>
      <w:tr>
        <w:tc>
          <w:tcPr>
            <w:tcW w:type="dxa" w:w="5112"/>
          </w:tcPr>
          <w:p>
            <w:r>
              <w:t>Discovery-ready bridges</w:t>
            </w:r>
          </w:p>
        </w:tc>
        <w:tc>
          <w:tcPr>
            <w:tcW w:type="dxa" w:w="5112"/>
          </w:tcPr>
          <w:p>
            <w:r>
              <w:t>Bridge consent allows privacy-safe discovery.</w:t>
            </w:r>
          </w:p>
        </w:tc>
      </w:tr>
      <w:tr>
        <w:tc>
          <w:tcPr>
            <w:tcW w:type="dxa" w:w="5112"/>
          </w:tcPr>
          <w:p>
            <w:r>
              <w:t>Introduction-ready bridges</w:t>
            </w:r>
          </w:p>
        </w:tc>
        <w:tc>
          <w:tcPr>
            <w:tcW w:type="dxa" w:w="5112"/>
          </w:tcPr>
          <w:p>
            <w:r>
              <w:t>Bridge consent allows trusted introduction requests.</w:t>
            </w:r>
          </w:p>
        </w:tc>
      </w:tr>
      <w:tr>
        <w:tc>
          <w:tcPr>
            <w:tcW w:type="dxa" w:w="5112"/>
          </w:tcPr>
          <w:p>
            <w:r>
              <w:t>Path-traversal bridges</w:t>
            </w:r>
          </w:p>
        </w:tc>
        <w:tc>
          <w:tcPr>
            <w:tcW w:type="dxa" w:w="5112"/>
          </w:tcPr>
          <w:p>
            <w:r>
              <w:t>Explicit permission exists for governed depth-2 paths.</w:t>
            </w:r>
          </w:p>
        </w:tc>
      </w:tr>
      <w:tr>
        <w:tc>
          <w:tcPr>
            <w:tcW w:type="dxa" w:w="5112"/>
          </w:tcPr>
          <w:p>
            <w:r>
              <w:t>Accepted outcomes</w:t>
            </w:r>
          </w:p>
        </w:tc>
        <w:tc>
          <w:tcPr>
            <w:tcW w:type="dxa" w:w="5112"/>
          </w:tcPr>
          <w:p>
            <w:r>
              <w:t>At least one introduction has already produced consented value.</w:t>
            </w:r>
          </w:p>
        </w:tc>
      </w:tr>
    </w:tbl>
    <w:p>
      <w:pPr>
        <w:pStyle w:val="Heading1"/>
      </w:pPr>
      <w:r>
        <w:t>Ready rule</w:t>
      </w:r>
    </w:p>
    <w:p>
      <w:r>
        <w:t>A live trusted-network demo is READY when the account has at least two active networks, at least one claimed identity context, and at least one accepted bridge that permits discovery and introductions. Two-hop scenarios additionally require pathTraversal on every edge.</w:t>
      </w:r>
    </w:p>
    <w:p>
      <w:pPr>
        <w:pStyle w:val="Heading1"/>
      </w:pPr>
      <w:r>
        <w:t>What certification does not do</w:t>
      </w:r>
    </w:p>
    <w:p>
      <w:pPr>
        <w:pStyle w:val="ListBullet"/>
      </w:pPr>
      <w:r>
        <w:t>It does not inspect or export adjacent-network member lists.</w:t>
      </w:r>
    </w:p>
    <w:p>
      <w:pPr>
        <w:pStyle w:val="ListBullet"/>
      </w:pPr>
      <w:r>
        <w:t>It does not reveal candidate names.</w:t>
      </w:r>
    </w:p>
    <w:p>
      <w:pPr>
        <w:pStyle w:val="ListBullet"/>
      </w:pPr>
      <w:r>
        <w:t>It does not certify that every possible search term will find a match.</w:t>
      </w:r>
    </w:p>
    <w:p>
      <w:pPr>
        <w:pStyle w:val="ListBullet"/>
      </w:pPr>
      <w:r>
        <w:t>It does not change M6 consent or RLS rules.</w:t>
      </w:r>
    </w:p>
    <w:p>
      <w:r>
        <w:br w:type="page"/>
      </w:r>
    </w:p>
    <w:p>
      <w:pPr>
        <w:pStyle w:val="Title"/>
      </w:pPr>
      <w:r>
        <w:t>Zero-Result Discovery Hardening</w:t>
      </w:r>
    </w:p>
    <w:p>
      <w:pPr>
        <w:pStyle w:val="Heading1"/>
      </w:pPr>
      <w:r>
        <w:t>The previous UX problem</w:t>
      </w:r>
    </w:p>
    <w:p>
      <w:r>
        <w:t>A successful POST /api/v1/trust-bridges/discover with zero candidates could mean several very different things. The UI previously collapsed them into a blank result, making correct privacy behavior look like a defect.</w:t>
      </w:r>
    </w:p>
    <w:p>
      <w:pPr>
        <w:pStyle w:val="Heading1"/>
      </w:pPr>
      <w:r>
        <w:t>M7-E diagnostic states</w:t>
      </w:r>
    </w:p>
    <w:tbl>
      <w:tblPr>
        <w:tblStyle w:val="LightShading-Accent1"/>
        <w:tblW w:type="auto" w:w="0"/>
        <w:tblLook w:firstColumn="1" w:firstRow="1" w:lastColumn="0" w:lastRow="0" w:noHBand="0" w:noVBand="1" w:val="04A0"/>
      </w:tblPr>
      <w:tblGrid>
        <w:gridCol w:w="5112"/>
        <w:gridCol w:w="5112"/>
      </w:tblGrid>
      <w:tr>
        <w:tc>
          <w:tcPr>
            <w:tcW w:type="dxa" w:w="5112"/>
          </w:tcPr>
          <w:p>
            <w:r>
              <w:t>Diagnostic</w:t>
            </w:r>
          </w:p>
        </w:tc>
        <w:tc>
          <w:tcPr>
            <w:tcW w:type="dxa" w:w="5112"/>
          </w:tcPr>
          <w:p>
            <w:r>
              <w:t>User-facing interpretation</w:t>
            </w:r>
          </w:p>
        </w:tc>
      </w:tr>
      <w:tr>
        <w:tc>
          <w:tcPr>
            <w:tcW w:type="dxa" w:w="5112"/>
          </w:tcPr>
          <w:p>
            <w:r>
              <w:t>No bridge</w:t>
            </w:r>
          </w:p>
        </w:tc>
        <w:tc>
          <w:tcPr>
            <w:tcW w:type="dxa" w:w="5112"/>
          </w:tcPr>
          <w:p>
            <w:r>
              <w:t>No discovery-enabled trusted bridge is available from the selected source network.</w:t>
            </w:r>
          </w:p>
        </w:tc>
      </w:tr>
      <w:tr>
        <w:tc>
          <w:tcPr>
            <w:tcW w:type="dxa" w:w="5112"/>
          </w:tcPr>
          <w:p>
            <w:r>
              <w:t>Matching but unclaimed</w:t>
            </w:r>
          </w:p>
        </w:tc>
        <w:tc>
          <w:tcPr>
            <w:tcW w:type="dxa" w:w="5112"/>
          </w:tcPr>
          <w:p>
            <w:r>
              <w:t>A matching profile exists in a trusted network, but it is not yet a claimed/active identity eligible for cross-network discovery.</w:t>
            </w:r>
          </w:p>
        </w:tc>
      </w:tr>
      <w:tr>
        <w:tc>
          <w:tcPr>
            <w:tcW w:type="dxa" w:w="5112"/>
          </w:tcPr>
          <w:p>
            <w:r>
              <w:t>No claimed people</w:t>
            </w:r>
          </w:p>
        </w:tc>
        <w:tc>
          <w:tcPr>
            <w:tcW w:type="dxa" w:w="5112"/>
          </w:tcPr>
          <w:p>
            <w:r>
              <w:t>The trusted adjacent network currently has no claimed people eligible for discovery.</w:t>
            </w:r>
          </w:p>
        </w:tc>
      </w:tr>
      <w:tr>
        <w:tc>
          <w:tcPr>
            <w:tcW w:type="dxa" w:w="5112"/>
          </w:tcPr>
          <w:p>
            <w:r>
              <w:t>No eligible match</w:t>
            </w:r>
          </w:p>
        </w:tc>
        <w:tc>
          <w:tcPr>
            <w:tcW w:type="dxa" w:w="5112"/>
          </w:tcPr>
          <w:p>
            <w:r>
              <w:t>Claimed people exist, but none match this need through the currently permitted paths.</w:t>
            </w:r>
          </w:p>
        </w:tc>
      </w:tr>
      <w:tr>
        <w:tc>
          <w:tcPr>
            <w:tcW w:type="dxa" w:w="5112"/>
          </w:tcPr>
          <w:p>
            <w:r>
              <w:t>Ready</w:t>
            </w:r>
          </w:p>
        </w:tc>
        <w:tc>
          <w:tcPr>
            <w:tcW w:type="dxa" w:w="5112"/>
          </w:tcPr>
          <w:p>
            <w:r>
              <w:t>Eligible claimed matches exist; normal discovery should return anonymous opportunities.</w:t>
            </w:r>
          </w:p>
        </w:tc>
      </w:tr>
    </w:tbl>
    <w:p>
      <w:pPr>
        <w:pStyle w:val="Heading1"/>
      </w:pPr>
      <w:r>
        <w:t>Privacy boundary</w:t>
      </w:r>
    </w:p>
    <w:p>
      <w:r>
        <w:t>The diagnostic returns categories and small aggregate readiness counts only. It never returns the matching profile, target user ID, target name, contact details, or an adjacent-network directory.</w:t>
      </w:r>
    </w:p>
    <w:p>
      <w:pPr>
        <w:pStyle w:val="Heading1"/>
      </w:pPr>
      <w:r>
        <w:t>Why this matters</w:t>
      </w:r>
    </w:p>
    <w:p>
      <w:r>
        <w:t>The “Navy” / “Lift operator” test exposed the product gap perfectly: entering a profile is not the same as obtaining that person’s consented, claimed identity. M7-E preserves that privacy rule while making it understandable.</w:t>
      </w:r>
    </w:p>
    <w:p>
      <w:r>
        <w:br w:type="page"/>
      </w:r>
    </w:p>
    <w:p>
      <w:pPr>
        <w:pStyle w:val="Title"/>
      </w:pPr>
      <w:r>
        <w:t>Architecture &amp; Runtime Flow</w:t>
      </w:r>
    </w:p>
    <w:p>
      <w:pPr>
        <w:pStyle w:val="Heading1"/>
      </w:pPr>
      <w:r>
        <w:t>Live discovery flow</w:t>
      </w:r>
    </w:p>
    <w:p>
      <w:r>
        <w:t>My Networks → CrossNetworkDiscovery → /api/v1/trust-bridges/discover → M5 command runtime → M6-C/M6-E discovery RPC → anonymous candidate opportunities.</w:t>
      </w:r>
    </w:p>
    <w:p>
      <w:pPr>
        <w:pStyle w:val="Heading1"/>
      </w:pPr>
      <w:r>
        <w:t>When zero candidates return</w:t>
      </w:r>
    </w:p>
    <w:p>
      <w:r>
        <w:t>The client invokes diagnose_cross_network_discovery(sourceNetworkId, query). The diagnostic inspects only networks reachable through accepted discovery-enabled bridges and evaluates Family, Alumni, and generic/productized person models using their existing claim semantics.</w:t>
      </w:r>
    </w:p>
    <w:p>
      <w:pPr>
        <w:pStyle w:val="Heading1"/>
      </w:pPr>
      <w:r>
        <w:t>Vertical-neutral eligibility</w:t>
      </w:r>
    </w:p>
    <w:tbl>
      <w:tblPr>
        <w:tblStyle w:val="LightShading-Accent1"/>
        <w:tblW w:type="auto" w:w="0"/>
        <w:tblLook w:firstColumn="1" w:firstRow="1" w:lastColumn="0" w:lastRow="0" w:noHBand="0" w:noVBand="1" w:val="04A0"/>
      </w:tblPr>
      <w:tblGrid>
        <w:gridCol w:w="5112"/>
        <w:gridCol w:w="5112"/>
      </w:tblGrid>
      <w:tr>
        <w:tc>
          <w:tcPr>
            <w:tcW w:type="dxa" w:w="5112"/>
          </w:tcPr>
          <w:p>
            <w:r>
              <w:t>Vertical</w:t>
            </w:r>
          </w:p>
        </w:tc>
        <w:tc>
          <w:tcPr>
            <w:tcW w:type="dxa" w:w="5112"/>
          </w:tcPr>
          <w:p>
            <w:r>
              <w:t>Eligible identity rule</w:t>
            </w:r>
          </w:p>
        </w:tc>
      </w:tr>
      <w:tr>
        <w:tc>
          <w:tcPr>
            <w:tcW w:type="dxa" w:w="5112"/>
          </w:tcPr>
          <w:p>
            <w:r>
              <w:t>Family</w:t>
            </w:r>
          </w:p>
        </w:tc>
        <w:tc>
          <w:tcPr>
            <w:tcW w:type="dxa" w:w="5112"/>
          </w:tcPr>
          <w:p>
            <w:r>
              <w:t>Approved family_member + active network_membership linked by member_id.</w:t>
            </w:r>
          </w:p>
        </w:tc>
      </w:tr>
      <w:tr>
        <w:tc>
          <w:tcPr>
            <w:tcW w:type="dxa" w:w="5112"/>
          </w:tcPr>
          <w:p>
            <w:r>
              <w:t>Alumni</w:t>
            </w:r>
          </w:p>
        </w:tc>
        <w:tc>
          <w:tcPr>
            <w:tcW w:type="dxa" w:w="5112"/>
          </w:tcPr>
          <w:p>
            <w:r>
              <w:t>alumni_profile with claimed_by and members visibility.</w:t>
            </w:r>
          </w:p>
        </w:tc>
      </w:tr>
      <w:tr>
        <w:tc>
          <w:tcPr>
            <w:tcW w:type="dxa" w:w="5112"/>
          </w:tcPr>
          <w:p>
            <w:r>
              <w:t>Organization / Business / Franchise / Professional</w:t>
            </w:r>
          </w:p>
        </w:tc>
        <w:tc>
          <w:tcPr>
            <w:tcW w:type="dxa" w:w="5112"/>
          </w:tcPr>
          <w:p>
            <w:r>
              <w:t>person network_entity with owner_user_id and members visibility.</w:t>
            </w:r>
          </w:p>
        </w:tc>
      </w:tr>
    </w:tbl>
    <w:p>
      <w:pPr>
        <w:pStyle w:val="Heading1"/>
      </w:pPr>
      <w:r>
        <w:t>Security and operational choices</w:t>
      </w:r>
    </w:p>
    <w:p>
      <w:pPr>
        <w:pStyle w:val="ListBullet"/>
      </w:pPr>
      <w:r>
        <w:t>Supabase Auth + existing RLS/governance remain authoritative.</w:t>
      </w:r>
    </w:p>
    <w:p>
      <w:pPr>
        <w:pStyle w:val="ListBullet"/>
      </w:pPr>
      <w:r>
        <w:t>No service-role key is introduced.</w:t>
      </w:r>
    </w:p>
    <w:p>
      <w:pPr>
        <w:pStyle w:val="ListBullet"/>
      </w:pPr>
      <w:r>
        <w:t>No public network search is introduced.</w:t>
      </w:r>
    </w:p>
    <w:p>
      <w:pPr>
        <w:pStyle w:val="ListBullet"/>
      </w:pPr>
      <w:r>
        <w:t>No raw tables are exposed by the diagnostic.</w:t>
      </w:r>
    </w:p>
    <w:p>
      <w:pPr>
        <w:pStyle w:val="ListBullet"/>
      </w:pPr>
      <w:r>
        <w:t>M7-B synthetic showcase remains read-only and separate from live runtime certification.</w:t>
      </w:r>
    </w:p>
    <w:p>
      <w:r>
        <w:br w:type="page"/>
      </w:r>
    </w:p>
    <w:p>
      <w:pPr>
        <w:pStyle w:val="Title"/>
      </w:pPr>
      <w:r>
        <w:t>Certification Checklist &amp; Closure</w:t>
      </w:r>
    </w:p>
    <w:p>
      <w:pPr>
        <w:pStyle w:val="Heading1"/>
      </w:pPr>
      <w:r>
        <w:t>Fast runtime certification</w:t>
      </w:r>
    </w:p>
    <w:p>
      <w:pPr>
        <w:pStyle w:val="ListBullet"/>
      </w:pPr>
      <w:r>
        <w:t>Apply migration 066_m7e_showcase_runtime_hardening.sql.</w:t>
      </w:r>
    </w:p>
    <w:p>
      <w:pPr>
        <w:pStyle w:val="ListBullet"/>
      </w:pPr>
      <w:r>
        <w:t>Run npm run validate:m7e, npm run check:types, and npm run build in the complete repository.</w:t>
      </w:r>
    </w:p>
    <w:p>
      <w:pPr>
        <w:pStyle w:val="ListBullet"/>
      </w:pPr>
      <w:r>
        <w:t>Open My Networks → Showcase Runtime Health and verify the counts are plausible.</w:t>
      </w:r>
    </w:p>
    <w:p>
      <w:pPr>
        <w:pStyle w:val="ListBullet"/>
      </w:pPr>
      <w:r>
        <w:t>Use two real accounts: requester in Network A, claimed/active target in Network B.</w:t>
      </w:r>
    </w:p>
    <w:p>
      <w:pPr>
        <w:pStyle w:val="ListBullet"/>
      </w:pPr>
      <w:r>
        <w:t>Search an obvious target profession/expertise; result must be anonymous before consent.</w:t>
      </w:r>
    </w:p>
    <w:p>
      <w:pPr>
        <w:pStyle w:val="ListBullet"/>
      </w:pPr>
      <w:r>
        <w:t>Create an unclaimed matching profile and verify M7-E explains that it is ineligible.</w:t>
      </w:r>
    </w:p>
    <w:p>
      <w:pPr>
        <w:pStyle w:val="ListBullet"/>
      </w:pPr>
      <w:r>
        <w:t>Accept an introduction and confirm only then the target identity is revealed.</w:t>
      </w:r>
    </w:p>
    <w:p>
      <w:pPr>
        <w:pStyle w:val="ListBullet"/>
      </w:pPr>
      <w:r>
        <w:t>For A→B→C, enable pathTraversal on both edges; disabling either edge must remove the route.</w:t>
      </w:r>
    </w:p>
    <w:p>
      <w:pPr>
        <w:pStyle w:val="ListBullet"/>
      </w:pPr>
      <w:r>
        <w:t>Step through all seven M7-B synthetic stories and confirm the theater remains read-only.</w:t>
      </w:r>
    </w:p>
    <w:p>
      <w:pPr>
        <w:pStyle w:val="Heading1"/>
      </w:pPr>
      <w:r>
        <w:t>Mission closure</w:t>
      </w:r>
    </w:p>
    <w:p>
      <w:r>
        <w:t>M7-E completes the planned trusted-network showcase track. The platform now has the product story, runtime guardrails, activation instrumentation, guided demonstration, pilot operations, feedback loop, and a concrete certification path. The next strategic work should be selected from pilot evidence or a deliberately new product/commercial track.</w:t>
      </w:r>
    </w:p>
    <w:p>
      <w:pPr>
        <w:pStyle w:val="Heading1"/>
      </w:pPr>
      <w:r>
        <w:t>Durable rule</w:t>
      </w:r>
    </w:p>
    <w:p>
      <w:r>
        <w:t>Do not add deeper graph traversal, broader identity disclosure, or more showcase machinery merely because it is technically possible. Require evidence that users are blocked or that additional reach creates materially more value.</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