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Founder IP Defense &amp;</w:t>
        <w:br/>
        <w:t>Expansion Strategy</w:t>
      </w:r>
    </w:p>
    <w:p>
      <w:r>
        <w:rPr>
          <w:b/>
          <w:sz w:val="28"/>
        </w:rPr>
        <w:t>TrustWeave / Generic Network OS + Founder Product Portfolio</w:t>
      </w:r>
    </w:p>
    <w:p>
      <w:r>
        <w:rPr>
          <w:i/>
        </w:rPr>
        <w:t>Binding founder strategy • 29 August 2026</w:t>
      </w:r>
    </w:p>
    <w:p>
      <w:r>
        <w:rPr>
          <w:b/>
          <w:sz w:val="32"/>
        </w:rPr>
        <w:t>Protect → Seed → Prove → Compound → Amplify</w:t>
      </w:r>
    </w:p>
    <w:p>
      <w:r>
        <w:t>A practical defense strategy for a founder-led product competing against better-funded software companies: protect selectively, quietly build distribution and density, and compound data/outcomes that cannot be copied from the UI.</w:t>
      </w:r>
    </w:p>
    <w:p>
      <w:r>
        <w:br w:type="page"/>
      </w:r>
    </w:p>
    <w:p>
      <w:pPr>
        <w:pStyle w:val="Heading1"/>
        <w:keepNext/>
        <w:spacing w:before="200" w:after="80"/>
      </w:pPr>
      <w:r>
        <w:t>1. Founder objective</w:t>
      </w:r>
    </w:p>
    <w:p>
      <w:r>
        <w:t>The objective is not merely to ship useful software. It is to preserve and compound the economic value created by a small founder-led team before larger organizations can copy the visible surface and outspend the original product.</w:t>
      </w:r>
    </w:p>
    <w:p>
      <w:r>
        <w:t>The operating thesis is:</w:t>
      </w:r>
    </w:p>
    <w:p>
      <w:pPr>
        <w:spacing w:before="120" w:after="120"/>
        <w:ind w:left="360"/>
      </w:pPr>
      <w:r>
        <w:rPr>
          <w:b/>
          <w:i/>
        </w:rPr>
        <w:t>Build quietly, protect selectively, seed dense real-world usage early, and make accumulated trust/outcome data harder to reproduce than the UI or code.</w:t>
      </w:r>
    </w:p>
    <w:p>
      <w:r>
        <w:t>A feature is not defensible merely because it is technically difficult. A moat becomes strong when multiple layers reinforce one another: legal IP, proprietary data, institutional distribution, embedded workflows, user/network switching cost, brand language and operating know-how.</w:t>
      </w:r>
    </w:p>
    <w:p>
      <w:pPr>
        <w:pStyle w:val="Heading1"/>
        <w:keepNext/>
        <w:spacing w:before="200" w:after="80"/>
      </w:pPr>
      <w:r>
        <w:t>2. The five strategic moat engines — 100-point weighting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Moat engine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Founder interpretation</w:t>
            </w:r>
          </w:p>
        </w:tc>
      </w:tr>
      <w:tr>
        <w:tc>
          <w:tcPr>
            <w:tcW w:type="dxa" w:w="3360"/>
          </w:tcPr>
          <w:p>
            <w:r>
              <w:t>Federation as a distribution supernode</w:t>
            </w:r>
          </w:p>
        </w:tc>
        <w:tc>
          <w:tcPr>
            <w:tcW w:type="dxa" w:w="3360"/>
          </w:tcPr>
          <w:p>
            <w:r>
              <w:t>24</w:t>
            </w:r>
          </w:p>
        </w:tc>
        <w:tc>
          <w:tcPr>
            <w:tcW w:type="dxa" w:w="3360"/>
          </w:tcPr>
          <w:p>
            <w:r>
              <w:t>Acquire ecosystems through trusted anchors instead of acquiring every user independently.</w:t>
            </w:r>
          </w:p>
        </w:tc>
      </w:tr>
      <w:tr>
        <w:tc>
          <w:tcPr>
            <w:tcW w:type="dxa" w:w="3360"/>
          </w:tcPr>
          <w:p>
            <w:r>
              <w:t>Network Passport</w:t>
            </w:r>
          </w:p>
        </w:tc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t>Give every governed network a portable, understandable, verifiable outward identity without revealing its private graph.</w:t>
            </w:r>
          </w:p>
        </w:tc>
      </w:tr>
      <w:tr>
        <w:tc>
          <w:tcPr>
            <w:tcW w:type="dxa" w:w="3360"/>
          </w:tcPr>
          <w:p>
            <w:r>
              <w:t>Purpose-specific Application Scopes</w:t>
            </w:r>
          </w:p>
        </w:tc>
        <w:tc>
          <w:tcPr>
            <w:tcW w:type="dxa" w:w="3360"/>
          </w:tcPr>
          <w:p>
            <w:r>
              <w:t>22</w:t>
            </w:r>
          </w:p>
        </w:tc>
        <w:tc>
          <w:tcPr>
            <w:tcW w:type="dxa" w:w="3360"/>
          </w:tcPr>
          <w:p>
            <w:r>
              <w:t>Make privacy and consent a reusable platform primitive so one trust fabric can safely serve many applications.</w:t>
            </w:r>
          </w:p>
        </w:tc>
      </w:tr>
      <w:tr>
        <w:tc>
          <w:tcPr>
            <w:tcW w:type="dxa" w:w="3360"/>
          </w:tcPr>
          <w:p>
            <w:r>
              <w:t>Trust Receipt / explainable provenance</w:t>
            </w:r>
          </w:p>
        </w:tc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t>Explain why a result is visible and why it can be trusted; turn invisible graph mechanics into user-understandable trust.</w:t>
            </w:r>
          </w:p>
        </w:tc>
      </w:tr>
      <w:tr>
        <w:tc>
          <w:tcPr>
            <w:tcW w:type="dxa" w:w="3360"/>
          </w:tcPr>
          <w:p>
            <w:r>
              <w:t>Request → Route → Introduction → Outcome loop</w:t>
            </w:r>
          </w:p>
        </w:tc>
        <w:tc>
          <w:tcPr>
            <w:tcW w:type="dxa" w:w="3360"/>
          </w:tcPr>
          <w:p>
            <w:r>
              <w:t>24</w:t>
            </w:r>
          </w:p>
        </w:tc>
        <w:tc>
          <w:tcPr>
            <w:tcW w:type="dxa" w:w="3360"/>
          </w:tcPr>
          <w:p>
            <w:r>
              <w:t>Convert the graph into repeated utility and generate proprietary outcome evidence that improves future routing.</w:t>
            </w:r>
          </w:p>
        </w:tc>
      </w:tr>
    </w:tbl>
    <w:p>
      <w:r>
        <w:t>These five mechanisms should be designed as one reinforcing loop rather than five independent features.</w:t>
      </w:r>
    </w:p>
    <w:p>
      <w:pPr>
        <w:pStyle w:val="Heading1"/>
        <w:keepNext/>
        <w:spacing w:before="200" w:after="80"/>
      </w:pPr>
      <w:r>
        <w:t>3. Long-term defensibility stack</w:t>
      </w:r>
    </w:p>
    <w:p>
      <w:r>
        <w:t>When judging future work, use the following approximate long-term moat allocation:</w:t>
      </w:r>
    </w:p>
    <w:p>
      <w:pPr>
        <w:pStyle w:val="ListBullet"/>
      </w:pPr>
      <w:r>
        <w:rPr>
          <w:b/>
        </w:rPr>
        <w:t>35% — proprietary Trust + Outcome Graph:</w:t>
      </w:r>
      <w:r>
        <w:t xml:space="preserve"> verified identities, memberships, affiliations, permission decisions, introductions and successful outcomes accumulated through real usage.</w:t>
      </w:r>
    </w:p>
    <w:p>
      <w:pPr>
        <w:pStyle w:val="ListBullet"/>
      </w:pPr>
      <w:r>
        <w:rPr>
          <w:b/>
        </w:rPr>
        <w:t>25% — institutional/federation distribution:</w:t>
      </w:r>
      <w:r>
        <w:t xml:space="preserve"> organizer, community, association, chapter, franchise and other trusted-anchor channels that can activate many networks at once.</w:t>
      </w:r>
    </w:p>
    <w:p>
      <w:pPr>
        <w:pStyle w:val="ListBullet"/>
      </w:pPr>
      <w:r>
        <w:rPr>
          <w:b/>
        </w:rPr>
        <w:t>20% — permission and purpose architecture:</w:t>
      </w:r>
      <w:r>
        <w:t xml:space="preserve"> layered governance that enables cross-network utility without forcing global public exposure.</w:t>
      </w:r>
    </w:p>
    <w:p>
      <w:pPr>
        <w:pStyle w:val="ListBullet"/>
      </w:pPr>
      <w:r>
        <w:rPr>
          <w:b/>
        </w:rPr>
        <w:t>12% — trust-routing intelligence:</w:t>
      </w:r>
      <w:r>
        <w:t xml:space="preserve"> eligibility, ranking, suppression, bounded paths, provenance and outcome-adaptive routing.</w:t>
      </w:r>
    </w:p>
    <w:p>
      <w:pPr>
        <w:pStyle w:val="ListBullet"/>
      </w:pPr>
      <w:r>
        <w:rPr>
          <w:b/>
        </w:rPr>
        <w:t>8% — product/UI experience:</w:t>
      </w:r>
      <w:r>
        <w:t xml:space="preserve"> essential for adoption and trust, but comparatively easier to imitate.</w:t>
      </w:r>
    </w:p>
    <w:p>
      <w:pPr>
        <w:pStyle w:val="Heading2"/>
        <w:keepNext/>
        <w:spacing w:before="200" w:after="80"/>
      </w:pPr>
      <w:r>
        <w:t>Binding conclusion</w:t>
      </w:r>
    </w:p>
    <w:p>
      <w:pPr>
        <w:spacing w:before="120" w:after="120"/>
        <w:ind w:left="360"/>
      </w:pPr>
      <w:r>
        <w:rPr>
          <w:b/>
          <w:i/>
        </w:rPr>
        <w:t>The strongest moat is accumulated governed trust history, not source code alone.</w:t>
      </w:r>
    </w:p>
    <w:p>
      <w:pPr>
        <w:pStyle w:val="Heading1"/>
        <w:keepNext/>
        <w:spacing w:before="200" w:after="80"/>
      </w:pPr>
      <w:r>
        <w:t>4. Quiet expansion doctrine</w:t>
      </w:r>
    </w:p>
    <w:p>
      <w:r>
        <w:t>The early market strategy should deliberately avoid unnecessary publicity before a useful density advantage exists.</w:t>
      </w:r>
    </w:p>
    <w:p>
      <w:pPr>
        <w:pStyle w:val="Heading2"/>
        <w:keepNext/>
        <w:spacing w:before="200" w:after="80"/>
      </w:pPr>
      <w:r>
        <w:t>Phase A — Quiet institutional seeding</w:t>
      </w:r>
    </w:p>
    <w:p>
      <w:r>
        <w:t>Prefer targets that are valuable but often technically underserved:</w:t>
      </w:r>
    </w:p>
    <w:p>
      <w:pPr>
        <w:pStyle w:val="ListBullet"/>
      </w:pPr>
      <w:r>
        <w:t>family/community associations;</w:t>
      </w:r>
    </w:p>
    <w:p>
      <w:pPr>
        <w:pStyle w:val="ListBullet"/>
      </w:pPr>
      <w:r>
        <w:t>local and regional social institutions;</w:t>
      </w:r>
    </w:p>
    <w:p>
      <w:pPr>
        <w:pStyle w:val="ListBullet"/>
      </w:pPr>
      <w:r>
        <w:t>alumni chapters;</w:t>
      </w:r>
    </w:p>
    <w:p>
      <w:pPr>
        <w:pStyle w:val="ListBullet"/>
      </w:pPr>
      <w:r>
        <w:t>trade/business associations;</w:t>
      </w:r>
    </w:p>
    <w:p>
      <w:pPr>
        <w:pStyle w:val="ListBullet"/>
      </w:pPr>
      <w:r>
        <w:t>franchise/operator groups;</w:t>
      </w:r>
    </w:p>
    <w:p>
      <w:pPr>
        <w:pStyle w:val="ListBullet"/>
      </w:pPr>
      <w:r>
        <w:t>residential and professional communities;</w:t>
      </w:r>
    </w:p>
    <w:p>
      <w:pPr>
        <w:pStyle w:val="ListBullet"/>
      </w:pPr>
      <w:r>
        <w:t>non-technical institutions with existing directories and trusted administrators.</w:t>
      </w:r>
    </w:p>
    <w:p>
      <w:r>
        <w:t>Acquire the trusted organizer first. Bootstrap approved data. Make the network useful before asking every member to learn the product.</w:t>
      </w:r>
    </w:p>
    <w:p>
      <w:pPr>
        <w:pStyle w:val="Heading2"/>
        <w:keepNext/>
        <w:spacing w:before="200" w:after="80"/>
      </w:pPr>
      <w:r>
        <w:t>Phase B — Density before publicity</w:t>
      </w:r>
    </w:p>
    <w:p>
      <w:r>
        <w:t>Do not optimize initially for number of registrations or press visibility. Optimize for:</w:t>
      </w:r>
    </w:p>
    <w:p>
      <w:pPr>
        <w:pStyle w:val="ListBullet"/>
      </w:pPr>
      <w:r>
        <w:t>activated networks;</w:t>
      </w:r>
    </w:p>
    <w:p>
      <w:pPr>
        <w:pStyle w:val="ListBullet"/>
      </w:pPr>
      <w:r>
        <w:t>claimed and verified membership density;</w:t>
      </w:r>
    </w:p>
    <w:p>
      <w:pPr>
        <w:pStyle w:val="ListBullet"/>
      </w:pPr>
      <w:r>
        <w:t>useful application opt-ins;</w:t>
      </w:r>
    </w:p>
    <w:p>
      <w:pPr>
        <w:pStyle w:val="ListBullet"/>
      </w:pPr>
      <w:r>
        <w:t>requests fulfilled;</w:t>
      </w:r>
    </w:p>
    <w:p>
      <w:pPr>
        <w:pStyle w:val="ListBullet"/>
      </w:pPr>
      <w:r>
        <w:t>introductions accepted;</w:t>
      </w:r>
    </w:p>
    <w:p>
      <w:pPr>
        <w:pStyle w:val="ListBullet"/>
      </w:pPr>
      <w:r>
        <w:t>repeat participation;</w:t>
      </w:r>
    </w:p>
    <w:p>
      <w:pPr>
        <w:pStyle w:val="ListBullet"/>
      </w:pPr>
      <w:r>
        <w:t>organizer referrals;</w:t>
      </w:r>
    </w:p>
    <w:p>
      <w:pPr>
        <w:pStyle w:val="ListBullet"/>
      </w:pPr>
      <w:r>
        <w:t>adjacent networks joining.</w:t>
      </w:r>
    </w:p>
    <w:p>
      <w:r>
        <w:t>A dense 2,000-person trusted ecosystem can create more defensibility than 100,000 low-context sign-ups.</w:t>
      </w:r>
    </w:p>
    <w:p>
      <w:pPr>
        <w:pStyle w:val="Heading2"/>
        <w:keepNext/>
        <w:spacing w:before="200" w:after="80"/>
      </w:pPr>
      <w:r>
        <w:t>Phase C — Federation-led expansion</w:t>
      </w:r>
    </w:p>
    <w:p>
      <w:r>
        <w:t>Once several local networks are useful, use appropriate umbrellas/federations as distribution supernodes:</w:t>
      </w:r>
    </w:p>
    <w:p>
      <w:r>
        <w:rPr>
          <w:rFonts w:ascii="Consolas" w:hAnsi="Consolas"/>
          <w:sz w:val="18"/>
        </w:rPr>
        <w:t>one trusted umbrella → many child networks → many members → adjacent ecosystem pull</w:t>
      </w:r>
    </w:p>
    <w:p>
      <w:r>
        <w:t>A federation relationship does not imply data access. Distribution leverage and privacy isolation must coexist.</w:t>
      </w:r>
    </w:p>
    <w:p>
      <w:pPr>
        <w:pStyle w:val="Heading2"/>
        <w:keepNext/>
        <w:spacing w:before="200" w:after="80"/>
      </w:pPr>
      <w:r>
        <w:t>Phase D — Controlled visibility</w:t>
      </w:r>
    </w:p>
    <w:p>
      <w:r>
        <w:t>Broaden public positioning only after the product has at least one of:</w:t>
      </w:r>
    </w:p>
    <w:p>
      <w:pPr>
        <w:pStyle w:val="ListBullet"/>
      </w:pPr>
      <w:r>
        <w:t>demonstrable network density;</w:t>
      </w:r>
    </w:p>
    <w:p>
      <w:pPr>
        <w:pStyle w:val="ListBullet"/>
      </w:pPr>
      <w:r>
        <w:t>repeatable organizer acquisition;</w:t>
      </w:r>
    </w:p>
    <w:p>
      <w:pPr>
        <w:pStyle w:val="ListBullet"/>
      </w:pPr>
      <w:r>
        <w:t>successful trusted outcomes;</w:t>
      </w:r>
    </w:p>
    <w:p>
      <w:pPr>
        <w:pStyle w:val="ListBullet"/>
      </w:pPr>
      <w:r>
        <w:t>protectable invention filings where appropriate;</w:t>
      </w:r>
    </w:p>
    <w:p>
      <w:pPr>
        <w:pStyle w:val="ListBullet"/>
      </w:pPr>
      <w:r>
        <w:t>strong references/testimonials;</w:t>
      </w:r>
    </w:p>
    <w:p>
      <w:pPr>
        <w:pStyle w:val="ListBullet"/>
      </w:pPr>
      <w:r>
        <w:t>clear evidence that network switching cost is forming.</w:t>
      </w:r>
    </w:p>
    <w:p>
      <w:r>
        <w:t>Do not reveal internal routing logic, anti-abuse mechanisms, trust scoring or unfiled potentially patentable technical mechanisms merely for marketing completeness.</w:t>
      </w:r>
    </w:p>
    <w:p>
      <w:pPr>
        <w:pStyle w:val="Heading1"/>
        <w:keepNext/>
        <w:spacing w:before="200" w:after="80"/>
      </w:pPr>
      <w:r>
        <w:t>5. Founder disclosure rule</w:t>
      </w:r>
    </w:p>
    <w:p>
      <w:r>
        <w:t>Before publishing a novel technical mechanism in a public repository, architecture article, conference talk, investor deck distributed without controls, public demo narrative or detailed HTML artifact, classify it:</w:t>
      </w:r>
    </w:p>
    <w:p>
      <w:pPr>
        <w:pStyle w:val="ListNumber"/>
      </w:pPr>
      <w:r>
        <w:rPr>
          <w:b/>
        </w:rPr>
        <w:t>Public product concept</w:t>
      </w:r>
      <w:r>
        <w:t xml:space="preserve"> — safe to explain at outcome level.</w:t>
      </w:r>
    </w:p>
    <w:p>
      <w:pPr>
        <w:pStyle w:val="ListNumber"/>
      </w:pPr>
      <w:r>
        <w:rPr>
          <w:b/>
        </w:rPr>
        <w:t>Patent candidate</w:t>
      </w:r>
      <w:r>
        <w:t xml:space="preserve"> — document invention first and obtain appropriate patent advice before broad technical disclosure.</w:t>
      </w:r>
    </w:p>
    <w:p>
      <w:pPr>
        <w:pStyle w:val="ListNumber"/>
      </w:pPr>
      <w:r>
        <w:rPr>
          <w:b/>
        </w:rPr>
        <w:t>Trade secret</w:t>
      </w:r>
      <w:r>
        <w:t xml:space="preserve"> — retain internally unless disclosure is strategically necessary.</w:t>
      </w:r>
    </w:p>
    <w:p>
      <w:pPr>
        <w:pStyle w:val="ListNumber"/>
      </w:pPr>
      <w:r>
        <w:rPr>
          <w:b/>
        </w:rPr>
        <w:t>Commodity implementation</w:t>
      </w:r>
      <w:r>
        <w:t xml:space="preserve"> — no special secrecy required.</w:t>
      </w:r>
    </w:p>
    <w:p>
      <w:r>
        <w:t xml:space="preserve">Public-facing materials should explain </w:t>
      </w:r>
      <w:r>
        <w:rPr>
          <w:b/>
        </w:rPr>
        <w:t>what value TrustWeave creates</w:t>
      </w:r>
      <w:r>
        <w:t xml:space="preserve"> without unnecessarily disclosing </w:t>
      </w:r>
      <w:r>
        <w:rPr>
          <w:b/>
        </w:rPr>
        <w:t>how the hardest trust/routing mechanisms work internally</w:t>
      </w:r>
      <w:r>
        <w:t>.</w:t>
      </w:r>
    </w:p>
    <w:p>
      <w:pPr>
        <w:pStyle w:val="Heading1"/>
        <w:keepNext/>
        <w:spacing w:before="200" w:after="80"/>
      </w:pPr>
      <w:r>
        <w:t>6. Patent / invention-harvest program</w:t>
      </w:r>
    </w:p>
    <w:p>
      <w:r>
        <w:t>Create a continuing `IP-*` strategy track rather than treating patents as a one-time task.</w:t>
      </w:r>
    </w:p>
    <w:p>
      <w:pPr>
        <w:pStyle w:val="Heading2"/>
        <w:keepNext/>
        <w:spacing w:before="200" w:after="80"/>
      </w:pPr>
      <w:r>
        <w:t>IP-0 — Invention Harvest &amp; Patentability Review</w:t>
      </w:r>
    </w:p>
    <w:p>
      <w:r>
        <w:t>For every meaningful technical mechanism, record:</w:t>
      </w:r>
    </w:p>
    <w:p>
      <w:pPr>
        <w:pStyle w:val="ListBullet"/>
      </w:pPr>
      <w:r>
        <w:t>problem;</w:t>
      </w:r>
    </w:p>
    <w:p>
      <w:pPr>
        <w:pStyle w:val="ListBullet"/>
      </w:pPr>
      <w:r>
        <w:t>common/current approaches;</w:t>
      </w:r>
    </w:p>
    <w:p>
      <w:pPr>
        <w:pStyle w:val="ListBullet"/>
      </w:pPr>
      <w:r>
        <w:t>technical limitation;</w:t>
      </w:r>
    </w:p>
    <w:p>
      <w:pPr>
        <w:pStyle w:val="ListBullet"/>
      </w:pPr>
      <w:r>
        <w:t>TrustWeave mechanism;</w:t>
      </w:r>
    </w:p>
    <w:p>
      <w:pPr>
        <w:pStyle w:val="ListBullet"/>
      </w:pPr>
      <w:r>
        <w:t>technical effect;</w:t>
      </w:r>
    </w:p>
    <w:p>
      <w:pPr>
        <w:pStyle w:val="ListBullet"/>
      </w:pPr>
      <w:r>
        <w:t>novel elements;</w:t>
      </w:r>
    </w:p>
    <w:p>
      <w:pPr>
        <w:pStyle w:val="ListBullet"/>
      </w:pPr>
      <w:r>
        <w:t>implementation alternatives;</w:t>
      </w:r>
    </w:p>
    <w:p>
      <w:pPr>
        <w:pStyle w:val="ListBullet"/>
      </w:pPr>
      <w:r>
        <w:t>date / contributors / supporting code or architecture artifacts;</w:t>
      </w:r>
    </w:p>
    <w:p>
      <w:pPr>
        <w:pStyle w:val="ListBullet"/>
      </w:pPr>
      <w:r>
        <w:t>public-disclosure status;</w:t>
      </w:r>
    </w:p>
    <w:p>
      <w:pPr>
        <w:pStyle w:val="ListBullet"/>
      </w:pPr>
      <w:r>
        <w:t>prior-art concerns.</w:t>
      </w:r>
    </w:p>
    <w:p>
      <w:r>
        <w:t>Score candidates on:</w:t>
      </w:r>
    </w:p>
    <w:p>
      <w:pPr>
        <w:pStyle w:val="ListBullet"/>
      </w:pPr>
      <w:r>
        <w:t>novelty;</w:t>
      </w:r>
    </w:p>
    <w:p>
      <w:pPr>
        <w:pStyle w:val="ListBullet"/>
      </w:pPr>
      <w:r>
        <w:t>non-obviousness/inventive step;</w:t>
      </w:r>
    </w:p>
    <w:p>
      <w:pPr>
        <w:pStyle w:val="ListBullet"/>
      </w:pPr>
      <w:r>
        <w:t>technical character;</w:t>
      </w:r>
    </w:p>
    <w:p>
      <w:pPr>
        <w:pStyle w:val="ListBullet"/>
      </w:pPr>
      <w:r>
        <w:t>commercial importance;</w:t>
      </w:r>
    </w:p>
    <w:p>
      <w:pPr>
        <w:pStyle w:val="ListBullet"/>
      </w:pPr>
      <w:r>
        <w:t>detectability of infringement;</w:t>
      </w:r>
    </w:p>
    <w:p>
      <w:pPr>
        <w:pStyle w:val="ListBullet"/>
      </w:pPr>
      <w:r>
        <w:t>difficulty of workaround;</w:t>
      </w:r>
    </w:p>
    <w:p>
      <w:pPr>
        <w:pStyle w:val="ListBullet"/>
      </w:pPr>
      <w:r>
        <w:t>prior-art risk;</w:t>
      </w:r>
    </w:p>
    <w:p>
      <w:pPr>
        <w:pStyle w:val="ListBullet"/>
      </w:pPr>
      <w:r>
        <w:t>expected useful life.</w:t>
      </w:r>
    </w:p>
    <w:p>
      <w:r>
        <w:t>Only strong candidates should consume patent-budget or attorney time.</w:t>
      </w:r>
    </w:p>
    <w:p>
      <w:pPr>
        <w:pStyle w:val="Heading2"/>
        <w:keepNext/>
        <w:spacing w:before="200" w:after="80"/>
      </w:pPr>
      <w:r>
        <w:t>Current TrustWeave patent-screening priorities</w:t>
      </w:r>
    </w:p>
    <w:p>
      <w:pPr>
        <w:pStyle w:val="ListNumber"/>
      </w:pPr>
      <w:r>
        <w:rPr>
          <w:b/>
        </w:rPr>
        <w:t>Purpose-scoped, privacy-preserving trust routing across independently governed network graphs.</w:t>
      </w:r>
    </w:p>
    <w:p>
      <w:pPr>
        <w:pStyle w:val="ListNumber"/>
      </w:pPr>
      <w:r>
        <w:rPr>
          <w:b/>
        </w:rPr>
        <w:t>Purpose-specific derived graph projection without exposing private underlying topology.</w:t>
      </w:r>
    </w:p>
    <w:p>
      <w:pPr>
        <w:pStyle w:val="ListNumber"/>
      </w:pPr>
      <w:r>
        <w:rPr>
          <w:b/>
        </w:rPr>
        <w:t>Explainable trust provenance / Trust Receipt generation for cross-network authorization and discovery.</w:t>
      </w:r>
    </w:p>
    <w:p>
      <w:pPr>
        <w:pStyle w:val="ListNumber"/>
      </w:pPr>
      <w:r>
        <w:rPr>
          <w:b/>
        </w:rPr>
        <w:t>Outcome-adaptive trust routing using verified downstream interaction outcomes without a universal public reputation score.</w:t>
      </w:r>
    </w:p>
    <w:p>
      <w:r>
        <w:t>Network Passport and federation-led distribution are strategically important but should normally be protected through the broader architecture, brand, execution and network effect rather than assumed to be strong standalone patent claims.</w:t>
      </w:r>
    </w:p>
    <w:p>
      <w:pPr>
        <w:pStyle w:val="Heading1"/>
        <w:keepNext/>
        <w:spacing w:before="200" w:after="80"/>
      </w:pPr>
      <w:r>
        <w:t>7. Product portfolio IP rule</w:t>
      </w:r>
    </w:p>
    <w:p>
      <w:r>
        <w:t xml:space="preserve">The founder should run invention harvesting across </w:t>
      </w:r>
      <w:r>
        <w:rPr>
          <w:b/>
        </w:rPr>
        <w:t>all products</w:t>
      </w:r>
      <w:r>
        <w:t>, not only TrustWeave.</w:t>
      </w:r>
    </w:p>
    <w:p>
      <w:pPr>
        <w:pStyle w:val="Heading2"/>
        <w:keepNext/>
        <w:spacing w:before="200" w:after="80"/>
      </w:pPr>
      <w:r>
        <w:t>TrustWeave / Generic Network OS</w:t>
      </w:r>
    </w:p>
    <w:p>
      <w:r>
        <w:t>Highest current priority because privacy-preserving governed graph routing, scoped projection, provenance and outcome feedback may form coherent technical invention families.</w:t>
      </w:r>
    </w:p>
    <w:p>
      <w:pPr>
        <w:pStyle w:val="Heading2"/>
        <w:keepNext/>
        <w:spacing w:before="200" w:after="80"/>
      </w:pPr>
      <w:r>
        <w:t>RAG Knowledge Hub / Organizational Intelligence</w:t>
      </w:r>
    </w:p>
    <w:p>
      <w:r>
        <w:t>Do not pursue generic RAG claims. Screen specific mechanisms where deterministic organizational graphs, evidence-backed candidate relationships, confidence gates, unanswered-question loops and knowledge-risk detection interact in a technically novel way.</w:t>
      </w:r>
    </w:p>
    <w:p>
      <w:pPr>
        <w:pStyle w:val="Heading2"/>
        <w:keepNext/>
        <w:spacing w:before="200" w:after="80"/>
      </w:pPr>
      <w:r>
        <w:t>Dependency Intelligence / Remediation Engine</w:t>
      </w:r>
    </w:p>
    <w:p>
      <w:r>
        <w:t>Screen concrete deterministic mechanisms that combine dependency ecosystems, vulnerability/compatibility evidence, remediation planning, validation, rollback/safety or provenance. Avoid generic "AI recommends upgrades" framing.</w:t>
      </w:r>
    </w:p>
    <w:p>
      <w:pPr>
        <w:pStyle w:val="Heading2"/>
        <w:keepNext/>
        <w:spacing w:before="200" w:after="80"/>
      </w:pPr>
      <w:r>
        <w:t>Movie / Consumer Taste Intelligence</w:t>
      </w:r>
    </w:p>
    <w:p>
      <w:r>
        <w:t>Treat recommendation algorithms as prior-art-heavy. Prefer corpus quality, proprietary taste labels, evaluation sets, interaction history and outcome data as the primary moat unless a genuinely novel technical mechanism emerges.</w:t>
      </w:r>
    </w:p>
    <w:p>
      <w:pPr>
        <w:pStyle w:val="Heading2"/>
        <w:keepNext/>
        <w:spacing w:before="200" w:after="80"/>
      </w:pPr>
      <w:r>
        <w:t>Portfolio operating rule</w:t>
      </w:r>
    </w:p>
    <w:p>
      <w:r>
        <w:t>Every major product milestone should ask:</w:t>
      </w:r>
    </w:p>
    <w:p>
      <w:pPr>
        <w:spacing w:before="120" w:after="120"/>
        <w:ind w:left="360"/>
      </w:pPr>
      <w:r>
        <w:rPr>
          <w:b/>
          <w:i/>
        </w:rPr>
        <w:t>Did we create a new technical mechanism, proprietary dataset, distribution asset, workflow lock-in, or brandable concept worth protecting?</w:t>
      </w:r>
    </w:p>
    <w:p>
      <w:r>
        <w:t>If yes, record it before the implementation history is forgotten.</w:t>
      </w:r>
    </w:p>
    <w:p>
      <w:pPr>
        <w:pStyle w:val="Heading1"/>
        <w:keepNext/>
        <w:spacing w:before="200" w:after="80"/>
      </w:pPr>
      <w:r>
        <w:t>8. Build moat faster than competitors can copy</w:t>
      </w:r>
    </w:p>
    <w:p>
      <w:r>
        <w:t>The founder cannot rely on winning a headcount race against a mature software company. Therefore prioritize work in this order:</w:t>
      </w:r>
    </w:p>
    <w:p>
      <w:pPr>
        <w:pStyle w:val="ListNumber"/>
      </w:pPr>
      <w:r>
        <w:rPr>
          <w:b/>
        </w:rPr>
        <w:t>Mechanisms that create unique real-world data/outcomes.</w:t>
      </w:r>
    </w:p>
    <w:p>
      <w:pPr>
        <w:pStyle w:val="ListNumber"/>
      </w:pPr>
      <w:r>
        <w:rPr>
          <w:b/>
        </w:rPr>
        <w:t>Institutional onboarding that brings many participants at once.</w:t>
      </w:r>
    </w:p>
    <w:p>
      <w:pPr>
        <w:pStyle w:val="ListNumber"/>
      </w:pPr>
      <w:r>
        <w:rPr>
          <w:b/>
        </w:rPr>
        <w:t>Trust/privacy architecture that makes copied UX insufficient.</w:t>
      </w:r>
    </w:p>
    <w:p>
      <w:pPr>
        <w:pStyle w:val="ListNumber"/>
      </w:pPr>
      <w:r>
        <w:rPr>
          <w:b/>
        </w:rPr>
        <w:t>Workflows that become operational habits for admins and networks.</w:t>
      </w:r>
    </w:p>
    <w:p>
      <w:pPr>
        <w:pStyle w:val="ListNumber"/>
      </w:pPr>
      <w:r>
        <w:rPr>
          <w:b/>
        </w:rPr>
        <w:t>Brand language users associate with TrustWeave.</w:t>
      </w:r>
    </w:p>
    <w:p>
      <w:pPr>
        <w:pStyle w:val="ListNumber"/>
      </w:pPr>
      <w:r>
        <w:t>Commodity feature breadth only when required to close adoption gaps.</w:t>
      </w:r>
    </w:p>
    <w:p>
      <w:r>
        <w:t>A competitor can copy a screen in weeks. It cannot instantly copy five years of verified relationships, successful introductions, organizer relationships, permissions, provenance and outcome evidence.</w:t>
      </w:r>
    </w:p>
    <w:p>
      <w:pPr>
        <w:pStyle w:val="Heading1"/>
        <w:keepNext/>
        <w:spacing w:before="200" w:after="80"/>
      </w:pPr>
      <w:r>
        <w:t>9. First-mover advantage is a density race, not a launch-date race</w:t>
      </w:r>
    </w:p>
    <w:p>
      <w:r>
        <w:t>Being first to publish is not sufficient. The useful first-mover advantage is:</w:t>
      </w:r>
    </w:p>
    <w:p>
      <w:pPr>
        <w:spacing w:before="120" w:after="120"/>
        <w:ind w:left="360"/>
      </w:pPr>
      <w:r>
        <w:rPr>
          <w:b/>
          <w:i/>
        </w:rPr>
        <w:t>Become the system of record for enough real trusted networks that moving elsewhere means rebuilding identity, governance, provenance and successful relationship history.</w:t>
      </w:r>
    </w:p>
    <w:p>
      <w:r>
        <w:t>Measure first-mover progress through:</w:t>
      </w:r>
    </w:p>
    <w:p>
      <w:pPr>
        <w:pStyle w:val="ListBullet"/>
      </w:pPr>
      <w:r>
        <w:t>number of activated institutional anchors;</w:t>
      </w:r>
    </w:p>
    <w:p>
      <w:pPr>
        <w:pStyle w:val="ListBullet"/>
      </w:pPr>
      <w:r>
        <w:t>number of dense networks, not empty networks;</w:t>
      </w:r>
    </w:p>
    <w:p>
      <w:pPr>
        <w:pStyle w:val="ListBullet"/>
      </w:pPr>
      <w:r>
        <w:t>affiliated network clusters;</w:t>
      </w:r>
    </w:p>
    <w:p>
      <w:pPr>
        <w:pStyle w:val="ListBullet"/>
      </w:pPr>
      <w:r>
        <w:t>successful cross-network outcomes;</w:t>
      </w:r>
    </w:p>
    <w:p>
      <w:pPr>
        <w:pStyle w:val="ListBullet"/>
      </w:pPr>
      <w:r>
        <w:t>repeat organizer referrals;</w:t>
      </w:r>
    </w:p>
    <w:p>
      <w:pPr>
        <w:pStyle w:val="ListBullet"/>
      </w:pPr>
      <w:r>
        <w:t>claim/verification density;</w:t>
      </w:r>
    </w:p>
    <w:p>
      <w:pPr>
        <w:pStyle w:val="ListBullet"/>
      </w:pPr>
      <w:r>
        <w:t>historical trust/outcome evidence;</w:t>
      </w:r>
    </w:p>
    <w:p>
      <w:pPr>
        <w:pStyle w:val="ListBullet"/>
      </w:pPr>
      <w:r>
        <w:t>cost and time to launch the next network.</w:t>
      </w:r>
    </w:p>
    <w:p>
      <w:pPr>
        <w:pStyle w:val="Heading1"/>
        <w:keepNext/>
        <w:spacing w:before="200" w:after="80"/>
      </w:pPr>
      <w:r>
        <w:t>10. Anti-cloning principle</w:t>
      </w:r>
    </w:p>
    <w:p>
      <w:r>
        <w:t>For each future mission ask:</w:t>
      </w:r>
    </w:p>
    <w:p>
      <w:pPr>
        <w:spacing w:before="120" w:after="120"/>
        <w:ind w:left="360"/>
      </w:pPr>
      <w:r>
        <w:rPr>
          <w:b/>
          <w:i/>
        </w:rPr>
        <w:t>If a well-funded competitor copied every visible screen six months from now, what would they still not possess?</w:t>
      </w:r>
    </w:p>
    <w:p>
      <w:r>
        <w:t>Strong answers include:</w:t>
      </w:r>
    </w:p>
    <w:p>
      <w:pPr>
        <w:pStyle w:val="ListBullet"/>
      </w:pPr>
      <w:r>
        <w:t>governed network density;</w:t>
      </w:r>
    </w:p>
    <w:p>
      <w:pPr>
        <w:pStyle w:val="ListBullet"/>
      </w:pPr>
      <w:r>
        <w:t>verified affiliations;</w:t>
      </w:r>
    </w:p>
    <w:p>
      <w:pPr>
        <w:pStyle w:val="ListBullet"/>
      </w:pPr>
      <w:r>
        <w:t>outcome history;</w:t>
      </w:r>
    </w:p>
    <w:p>
      <w:pPr>
        <w:pStyle w:val="ListBullet"/>
      </w:pPr>
      <w:r>
        <w:t>institutional relationships;</w:t>
      </w:r>
    </w:p>
    <w:p>
      <w:pPr>
        <w:pStyle w:val="ListBullet"/>
      </w:pPr>
      <w:r>
        <w:t>patented mechanisms;</w:t>
      </w:r>
    </w:p>
    <w:p>
      <w:pPr>
        <w:pStyle w:val="ListBullet"/>
      </w:pPr>
      <w:r>
        <w:t>trade-secret routing/anti-abuse logic;</w:t>
      </w:r>
    </w:p>
    <w:p>
      <w:pPr>
        <w:pStyle w:val="ListBullet"/>
      </w:pPr>
      <w:r>
        <w:t>migration/integration depth;</w:t>
      </w:r>
    </w:p>
    <w:p>
      <w:pPr>
        <w:pStyle w:val="ListBullet"/>
      </w:pPr>
      <w:r>
        <w:t>recognizable trust vocabulary and brand;</w:t>
      </w:r>
    </w:p>
    <w:p>
      <w:pPr>
        <w:pStyle w:val="ListBullet"/>
      </w:pPr>
      <w:r>
        <w:t>operational launch playbooks.</w:t>
      </w:r>
    </w:p>
    <w:p>
      <w:r>
        <w:t>If the answer is only "our code is better," the moat is insufficient.</w:t>
      </w:r>
    </w:p>
    <w:p>
      <w:pPr>
        <w:pStyle w:val="Heading1"/>
        <w:keepNext/>
        <w:spacing w:before="200" w:after="80"/>
      </w:pPr>
      <w:r>
        <w:t>11. Strategic posture toward large technical institutions</w:t>
      </w:r>
    </w:p>
    <w:p>
      <w:r>
        <w:t>Do not avoid technically sophisticated institutions forever, but sequence the market intelligently.</w:t>
      </w:r>
    </w:p>
    <w:p>
      <w:r>
        <w:t>Early stages should favor ecosystems where:</w:t>
      </w:r>
    </w:p>
    <w:p>
      <w:pPr>
        <w:pStyle w:val="ListBullet"/>
      </w:pPr>
      <w:r>
        <w:t>the pain is real;</w:t>
      </w:r>
    </w:p>
    <w:p>
      <w:pPr>
        <w:pStyle w:val="ListBullet"/>
      </w:pPr>
      <w:r>
        <w:t>current processes are spreadsheet/WhatsApp/manual-directory heavy;</w:t>
      </w:r>
    </w:p>
    <w:p>
      <w:pPr>
        <w:pStyle w:val="ListBullet"/>
      </w:pPr>
      <w:r>
        <w:t>the institution has trusted leadership;</w:t>
      </w:r>
    </w:p>
    <w:p>
      <w:pPr>
        <w:pStyle w:val="ListBullet"/>
      </w:pPr>
      <w:r>
        <w:t>there is no strong internal product team;</w:t>
      </w:r>
    </w:p>
    <w:p>
      <w:pPr>
        <w:pStyle w:val="ListBullet"/>
      </w:pPr>
      <w:r>
        <w:t>onboarding can happen quickly;</w:t>
      </w:r>
    </w:p>
    <w:p>
      <w:pPr>
        <w:pStyle w:val="ListBullet"/>
      </w:pPr>
      <w:r>
        <w:t>TrustWeave can become embedded before build-vs-buy becomes an active debate.</w:t>
      </w:r>
    </w:p>
    <w:p>
      <w:r>
        <w:t>Later, evidence from these deployments becomes the credibility required to approach larger technical institutions from a position of strength rather than as an unproven idea.</w:t>
      </w:r>
    </w:p>
    <w:p>
      <w:pPr>
        <w:pStyle w:val="Heading1"/>
        <w:keepNext/>
        <w:spacing w:before="200" w:after="80"/>
      </w:pPr>
      <w:r>
        <w:t>12. Founder guardrails</w:t>
      </w:r>
    </w:p>
    <w:p>
      <w:pPr>
        <w:pStyle w:val="ListBullet"/>
      </w:pPr>
      <w:r>
        <w:rPr>
          <w:b/>
        </w:rPr>
        <w:t>Stealth is not secrecy from users.</w:t>
      </w:r>
      <w:r>
        <w:t xml:space="preserve"> Privacy, permissions and product behavior must remain transparent.</w:t>
      </w:r>
    </w:p>
    <w:p>
      <w:pPr>
        <w:pStyle w:val="ListBullet"/>
      </w:pPr>
      <w:r>
        <w:rPr>
          <w:b/>
        </w:rPr>
        <w:t>Do not use artificial lock-in.</w:t>
      </w:r>
      <w:r>
        <w:t xml:space="preserve"> Switching cost should come from accumulated value, not hostage data or export obstruction.</w:t>
      </w:r>
    </w:p>
    <w:p>
      <w:pPr>
        <w:pStyle w:val="ListBullet"/>
      </w:pPr>
      <w:r>
        <w:rPr>
          <w:b/>
        </w:rPr>
        <w:t>Do not over-patent weak ideas.</w:t>
      </w:r>
      <w:r>
        <w:t xml:space="preserve"> Patent budget belongs to technically meaningful, commercially important mechanisms.</w:t>
      </w:r>
    </w:p>
    <w:p>
      <w:pPr>
        <w:pStyle w:val="ListBullet"/>
      </w:pPr>
      <w:r>
        <w:rPr>
          <w:b/>
        </w:rPr>
        <w:t>Do not wait for perfect protection before acquiring users.</w:t>
      </w:r>
      <w:r>
        <w:t xml:space="preserve"> File/protect strategically, then execute faster.</w:t>
      </w:r>
    </w:p>
    <w:p>
      <w:pPr>
        <w:pStyle w:val="ListBullet"/>
      </w:pPr>
      <w:r>
        <w:rPr>
          <w:b/>
        </w:rPr>
        <w:t>Do not expose private network data to manufacture growth.</w:t>
      </w:r>
      <w:r>
        <w:t xml:space="preserve"> Trust erosion destroys the very moat being built.</w:t>
      </w:r>
    </w:p>
    <w:p>
      <w:pPr>
        <w:pStyle w:val="ListBullet"/>
      </w:pPr>
      <w:r>
        <w:rPr>
          <w:b/>
        </w:rPr>
        <w:t>Do not chase every vertical.</w:t>
      </w:r>
      <w:r>
        <w:t xml:space="preserve"> Expand where shared architecture plus distribution gives leverage.</w:t>
      </w:r>
    </w:p>
    <w:p>
      <w:pPr>
        <w:pStyle w:val="ListBullet"/>
      </w:pPr>
      <w:r>
        <w:rPr>
          <w:b/>
        </w:rPr>
        <w:t>Do not confuse quiet expansion with lack of measurement.</w:t>
      </w:r>
      <w:r>
        <w:t xml:space="preserve"> Every seeded network must generate evidence.</w:t>
      </w:r>
    </w:p>
    <w:p>
      <w:pPr>
        <w:pStyle w:val="Heading1"/>
        <w:keepNext/>
        <w:spacing w:before="200" w:after="80"/>
      </w:pPr>
      <w:r>
        <w:t>13. Founder north star</w:t>
      </w:r>
    </w:p>
    <w:p>
      <w:pPr>
        <w:spacing w:before="120" w:after="120"/>
        <w:ind w:left="360"/>
      </w:pPr>
      <w:r>
        <w:rPr>
          <w:b/>
          <w:i/>
        </w:rPr>
        <w:t>Quietly become the trusted infrastructure underneath real-world networks before the market understands that trusted networks themselves can be an interoperable platform.</w:t>
      </w:r>
    </w:p>
    <w:p>
      <w:r>
        <w:t>The objective is not to prevent every competitor from entering. That is impossible.</w:t>
      </w:r>
    </w:p>
    <w:p>
      <w:r>
        <w:t xml:space="preserve">The objective is to make entry unattractive because TrustWeave already owns the hardest-to-recreate assets: </w:t>
      </w:r>
      <w:r>
        <w:rPr>
          <w:b/>
        </w:rPr>
        <w:t>dense governed networks, institutional trust, purpose-scoped consent, provenance, successful outcome history and selectively protected technical mechanisms.</w:t>
      </w:r>
    </w:p>
    <w:p>
      <w:r>
        <w:br w:type="page"/>
      </w:r>
    </w:p>
    <w:p>
      <w:pPr>
        <w:pStyle w:val="Title"/>
      </w:pPr>
      <w:r>
        <w:t>HIGH IMPORTANCE — Stealth-to-Scale Launch Doctrine</w:t>
      </w:r>
    </w:p>
    <w:p>
      <w:r>
        <w:t>Binding founder strategy · 29 August 2026</w:t>
      </w:r>
    </w:p>
    <w:p>
      <w:r>
        <w:rPr>
          <w:b w:val="0"/>
        </w:rPr>
        <w:t>This is binding founder strategy, not an optional marketing idea.</w:t>
      </w:r>
    </w:p>
    <w:p>
      <w:pPr>
        <w:pStyle w:val="Heading1"/>
      </w:pPr>
      <w:r>
        <w:t>Core operating model</w:t>
      </w:r>
    </w:p>
    <w:p>
      <w:r>
        <w:rPr>
          <w:b w:val="0"/>
        </w:rPr>
        <w:t>TrustWeave should initially reveal only the immediately useful tip of the platform while quietly accumulating the harder-to-copy asset underneath: governed networks, institutional relationships, verified provenance, opt-in scopes and successful outcomes.</w:t>
      </w:r>
    </w:p>
    <w:p>
      <w:r>
        <w:rPr>
          <w:b w:val="0"/>
        </w:rPr>
      </w:r>
      <w:r>
        <w:rPr>
          <w:b/>
        </w:rPr>
        <w:t>Do not launch the full network-effect thesis before the network exists.</w:t>
      </w:r>
      <w:r>
        <w:rPr>
          <w:b w:val="0"/>
        </w:rPr>
        <w:t xml:space="preserve"> Early positioning may remain simple: help a family, alumni group, association, business group or other institution create a useful private digital network. The deeper federation/trust-routing architecture remains low-profile until density and proof justify a loud reveal.</w:t>
      </w:r>
    </w:p>
    <w:p>
      <w:pPr>
        <w:pStyle w:val="Heading1"/>
      </w:pPr>
      <w:r>
        <w:t>Two-engine founder strategy</w:t>
      </w:r>
    </w:p>
    <w:p>
      <w:r>
        <w:rPr>
          <w:b w:val="0"/>
        </w:rPr>
        <w:t xml:space="preserve">1. </w:t>
      </w:r>
      <w:r>
        <w:rPr>
          <w:b/>
        </w:rPr>
        <w:t>Quiet asset engine — TrustWeave:</w:t>
      </w:r>
      <w:r>
        <w:rPr>
          <w:b w:val="0"/>
        </w:rPr>
        <w:t xml:space="preserve"> seed technically underserved institutions, make onboarding extremely fast, build dense governed networks, then use umbrella/federation anchors to activate many child networks.</w:t>
      </w:r>
    </w:p>
    <w:p>
      <w:r>
        <w:rPr>
          <w:b w:val="0"/>
        </w:rPr>
        <w:t xml:space="preserve">2. </w:t>
      </w:r>
      <w:r>
        <w:rPr>
          <w:b/>
        </w:rPr>
        <w:t>Public attention engine — selected standalone products:</w:t>
      </w:r>
      <w:r>
        <w:rPr>
          <w:b w:val="0"/>
        </w:rPr>
        <w:t xml:space="preserve"> launch a small number of polished products such as Movie / Consumer Taste Intelligence or other strong AI utilities to build founder credibility, audience, distribution and execution proof without disclosing the TrustWeave strategic map.</w:t>
      </w:r>
    </w:p>
    <w:p>
      <w:r>
        <w:rPr>
          <w:b w:val="0"/>
        </w:rPr>
        <w:t xml:space="preserve">Side products must not become product sprawl. Default founder-effort ceiling: </w:t>
      </w:r>
      <w:r>
        <w:rPr>
          <w:b/>
        </w:rPr>
        <w:t>20–25%</w:t>
      </w:r>
      <w:r>
        <w:rPr>
          <w:b w:val="0"/>
        </w:rPr>
        <w:t xml:space="preserve"> unless a satellite product independently breaks out.</w:t>
      </w:r>
    </w:p>
    <w:p>
      <w:pPr>
        <w:pStyle w:val="Heading1"/>
      </w:pPr>
      <w:r>
        <w:t>Network onboarding must become a moat</w:t>
      </w:r>
    </w:p>
    <w:p>
      <w:r>
        <w:rPr>
          <w:b w:val="0"/>
        </w:rPr>
        <w:t>Target experience: messy spreadsheet / directory / records → normalization and safe import → usable network → invitations/claiming → member enrichment, with dramatically less organizer work than rebuilding data manually.</w:t>
      </w:r>
    </w:p>
    <w:p>
      <w:r>
        <w:rPr>
          <w:b w:val="0"/>
        </w:rPr>
        <w:t xml:space="preserve">The acquisition target is not merely a large institution. Score </w:t>
      </w:r>
      <w:r>
        <w:rPr>
          <w:b/>
        </w:rPr>
        <w:t>Network Multiplication Potential</w:t>
      </w:r>
      <w:r>
        <w:rPr>
          <w:b w:val="0"/>
        </w:rPr>
        <w:t>: how many additional governed networks can this organizer or umbrella activate after the first successful launch?</w:t>
      </w:r>
    </w:p>
    <w:p>
      <w:pPr>
        <w:pStyle w:val="Heading1"/>
      </w:pPr>
      <w:r>
        <w:t>Three clocks</w:t>
      </w:r>
    </w:p>
    <w:p>
      <w:pPr>
        <w:pStyle w:val="ListBullet"/>
      </w:pPr>
      <w:r>
        <w:t>**Product clock:** keep improving immediate network utility.</w:t>
      </w:r>
    </w:p>
    <w:p>
      <w:pPr>
        <w:pStyle w:val="ListBullet"/>
      </w:pPr>
      <w:r>
        <w:t>**Density clock:** quietly accumulate networks, relationships and institutional adoption.</w:t>
      </w:r>
    </w:p>
    <w:p>
      <w:pPr>
        <w:pStyle w:val="ListBullet"/>
      </w:pPr>
      <w:r>
        <w:t>**Attention clock:** build public credibility through selected products/content, but do not aggressively expose the complete TrustWeave thesis before density matures.</w:t>
      </w:r>
    </w:p>
    <w:p>
      <w:r>
        <w:rPr>
          <w:b w:val="0"/>
        </w:rPr>
        <w:t>The loud launch begins when Product × Density × Attention converge.</w:t>
      </w:r>
    </w:p>
    <w:p>
      <w:pPr>
        <w:pStyle w:val="Heading1"/>
      </w:pPr>
      <w:r>
        <w:t>Reveal Gate</w:t>
      </w:r>
    </w:p>
    <w:p>
      <w:r>
        <w:rPr>
          <w:b w:val="0"/>
        </w:rPr>
        <w:t>Do not use calendar time as the primary trigger. Consider a loud TrustWeave reveal when there is meaningful evidence across several of these: network density, participating identities, independent institutions, cross-vertical proof, real umbrella/federation proof, repeated usage, real outcomes, reviewed/filed IP where appropriate, and production readiness for rapid growth.</w:t>
      </w:r>
    </w:p>
    <w:p>
      <w:r>
        <w:rPr>
          <w:b w:val="0"/>
        </w:rPr>
        <w:t>Reveal progressively rather than spending the entire narrative at once:</w:t>
      </w:r>
    </w:p>
    <w:p>
      <w:r>
        <w:rPr>
          <w:b w:val="0"/>
        </w:rPr>
        <w:t>1. Private Network OS.</w:t>
      </w:r>
    </w:p>
    <w:p>
      <w:r>
        <w:rPr>
          <w:b w:val="0"/>
        </w:rPr>
        <w:t>2. Trusted multi-network identity.</w:t>
      </w:r>
    </w:p>
    <w:p>
      <w:r>
        <w:rPr>
          <w:b w:val="0"/>
        </w:rPr>
        <w:t>3. Governed federation.</w:t>
      </w:r>
    </w:p>
    <w:p>
      <w:r>
        <w:rPr>
          <w:b w:val="0"/>
        </w:rPr>
        <w:t>4. Privacy-safe trusted discovery.</w:t>
      </w:r>
    </w:p>
    <w:p>
      <w:r>
        <w:rPr>
          <w:b w:val="0"/>
        </w:rPr>
        <w:t>5. Trust routing / request routing.</w:t>
      </w:r>
    </w:p>
    <w:p>
      <w:r>
        <w:rPr>
          <w:b w:val="0"/>
        </w:rPr>
        <w:t>6. Purpose-specific applications.</w:t>
      </w:r>
    </w:p>
    <w:p>
      <w:pPr>
        <w:pStyle w:val="Heading1"/>
      </w:pPr>
      <w:r>
        <w:t>Public disclosure rule</w:t>
      </w:r>
    </w:p>
    <w:p>
      <w:r>
        <w:rPr>
          <w:b w:val="0"/>
        </w:rPr>
        <w:t>Publicly demonstrate value and outcomes. Do not unnecessarily publish the full acquisition sequence, patent-candidate mechanisms, ranking/scoring internals, anti-abuse logic, institutional target playbook or unreleased application roadmap.</w:t>
      </w:r>
    </w:p>
    <w:p>
      <w:r>
        <w:rPr>
          <w:b w:val="0"/>
        </w:rPr>
      </w:r>
      <w:r>
        <w:rPr>
          <w:b/>
        </w:rPr>
        <w:t>Founder principle:</w:t>
      </w:r>
      <w:r>
        <w:rPr>
          <w:b w:val="0"/>
        </w:rPr>
        <w:t xml:space="preserve"> Quietly become first. Publicly become obvious later.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TrustWeave • Founder IP Defense &amp; Expansion Strategy • 2026-08-29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