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t xml:space="preserve">is an extension of C programming language. It has its roots in the C family of languages and will be immediately familiar to C, C++ </w:t>
      </w:r>
      <w:r>
        <w:rPr>
          <w:rFonts w:hint="eastAsia"/>
        </w:rPr>
        <w:t xml:space="preserve">and </w:t>
      </w:r>
      <w:r>
        <w:t>Java programmers. C0 is a</w:t>
      </w:r>
      <w:r w:rsidR="00354DA2">
        <w:t xml:space="preserve"> </w:t>
      </w:r>
      <w:r>
        <w:t xml:space="preserve">procedure-oriented language, with low-level capabilities and language-level support of parallelism on L0.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100 runners, each runner adds up 100 elements. </w:t>
      </w:r>
      <w:r w:rsidR="00333BC4">
        <w:t xml:space="preserve">A </w:t>
      </w:r>
      <w:r w:rsidR="005E27C0">
        <w:t>r</w:t>
      </w:r>
      <w:r>
        <w:t>unner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A program 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Note: The key words add yellow are not supported currently.</w:t>
      </w:r>
    </w:p>
    <w:tbl>
      <w:tblPr>
        <w:tblW w:w="4049" w:type="dxa"/>
        <w:tblInd w:w="93" w:type="dxa"/>
        <w:tblLayout w:type="fixed"/>
        <w:tblLook w:val="0000"/>
      </w:tblPr>
      <w:tblGrid>
        <w:gridCol w:w="960"/>
        <w:gridCol w:w="1054"/>
        <w:gridCol w:w="866"/>
        <w:gridCol w:w="1169"/>
      </w:tblGrid>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struct</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switch</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lastRenderedPageBreak/>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B0A00">
            <w:pPr>
              <w:spacing w:after="0"/>
              <w:rPr>
                <w:rFonts w:eastAsia="Times New Roman" w:cs="Calibri"/>
                <w:color w:val="000000"/>
                <w:szCs w:val="18"/>
                <w:highlight w:val="yellow"/>
              </w:rPr>
            </w:pPr>
            <w:r w:rsidRPr="00AB0A00">
              <w:rPr>
                <w:rFonts w:eastAsia="Times New Roman" w:cs="Calibri"/>
                <w:color w:val="000000"/>
                <w:szCs w:val="18"/>
              </w:rPr>
              <w:t>standalone</w:t>
            </w:r>
          </w:p>
        </w:tc>
      </w:tr>
    </w:tbl>
    <w:p w:rsidR="00A23365" w:rsidRDefault="00A23365"/>
    <w:p w:rsidR="00A23365" w:rsidRDefault="00922CB4">
      <w:pPr>
        <w:pStyle w:val="Heading1"/>
      </w:pPr>
      <w:r>
        <w:t>Types</w:t>
      </w:r>
    </w:p>
    <w:p w:rsidR="00A23365" w:rsidRDefault="00922CB4">
      <w:pPr>
        <w:rPr>
          <w:b/>
        </w:rPr>
      </w:pPr>
      <w:r>
        <w:t xml:space="preserve">There are kinds of types in C0: </w:t>
      </w:r>
      <w:r>
        <w:rPr>
          <w:b/>
        </w:rPr>
        <w:t>simple types</w:t>
      </w:r>
      <w:r>
        <w:t xml:space="preserve">, </w:t>
      </w:r>
      <w:r>
        <w:rPr>
          <w:b/>
        </w:rPr>
        <w:t>structtypes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4779E5">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4779E5">
        <w:fldChar w:fldCharType="begin"/>
      </w:r>
      <w:r>
        <w:instrText xml:space="preserve"> SEQ Table \* ARABIC </w:instrText>
      </w:r>
      <w:r w:rsidR="004779E5">
        <w:fldChar w:fldCharType="separate"/>
      </w:r>
      <w:r>
        <w:t>1</w:t>
      </w:r>
      <w:r w:rsidR="004779E5">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Default="00922CB4">
            <w:pPr>
              <w:spacing w:after="0"/>
              <w:jc w:val="left"/>
              <w:rPr>
                <w:highlight w:val="yellow"/>
              </w:rPr>
            </w:pPr>
            <w:r>
              <w:t>32</w:t>
            </w:r>
          </w:p>
        </w:tc>
        <w:tc>
          <w:tcPr>
            <w:tcW w:w="1418" w:type="dxa"/>
            <w:vAlign w:val="center"/>
          </w:tcPr>
          <w:p w:rsidR="00A23365" w:rsidRDefault="00922CB4">
            <w:pPr>
              <w:spacing w:after="0"/>
              <w:jc w:val="left"/>
              <w:rPr>
                <w:b/>
              </w:rPr>
            </w:pPr>
            <w:r>
              <w:rPr>
                <w:b/>
              </w:rPr>
              <w:t>bool</w:t>
            </w:r>
          </w:p>
        </w:tc>
        <w:tc>
          <w:tcPr>
            <w:tcW w:w="4677" w:type="dxa"/>
            <w:vAlign w:val="center"/>
          </w:tcPr>
          <w:p w:rsidR="00A23365" w:rsidRDefault="00922CB4">
            <w:pPr>
              <w:spacing w:after="0"/>
              <w:jc w:val="left"/>
            </w:pPr>
            <w:r>
              <w:rPr>
                <w:b/>
              </w:rPr>
              <w:t>true</w:t>
            </w:r>
            <w:r>
              <w:t xml:space="preserve"> or </w:t>
            </w:r>
            <w:r>
              <w:rPr>
                <w:b/>
              </w:rPr>
              <w:t>false</w:t>
            </w:r>
          </w:p>
        </w:tc>
      </w:tr>
      <w:tr w:rsidR="00A23365">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int</w:t>
            </w:r>
          </w:p>
        </w:tc>
        <w:tc>
          <w:tcPr>
            <w:tcW w:w="4677" w:type="dxa"/>
            <w:vAlign w:val="center"/>
          </w:tcPr>
          <w:p w:rsidR="00A23365" w:rsidRDefault="00922CB4">
            <w:pPr>
              <w:spacing w:after="0"/>
              <w:jc w:val="left"/>
            </w:pPr>
            <w:r>
              <w:t>–2,147,483,648...2,147,483,647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unsigned  int</w:t>
            </w:r>
          </w:p>
        </w:tc>
        <w:tc>
          <w:tcPr>
            <w:tcW w:w="4677" w:type="dxa"/>
            <w:vAlign w:val="center"/>
          </w:tcPr>
          <w:p w:rsidR="00A23365" w:rsidRDefault="00922CB4">
            <w:pPr>
              <w:spacing w:after="0"/>
              <w:jc w:val="left"/>
            </w:pPr>
            <w:r>
              <w:t>0...4,294,967,295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rPr>
          <w:cantSplit/>
        </w:trPr>
        <w:tc>
          <w:tcPr>
            <w:tcW w:w="1024" w:type="dxa"/>
            <w:vMerge w:val="restart"/>
            <w:vAlign w:val="center"/>
          </w:tcPr>
          <w:p w:rsidR="00A23365" w:rsidRDefault="00922CB4">
            <w:pPr>
              <w:spacing w:after="0"/>
              <w:jc w:val="left"/>
              <w:rPr>
                <w:highlight w:val="yellow"/>
              </w:rPr>
            </w:pPr>
            <w:r>
              <w:rPr>
                <w:highlight w:val="yellow"/>
              </w:rPr>
              <w:t>float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Default="00922CB4">
            <w:pPr>
              <w:spacing w:after="0"/>
              <w:jc w:val="left"/>
              <w:rPr>
                <w:highlight w:val="yellow"/>
              </w:rPr>
            </w:pPr>
            <w:r>
              <w:rPr>
                <w:highlight w:val="yellow"/>
              </w:rPr>
              <w:t>64</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5.0 × 10−324 to 1.7 × 10308, 15-digit precision</w:t>
            </w:r>
          </w:p>
        </w:tc>
      </w:tr>
    </w:tbl>
    <w:p w:rsidR="00A23365" w:rsidRDefault="00922CB4">
      <w:pPr>
        <w:jc w:val="center"/>
      </w:pPr>
      <w:r>
        <w:t>*: Not supported in current version of C0, due to lack of instruction level support of L0</w:t>
      </w:r>
    </w:p>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The union types are similar to structure types. But 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lastRenderedPageBreak/>
        <w:t>Array types</w:t>
      </w:r>
    </w:p>
    <w:p w:rsidR="00A23365" w:rsidRDefault="00922CB4">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called the element type of the array. We use </w:t>
      </w:r>
      <w:r>
        <w:rPr>
          <w:b/>
        </w:rPr>
        <w:t>array[index]</w:t>
      </w:r>
      <w:r>
        <w:t xml:space="preserve"> to access the elements of an array. The indices of the elements of an array range from 0 to Length - 1. </w:t>
      </w:r>
    </w:p>
    <w:p w:rsidR="00A23365" w:rsidRDefault="00922CB4">
      <w:pPr>
        <w:pStyle w:val="Heading2"/>
      </w:pPr>
      <w:r>
        <w:t>Array segment</w:t>
      </w:r>
    </w:p>
    <w:p w:rsidR="00A23365" w:rsidRDefault="00922CB4">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rsidR="002E23F9" w:rsidRDefault="002E23F9" w:rsidP="002E23F9">
      <w:pPr>
        <w:pStyle w:val="Heading2"/>
      </w:pPr>
      <w:r>
        <w:t>Standalone</w:t>
      </w:r>
    </w:p>
    <w:p w:rsidR="002E23F9" w:rsidRDefault="002E23F9" w:rsidP="00274A5B">
      <w:pPr>
        <w:spacing w:beforeLines="50"/>
      </w:pPr>
      <w:r>
        <w:rPr>
          <w:rFonts w:hint="eastAsia"/>
        </w:rPr>
        <w:t>standalone is a special keyword of c0. It is for global variable</w:t>
      </w:r>
      <w:r>
        <w:t>s</w:t>
      </w:r>
      <w:r>
        <w:rPr>
          <w:rFonts w:hint="eastAsia"/>
        </w:rPr>
        <w:t xml:space="preserve"> which </w:t>
      </w:r>
      <w:r>
        <w:t>are</w:t>
      </w:r>
      <w:r>
        <w:rPr>
          <w:rFonts w:hint="eastAsia"/>
        </w:rPr>
        <w:t xml:space="preserve"> in</w:t>
      </w:r>
      <w:r>
        <w:t xml:space="preserve"> the</w:t>
      </w:r>
      <w:r>
        <w:rPr>
          <w:rFonts w:hint="eastAsia"/>
        </w:rPr>
        <w:t xml:space="preserve"> </w:t>
      </w:r>
      <w:r>
        <w:t>S</w:t>
      </w:r>
      <w:r>
        <w:rPr>
          <w:rFonts w:hint="eastAsia"/>
        </w:rPr>
        <w:t>hared</w:t>
      </w:r>
      <w:r>
        <w:t xml:space="preserve"> R</w:t>
      </w:r>
      <w:r>
        <w:rPr>
          <w:rFonts w:hint="eastAsia"/>
        </w:rPr>
        <w:t>egion</w:t>
      </w:r>
      <w:r>
        <w:t xml:space="preserve"> (SR)</w:t>
      </w:r>
      <w:r>
        <w:rPr>
          <w:rFonts w:hint="eastAsia"/>
        </w:rPr>
        <w:t xml:space="preserve">. When a global variable is standalone, it always monopolizes </w:t>
      </w:r>
      <w:r>
        <w:t>one or many memory</w:t>
      </w:r>
      <w:r>
        <w:rPr>
          <w:rFonts w:hint="eastAsia"/>
        </w:rPr>
        <w:t xml:space="preserve"> page</w:t>
      </w:r>
      <w:r>
        <w:t>s</w:t>
      </w:r>
      <w:r>
        <w:rPr>
          <w:rFonts w:hint="eastAsia"/>
        </w:rPr>
        <w:t xml:space="preserve">. The main purpose of using standalone is to reduce commit conflict among different global variables, since </w:t>
      </w:r>
      <w:r>
        <w:t xml:space="preserve">the basic </w:t>
      </w:r>
      <w:r>
        <w:rPr>
          <w:rFonts w:hint="eastAsia"/>
        </w:rPr>
        <w:t>unit of</w:t>
      </w:r>
      <w:r>
        <w:t xml:space="preserve"> memory space management</w:t>
      </w:r>
      <w:r>
        <w:rPr>
          <w:rFonts w:hint="eastAsia"/>
        </w:rPr>
        <w:t xml:space="preserve"> is</w:t>
      </w:r>
      <w:r>
        <w:t xml:space="preserve"> a</w:t>
      </w:r>
      <w:r>
        <w:rPr>
          <w:rFonts w:hint="eastAsia"/>
        </w:rPr>
        <w:t xml:space="preserve"> page.</w:t>
      </w:r>
    </w:p>
    <w:tbl>
      <w:tblPr>
        <w:tblW w:w="0" w:type="auto"/>
        <w:tblInd w:w="108" w:type="dxa"/>
        <w:shd w:val="pct20" w:color="auto" w:fill="auto"/>
        <w:tblLook w:val="04A0"/>
      </w:tblPr>
      <w:tblGrid>
        <w:gridCol w:w="8414"/>
      </w:tblGrid>
      <w:tr w:rsidR="002E23F9" w:rsidTr="002E23F9">
        <w:tc>
          <w:tcPr>
            <w:tcW w:w="8414" w:type="dxa"/>
            <w:shd w:val="pct20" w:color="auto" w:fill="auto"/>
          </w:tcPr>
          <w:p w:rsidR="002E23F9" w:rsidRDefault="002E23F9" w:rsidP="002E23F9">
            <w:r>
              <w:rPr>
                <w:color w:val="0000FF"/>
              </w:rPr>
              <w:t>standalone</w:t>
            </w:r>
            <w:r>
              <w:t xml:space="preserve"> long a;</w:t>
            </w:r>
          </w:p>
          <w:p w:rsidR="002E23F9" w:rsidRDefault="002E23F9" w:rsidP="002E23F9">
            <w:r>
              <w:rPr>
                <w:color w:val="0000FF"/>
              </w:rPr>
              <w:t>standalone</w:t>
            </w:r>
            <w:r>
              <w:t xml:space="preserve"> long b;</w:t>
            </w:r>
          </w:p>
        </w:tc>
      </w:tr>
    </w:tbl>
    <w:p w:rsidR="002E23F9" w:rsidRDefault="002E23F9" w:rsidP="00274A5B">
      <w:pPr>
        <w:spacing w:beforeLines="50"/>
      </w:pPr>
      <w:r>
        <w:rPr>
          <w:rFonts w:hint="eastAsia"/>
        </w:rPr>
        <w:t>For</w:t>
      </w:r>
      <w:r>
        <w:t xml:space="preserve"> the</w:t>
      </w:r>
      <w:r>
        <w:rPr>
          <w:rFonts w:hint="eastAsia"/>
        </w:rPr>
        <w:t xml:space="preserve"> above example, if runner A modify a and runner B modify b, there will </w:t>
      </w:r>
      <w:r>
        <w:t xml:space="preserve">be </w:t>
      </w:r>
      <w:r>
        <w:rPr>
          <w:rFonts w:hint="eastAsia"/>
        </w:rPr>
        <w:t>no commit conflict.</w:t>
      </w:r>
    </w:p>
    <w:p w:rsidR="002E23F9" w:rsidRPr="002E23F9" w:rsidRDefault="002E23F9" w:rsidP="002E23F9"/>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A23365" w:rsidRDefault="004779E5">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4779E5">
        <w:fldChar w:fldCharType="begin"/>
      </w:r>
      <w:r>
        <w:instrText xml:space="preserve"> SEQ Table \* ARABIC </w:instrText>
      </w:r>
      <w:r w:rsidR="004779E5">
        <w:fldChar w:fldCharType="separate"/>
      </w:r>
      <w:r>
        <w:t>2</w:t>
      </w:r>
      <w:r w:rsidR="004779E5">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c>
          <w:tcPr>
            <w:tcW w:w="1908" w:type="dxa"/>
          </w:tcPr>
          <w:p w:rsidR="00A23365" w:rsidRDefault="00922CB4">
            <w:pPr>
              <w:spacing w:after="0"/>
            </w:pPr>
            <w:r>
              <w:t>Logical AND</w:t>
            </w:r>
          </w:p>
        </w:tc>
        <w:tc>
          <w:tcPr>
            <w:tcW w:w="2070" w:type="dxa"/>
          </w:tcPr>
          <w:p w:rsidR="00A23365" w:rsidRDefault="00922CB4">
            <w:pPr>
              <w:spacing w:after="0"/>
            </w:pPr>
            <w:r>
              <w:rPr>
                <w:highlight w:val="yellow"/>
              </w:rPr>
              <w:t>x &amp; y</w:t>
            </w:r>
          </w:p>
        </w:tc>
        <w:tc>
          <w:tcPr>
            <w:tcW w:w="4950" w:type="dxa"/>
          </w:tcPr>
          <w:p w:rsidR="00A23365" w:rsidRDefault="00922CB4">
            <w:pPr>
              <w:spacing w:after="0"/>
            </w:pPr>
            <w:r>
              <w:t xml:space="preserve">Integer bitwise AND, </w:t>
            </w:r>
          </w:p>
        </w:tc>
      </w:tr>
      <w:tr w:rsidR="00A23365">
        <w:tc>
          <w:tcPr>
            <w:tcW w:w="1908" w:type="dxa"/>
          </w:tcPr>
          <w:p w:rsidR="00A23365" w:rsidRDefault="00922CB4">
            <w:pPr>
              <w:spacing w:after="0"/>
            </w:pPr>
            <w:r>
              <w:t>Logical XOR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 xml:space="preserve">Integer bitwise XOR, </w:t>
            </w:r>
          </w:p>
        </w:tc>
      </w:tr>
      <w:tr w:rsidR="00A23365">
        <w:tc>
          <w:tcPr>
            <w:tcW w:w="1908" w:type="dxa"/>
          </w:tcPr>
          <w:p w:rsidR="00A23365" w:rsidRDefault="00922CB4">
            <w:pPr>
              <w:spacing w:after="0"/>
            </w:pPr>
            <w:r>
              <w:t>Logical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Integer bitwise OR</w:t>
            </w:r>
          </w:p>
        </w:tc>
      </w:tr>
      <w:tr w:rsidR="00A23365">
        <w:tc>
          <w:tcPr>
            <w:tcW w:w="1908" w:type="dxa"/>
          </w:tcPr>
          <w:p w:rsidR="00A23365" w:rsidRDefault="00922CB4">
            <w:pPr>
              <w:spacing w:after="0"/>
            </w:pPr>
            <w:r>
              <w:t>Conditional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c>
          <w:tcPr>
            <w:tcW w:w="1908" w:type="dxa"/>
          </w:tcPr>
          <w:p w:rsidR="00A23365" w:rsidRDefault="00922CB4">
            <w:pPr>
              <w:spacing w:after="0"/>
            </w:pPr>
            <w:r>
              <w:t>Conditional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Evaluates y if x is true, z if x is false</w:t>
            </w:r>
          </w:p>
        </w:tc>
      </w:tr>
      <w:tr w:rsidR="00A23365">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 xml:space="preserve">x </w:t>
            </w:r>
            <w:r>
              <w:rPr>
                <w:b/>
                <w:i/>
              </w:rPr>
              <w:t>op</w:t>
            </w:r>
            <w:r>
              <w:t>= y</w:t>
            </w:r>
          </w:p>
        </w:tc>
        <w:tc>
          <w:tcPr>
            <w:tcW w:w="4950" w:type="dxa"/>
          </w:tcPr>
          <w:p w:rsidR="00A23365" w:rsidRDefault="00922CB4">
            <w:pPr>
              <w:spacing w:after="0"/>
            </w:pPr>
            <w:r>
              <w:t>Compound assignment; supported operators are</w:t>
            </w:r>
          </w:p>
          <w:p w:rsidR="00A23365" w:rsidRDefault="00922CB4" w:rsidP="00274A5B">
            <w:pPr>
              <w:spacing w:after="0"/>
              <w:rPr>
                <w:b/>
              </w:rPr>
            </w:pPr>
            <w:r>
              <w:rPr>
                <w:b/>
                <w:highlight w:val="yellow"/>
              </w:rPr>
              <w:t>*=</w:t>
            </w:r>
            <w:r w:rsidR="00274A5B">
              <w:rPr>
                <w:b/>
                <w:highlight w:val="yellow"/>
              </w:rPr>
              <w:t xml:space="preserve"> </w:t>
            </w:r>
            <w:r>
              <w:rPr>
                <w:b/>
                <w:highlight w:val="yellow"/>
              </w:rPr>
              <w:t xml:space="preserve"> /=</w:t>
            </w:r>
            <w:r w:rsidR="00274A5B">
              <w:rPr>
                <w:b/>
                <w:highlight w:val="yellow"/>
              </w:rPr>
              <w:t xml:space="preserve"> </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 xml:space="preserve"> -=</w:t>
            </w:r>
            <w:r w:rsidR="00274A5B" w:rsidRPr="00913BF8">
              <w:rPr>
                <w:b/>
                <w:highlight w:val="yellow"/>
              </w:rPr>
              <w:t xml:space="preserve">  </w:t>
            </w:r>
            <w:r>
              <w:rPr>
                <w:b/>
                <w:highlight w:val="yellow"/>
              </w:rPr>
              <w:t>&lt;&lt;=  &gt;&gt;=</w:t>
            </w:r>
            <w:r w:rsidR="00274A5B">
              <w:rPr>
                <w:b/>
                <w:highlight w:val="yellow"/>
              </w:rPr>
              <w:t xml:space="preserve">  </w:t>
            </w:r>
            <w:r>
              <w:rPr>
                <w:rFonts w:hint="eastAsia"/>
                <w:b/>
                <w:highlight w:val="yellow"/>
              </w:rPr>
              <w:t>&amp;</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Pr>
          <w:b/>
        </w:rPr>
        <w:t>}</w:t>
      </w:r>
      <w:r>
        <w:t>.</w:t>
      </w:r>
    </w:p>
    <w:p w:rsidR="00A23365" w:rsidRDefault="00922CB4">
      <w:r>
        <w:rPr>
          <w:b/>
        </w:rPr>
        <w:t>Declaration statements</w:t>
      </w:r>
      <w:r>
        <w:t xml:space="preserve"> are used to declare local variables and constants.</w:t>
      </w:r>
    </w:p>
    <w:p w:rsidR="00A23365" w:rsidRDefault="00922CB4">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922CB4">
      <w:pPr>
        <w:pStyle w:val="Heading2"/>
      </w:pPr>
      <w:r>
        <w:t>Define a runner</w:t>
      </w:r>
      <w:r>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 xml:space="preserve">The parameters can only be either 1) simple types, or 3) array segments, or 3) structure types whose fields meet the constraints of 1) or 3). </w:t>
      </w:r>
    </w:p>
    <w:p w:rsidR="00A23365" w:rsidRDefault="00922CB4">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lastRenderedPageBreak/>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for (i = 0; i &lt; 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runner 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lastRenderedPageBreak/>
              <w:t>}</w:t>
            </w:r>
          </w:p>
        </w:tc>
      </w:tr>
    </w:tbl>
    <w:p w:rsidR="00A23365" w:rsidRDefault="00A23365"/>
    <w:p w:rsidR="00A23365" w:rsidRDefault="00922CB4">
      <w:pPr>
        <w:pStyle w:val="Heading2"/>
      </w:pPr>
      <w:r>
        <w:t>Creating runners in another space</w:t>
      </w:r>
    </w:p>
    <w:p w:rsidR="00A23365" w:rsidRDefault="00922CB4">
      <w:r>
        <w:t xml:space="preserve">The memory space in i0 is separated into many spaces which is a continuous range. Each space has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lastRenderedPageBreak/>
        <w:t>Runtime Environment</w:t>
      </w:r>
    </w:p>
    <w:p w:rsidR="00A23365" w:rsidRDefault="00922CB4">
      <w:pPr>
        <w:pStyle w:val="Heading2"/>
      </w:pPr>
      <w:r>
        <w:t>Memory Layout</w:t>
      </w:r>
    </w:p>
    <w:p w:rsidR="00A23365" w:rsidRDefault="00274A5B">
      <w:r>
        <w:pict>
          <v:shapetype id="_x0000_t202" coordsize="21600,21600" o:spt="202" path="m,l,21600r21600,l21600,xe">
            <v:stroke joinstyle="miter"/>
            <v:path gradientshapeok="t" o:connecttype="rect"/>
          </v:shapetype>
          <v:shape id="Text Box 2" o:spid="_x0000_s1028" type="#_x0000_t202" style="width:415.9pt;height:126.8pt;mso-position-horizontal-relative:char;mso-position-vertical-relative:line" o:preferrelative="t" stroked="f">
            <v:textbox style="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A23365">
                    <w:trPr>
                      <w:trHeight w:val="417"/>
                    </w:trPr>
                    <w:tc>
                      <w:tcPr>
                        <w:tcW w:w="959" w:type="dxa"/>
                        <w:tcBorders>
                          <w:top w:val="nil"/>
                          <w:left w:val="nil"/>
                          <w:bottom w:val="nil"/>
                        </w:tcBorders>
                        <w:shd w:val="clear" w:color="auto" w:fill="auto"/>
                      </w:tcPr>
                      <w:p w:rsidR="00A23365" w:rsidRDefault="00922CB4">
                        <w:pPr>
                          <w:jc w:val="right"/>
                        </w:pPr>
                        <w:r>
                          <w:t>Higher address</w:t>
                        </w:r>
                      </w:p>
                    </w:tc>
                    <w:tc>
                      <w:tcPr>
                        <w:tcW w:w="4536" w:type="dxa"/>
                        <w:shd w:val="clear" w:color="auto" w:fill="FFFFFF"/>
                      </w:tcPr>
                      <w:p w:rsidR="00A23365" w:rsidRDefault="00A23365"/>
                    </w:tc>
                    <w:tc>
                      <w:tcPr>
                        <w:tcW w:w="2835" w:type="dxa"/>
                        <w:vMerge w:val="restart"/>
                        <w:tcBorders>
                          <w:top w:val="nil"/>
                          <w:bottom w:val="nil"/>
                          <w:right w:val="nil"/>
                        </w:tcBorders>
                        <w:shd w:val="clear" w:color="auto" w:fill="FFFFFF"/>
                      </w:tcPr>
                      <w:p w:rsidR="00A23365" w:rsidRDefault="00922CB4">
                        <w:pPr>
                          <w:ind w:left="176"/>
                          <w:jc w:val="left"/>
                        </w:pPr>
                        <w:r>
                          <w:t>L0 memory type (indicated in colors):</w:t>
                        </w:r>
                      </w:p>
                      <w:p w:rsidR="00A23365" w:rsidRDefault="00922CB4">
                        <w:pPr>
                          <w:ind w:left="176"/>
                          <w:jc w:val="left"/>
                          <w:rPr>
                            <w:b/>
                            <w:color w:val="C0504D"/>
                          </w:rPr>
                        </w:pPr>
                        <w:r>
                          <w:rPr>
                            <w:b/>
                            <w:color w:val="9BBB59"/>
                          </w:rPr>
                          <w:t>Heap</w:t>
                        </w:r>
                      </w:p>
                      <w:p w:rsidR="00A23365" w:rsidRDefault="00922CB4">
                        <w:pPr>
                          <w:ind w:left="176"/>
                          <w:jc w:val="left"/>
                          <w:rPr>
                            <w:b/>
                            <w:color w:val="C0504D"/>
                          </w:rPr>
                        </w:pPr>
                        <w:r>
                          <w:rPr>
                            <w:b/>
                            <w:color w:val="C0504D"/>
                          </w:rPr>
                          <w:t>Stack</w:t>
                        </w:r>
                      </w:p>
                      <w:p w:rsidR="00A23365" w:rsidRDefault="00A23365">
                        <w:pPr>
                          <w:ind w:left="176"/>
                          <w:jc w:val="left"/>
                          <w:rPr>
                            <w:b/>
                            <w:color w:val="C0504D"/>
                          </w:rPr>
                        </w:pPr>
                      </w:p>
                      <w:p w:rsidR="00A23365" w:rsidRDefault="00A23365">
                        <w:pPr>
                          <w:ind w:left="176"/>
                          <w:jc w:val="left"/>
                        </w:pPr>
                      </w:p>
                      <w:p w:rsidR="00A23365" w:rsidRDefault="00922CB4">
                        <w:pPr>
                          <w:ind w:left="176"/>
                          <w:jc w:val="left"/>
                        </w:pPr>
                        <w:r>
                          <w:t>* Suppose runner 0 is the first runner gets executed in the user application. It will has the access to all the global variables.</w:t>
                        </w:r>
                      </w:p>
                      <w:p w:rsidR="00A23365" w:rsidRDefault="00A23365">
                        <w:pPr>
                          <w:ind w:left="176"/>
                          <w:jc w:val="left"/>
                        </w:pPr>
                      </w:p>
                      <w:p w:rsidR="00A23365" w:rsidRDefault="00922CB4">
                        <w:pPr>
                          <w:ind w:left="176"/>
                          <w:jc w:val="left"/>
                        </w:pPr>
                        <w:r>
                          <w:t>** The locations and sizes of additional heap ranges may be overlapped with other stack/heap ranges, depending on the location of array segments passed in the startup parameters.</w:t>
                        </w:r>
                      </w:p>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pPr>
                          <w:jc w:val="left"/>
                        </w:pPr>
                      </w:p>
                    </w:tc>
                  </w:tr>
                  <w:tr w:rsidR="00A23365">
                    <w:trPr>
                      <w:trHeight w:val="333"/>
                    </w:trPr>
                    <w:tc>
                      <w:tcPr>
                        <w:tcW w:w="959" w:type="dxa"/>
                        <w:tcBorders>
                          <w:top w:val="nil"/>
                          <w:left w:val="nil"/>
                          <w:bottom w:val="nil"/>
                        </w:tcBorders>
                        <w:shd w:val="clear" w:color="auto" w:fill="auto"/>
                      </w:tcPr>
                      <w:p w:rsidR="00A23365" w:rsidRDefault="00A23365">
                        <w:pPr>
                          <w:jc w:val="right"/>
                        </w:pPr>
                      </w:p>
                    </w:tc>
                    <w:tc>
                      <w:tcPr>
                        <w:tcW w:w="4536" w:type="dxa"/>
                        <w:shd w:val="clear" w:color="auto" w:fill="C0504D"/>
                      </w:tcPr>
                      <w:p w:rsidR="00A23365" w:rsidRDefault="00922CB4">
                        <w:r>
                          <w:t>[Runner 0</w:t>
                        </w:r>
                        <w:r>
                          <w:rPr>
                            <w:vertAlign w:val="superscript"/>
                          </w:rPr>
                          <w:t>*</w:t>
                        </w:r>
                        <w:r>
                          <w:t>] Stack (grows to lower address)</w:t>
                        </w:r>
                      </w:p>
                    </w:tc>
                    <w:tc>
                      <w:tcPr>
                        <w:tcW w:w="2835" w:type="dxa"/>
                        <w:vMerge/>
                        <w:tcBorders>
                          <w:bottom w:val="nil"/>
                          <w:right w:val="nil"/>
                        </w:tcBorders>
                        <w:shd w:val="clear" w:color="auto" w:fill="FFFFFF"/>
                      </w:tcPr>
                      <w:p w:rsidR="00A23365" w:rsidRDefault="00A23365">
                        <w:pPr>
                          <w:jc w:val="left"/>
                        </w:pPr>
                      </w:p>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385"/>
                    </w:trPr>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j</w:t>
                        </w:r>
                        <w:r>
                          <w:rPr>
                            <w:vertAlign w:val="superscript"/>
                          </w:rPr>
                          <w:t>**</w:t>
                        </w:r>
                        <w:r>
                          <w:t>] Additional Heap range of (array segments)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253"/>
                    </w:trPr>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C0504D"/>
                      </w:tcPr>
                      <w:p w:rsidR="00A23365" w:rsidRDefault="00922CB4">
                        <w:r>
                          <w:t>[Runner i] Stack (grows to lower address)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9BBB59"/>
                      </w:tcPr>
                      <w:p w:rsidR="00A23365" w:rsidRDefault="00922CB4">
                        <w:r>
                          <w:t>[Runner i</w:t>
                        </w:r>
                        <w:r>
                          <w:rPr>
                            <w:vertAlign w:val="superscript"/>
                          </w:rPr>
                          <w:t>**</w:t>
                        </w:r>
                        <w:r>
                          <w:t>] Additional Heap range of array segments</w:t>
                        </w:r>
                      </w:p>
                    </w:tc>
                    <w:tc>
                      <w:tcPr>
                        <w:tcW w:w="2835" w:type="dxa"/>
                        <w:vMerge/>
                        <w:tcBorders>
                          <w:bottom w:val="nil"/>
                          <w:right w:val="nil"/>
                        </w:tcBorders>
                        <w:shd w:val="clear" w:color="auto" w:fill="FFFFFF"/>
                      </w:tcPr>
                      <w:p w:rsidR="00A23365" w:rsidRDefault="00A23365"/>
                    </w:tc>
                  </w:tr>
                  <w:tr w:rsidR="00A23365">
                    <w:trPr>
                      <w:trHeight w:val="347"/>
                    </w:trPr>
                    <w:tc>
                      <w:tcPr>
                        <w:tcW w:w="959" w:type="dxa"/>
                        <w:tcBorders>
                          <w:top w:val="nil"/>
                          <w:left w:val="nil"/>
                          <w:bottom w:val="nil"/>
                        </w:tcBorders>
                        <w:shd w:val="clear" w:color="auto" w:fill="auto"/>
                      </w:tcPr>
                      <w:p w:rsidR="00A23365" w:rsidRDefault="00A23365">
                        <w:pPr>
                          <w:jc w:val="right"/>
                        </w:pPr>
                      </w:p>
                    </w:tc>
                    <w:tc>
                      <w:tcPr>
                        <w:tcW w:w="4536" w:type="dxa"/>
                        <w:shd w:val="clear" w:color="auto" w:fill="C0504D"/>
                      </w:tcPr>
                      <w:p w:rsidR="00A23365" w:rsidRDefault="00922CB4">
                        <w:r>
                          <w:t>[Runner j] Stack (grows to lower address)</w:t>
                        </w:r>
                      </w:p>
                    </w:tc>
                    <w:tc>
                      <w:tcPr>
                        <w:tcW w:w="2835" w:type="dxa"/>
                        <w:vMerge/>
                        <w:tcBorders>
                          <w:bottom w:val="nil"/>
                          <w:right w:val="nil"/>
                        </w:tcBorders>
                        <w:shd w:val="clear" w:color="auto" w:fill="FFFFFF"/>
                      </w:tcPr>
                      <w:p w:rsidR="00A23365" w:rsidRDefault="00A23365"/>
                    </w:tc>
                  </w:tr>
                  <w:tr w:rsidR="00A23365">
                    <w:trPr>
                      <w:trHeight w:val="1330"/>
                    </w:trPr>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739"/>
                    </w:trPr>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Runtime Heap (grows to higher address)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0</w:t>
                        </w:r>
                        <w:r>
                          <w:rPr>
                            <w:vertAlign w:val="superscript"/>
                          </w:rPr>
                          <w:t>*</w:t>
                        </w:r>
                        <w:r>
                          <w:t>] .bss (Global variables without initial value)</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0</w:t>
                        </w:r>
                        <w:r>
                          <w:rPr>
                            <w:vertAlign w:val="superscript"/>
                          </w:rPr>
                          <w:t>*</w:t>
                        </w:r>
                        <w:r>
                          <w:t>] .data (Global variables with initial values)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.rodata (Read-only data)</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.text (Code)</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922CB4">
                        <w:r>
                          <w:t>L0 Internal range</w:t>
                        </w:r>
                      </w:p>
                    </w:tc>
                    <w:tc>
                      <w:tcPr>
                        <w:tcW w:w="2835" w:type="dxa"/>
                        <w:vMerge/>
                        <w:tcBorders>
                          <w:bottom w:val="nil"/>
                          <w:right w:val="nil"/>
                        </w:tcBorders>
                        <w:shd w:val="clear" w:color="auto" w:fill="FFFFFF"/>
                      </w:tcPr>
                      <w:p w:rsidR="00A23365" w:rsidRDefault="00A23365"/>
                    </w:tc>
                  </w:tr>
                  <w:tr w:rsidR="00A23365">
                    <w:trPr>
                      <w:trHeight w:val="250"/>
                    </w:trPr>
                    <w:tc>
                      <w:tcPr>
                        <w:tcW w:w="959" w:type="dxa"/>
                        <w:tcBorders>
                          <w:top w:val="nil"/>
                          <w:left w:val="nil"/>
                          <w:bottom w:val="nil"/>
                        </w:tcBorders>
                        <w:shd w:val="clear" w:color="auto" w:fill="auto"/>
                        <w:vAlign w:val="bottom"/>
                      </w:tcPr>
                      <w:p w:rsidR="00A23365" w:rsidRDefault="00922CB4">
                        <w:pPr>
                          <w:jc w:val="right"/>
                        </w:pPr>
                        <w:r>
                          <w:t>Lower address</w:t>
                        </w: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bl>
                <w:p w:rsidR="00A23365" w:rsidRDefault="00A2336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range. Fill the rest of the space with zeros.</w:t>
      </w:r>
    </w:p>
    <w:p w:rsidR="00A23365" w:rsidRDefault="00922CB4">
      <w:pPr>
        <w:pStyle w:val="ListParagraph1"/>
        <w:numPr>
          <w:ilvl w:val="0"/>
          <w:numId w:val="2"/>
        </w:numPr>
      </w:pPr>
      <w:r>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4779E5">
        <w:fldChar w:fldCharType="begin"/>
      </w:r>
      <w:r>
        <w:instrText xml:space="preserve"> REF _Ref303052183 \h </w:instrText>
      </w:r>
      <w:r w:rsidR="004779E5">
        <w:fldChar w:fldCharType="separate"/>
      </w:r>
      <w:r>
        <w:t>Figure 1</w:t>
      </w:r>
      <w:r w:rsidR="004779E5">
        <w:fldChar w:fldCharType="end"/>
      </w:r>
      <w:r>
        <w:t>.</w:t>
      </w:r>
      <w:r>
        <w:rPr>
          <w:rStyle w:val="FootnoteReference"/>
        </w:rPr>
        <w:footnoteReference w:id="2"/>
      </w:r>
    </w:p>
    <w:p w:rsidR="00A23365" w:rsidRDefault="00274A5B">
      <w:pPr>
        <w:jc w:val="center"/>
      </w:pPr>
      <w:r>
        <w:pict>
          <v:shape id="_x0000_s1026" type="#_x0000_t202" style="width:392.8pt;height:110.55pt;mso-position-horizontal-relative:char;mso-position-vertical-relative:line" o:preferrelative="t" filled="f" stroked="f">
            <v:textbox style="mso-fit-shape-to-text:t">
              <w:txbxContent>
                <w:p w:rsidR="00A23365" w:rsidRDefault="00274A5B">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27" type="#_x0000_t75" style="width:362.7pt;height:311.1pt">
                        <v:imagedata r:id="rId8" o:title=""/>
                      </v:shape>
                    </w:pict>
                  </w:r>
                </w:p>
                <w:p w:rsidR="00A23365" w:rsidRDefault="00922CB4">
                  <w:pPr>
                    <w:pStyle w:val="Caption"/>
                  </w:pPr>
                  <w:bookmarkStart w:id="2" w:name="_Ref303052183"/>
                  <w:r>
                    <w:t xml:space="preserve">Figure </w:t>
                  </w:r>
                  <w:r w:rsidR="004779E5">
                    <w:fldChar w:fldCharType="begin"/>
                  </w:r>
                  <w:r>
                    <w:instrText xml:space="preserve"> SEQ Figure \* ARABIC </w:instrText>
                  </w:r>
                  <w:r w:rsidR="004779E5">
                    <w:fldChar w:fldCharType="separate"/>
                  </w:r>
                  <w:r>
                    <w:t>1</w:t>
                  </w:r>
                  <w:r w:rsidR="004779E5">
                    <w:fldChar w:fldCharType="end"/>
                  </w:r>
                  <w:bookmarkEnd w:id="2"/>
                  <w:r>
                    <w:t>. ELF file loading</w:t>
                  </w:r>
                </w:p>
              </w:txbxContent>
            </v:textbox>
            <w10:anchorlock/>
          </v:shape>
        </w:pict>
      </w:r>
    </w:p>
    <w:p w:rsidR="00A23365" w:rsidRDefault="00A23365">
      <w:pPr>
        <w:pBdr>
          <w:bottom w:val="single" w:sz="6" w:space="1" w:color="auto"/>
        </w:pBdr>
      </w:pPr>
    </w:p>
    <w:p w:rsidR="00A23365" w:rsidRDefault="00922CB4">
      <w:r>
        <w:t>Update History</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p w:rsidR="00C0439D" w:rsidRDefault="00C0439D">
      <w:r>
        <w:t>Feb. 26, 2014. Add standalone-related stuff for keywords and a section to introduce it. - zma</w:t>
      </w:r>
    </w:p>
    <w:sectPr w:rsidR="00C0439D"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07D" w:rsidRDefault="0079407D" w:rsidP="00A23365">
      <w:pPr>
        <w:spacing w:after="0"/>
      </w:pPr>
      <w:r>
        <w:separator/>
      </w:r>
    </w:p>
  </w:endnote>
  <w:endnote w:type="continuationSeparator" w:id="1">
    <w:p w:rsidR="0079407D" w:rsidRDefault="0079407D"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07D" w:rsidRDefault="0079407D" w:rsidP="00A23365">
      <w:pPr>
        <w:spacing w:after="0"/>
      </w:pPr>
      <w:r>
        <w:separator/>
      </w:r>
    </w:p>
  </w:footnote>
  <w:footnote w:type="continuationSeparator" w:id="1">
    <w:p w:rsidR="0079407D" w:rsidRDefault="0079407D" w:rsidP="00A23365">
      <w:pPr>
        <w:spacing w:after="0"/>
      </w:pPr>
      <w:r>
        <w:continuationSeparator/>
      </w:r>
    </w:p>
  </w:footnote>
  <w:footnote w:id="2">
    <w:p w:rsidR="00A23365" w:rsidRDefault="00922CB4">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197E38"/>
    <w:rsid w:val="00274A5B"/>
    <w:rsid w:val="002A39E9"/>
    <w:rsid w:val="002E23F9"/>
    <w:rsid w:val="00304C9D"/>
    <w:rsid w:val="00333BC4"/>
    <w:rsid w:val="00354DA2"/>
    <w:rsid w:val="00446CCA"/>
    <w:rsid w:val="004779E5"/>
    <w:rsid w:val="00552750"/>
    <w:rsid w:val="00582345"/>
    <w:rsid w:val="005E27C0"/>
    <w:rsid w:val="006131FA"/>
    <w:rsid w:val="006D5727"/>
    <w:rsid w:val="00783951"/>
    <w:rsid w:val="0079407D"/>
    <w:rsid w:val="00886C89"/>
    <w:rsid w:val="00913BF8"/>
    <w:rsid w:val="00922CB4"/>
    <w:rsid w:val="009A4934"/>
    <w:rsid w:val="009B6593"/>
    <w:rsid w:val="009F240B"/>
    <w:rsid w:val="00A23365"/>
    <w:rsid w:val="00A26D6F"/>
    <w:rsid w:val="00A41C36"/>
    <w:rsid w:val="00AB0A00"/>
    <w:rsid w:val="00BE7CAA"/>
    <w:rsid w:val="00C0439D"/>
    <w:rsid w:val="00C65684"/>
    <w:rsid w:val="00E36FCC"/>
    <w:rsid w:val="00E87C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 w:type="table" w:styleId="TableGrid">
    <w:name w:val="Table Grid"/>
    <w:basedOn w:val="TableNormal"/>
    <w:uiPriority w:val="59"/>
    <w:rsid w:val="002E23F9"/>
    <w:rPr>
      <w:rFonts w:ascii="Calibri" w:eastAsia="Times New Roman" w:hAnsi="Calibr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1906</Words>
  <Characters>10865</Characters>
  <Application>Microsoft Office Word</Application>
  <DocSecurity>0</DocSecurity>
  <Lines>90</Lines>
  <Paragraphs>25</Paragraphs>
  <ScaleCrop>false</ScaleCrop>
  <Company>The Hong Kong University of Science and Technology</Company>
  <LinksUpToDate>false</LinksUpToDate>
  <CharactersWithSpaces>12746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27</cp:revision>
  <cp:lastPrinted>2011-09-05T22:31:00Z</cp:lastPrinted>
  <dcterms:created xsi:type="dcterms:W3CDTF">2011-08-22T22:46:00Z</dcterms:created>
  <dcterms:modified xsi:type="dcterms:W3CDTF">2014-02-26T07:01:00Z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