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59ECBB" w14:textId="77777777" w:rsidR="009762B3" w:rsidRPr="009762B3" w:rsidRDefault="009762B3" w:rsidP="009762B3">
      <w:pPr>
        <w:spacing w:before="100" w:beforeAutospacing="1" w:after="100" w:afterAutospacing="1"/>
        <w:outlineLvl w:val="1"/>
        <w:rPr>
          <w:rFonts w:eastAsia="Times New Roman"/>
          <w:color w:val="0B0B0B"/>
          <w:sz w:val="27"/>
          <w:szCs w:val="27"/>
          <w:lang w:eastAsia="en-GB"/>
        </w:rPr>
      </w:pPr>
      <w:r w:rsidRPr="009762B3">
        <w:rPr>
          <w:rFonts w:eastAsia="Times New Roman"/>
          <w:color w:val="0B0B0B"/>
          <w:sz w:val="27"/>
          <w:szCs w:val="27"/>
          <w:lang w:eastAsia="en-GB"/>
        </w:rPr>
        <w:t>VCF metrics — what to calculate and how</w:t>
      </w:r>
    </w:p>
    <w:p w14:paraId="28DB8080" w14:textId="77777777" w:rsidR="009762B3" w:rsidRPr="009762B3" w:rsidRDefault="009762B3" w:rsidP="009762B3">
      <w:pPr>
        <w:spacing w:before="100" w:beforeAutospacing="1" w:after="100" w:afterAutospacing="1"/>
        <w:rPr>
          <w:rFonts w:eastAsia="Times New Roman"/>
          <w:sz w:val="20"/>
          <w:szCs w:val="20"/>
          <w:lang w:eastAsia="en-GB"/>
        </w:rPr>
      </w:pPr>
      <w:r w:rsidRPr="009762B3">
        <w:rPr>
          <w:rFonts w:eastAsia="Times New Roman"/>
          <w:sz w:val="20"/>
          <w:szCs w:val="20"/>
          <w:lang w:eastAsia="en-GB"/>
        </w:rPr>
        <w:t xml:space="preserve">All metrics below are calculable from final VCF files only. Run for each of the three </w:t>
      </w:r>
      <w:proofErr w:type="spellStart"/>
      <w:r w:rsidRPr="009762B3">
        <w:rPr>
          <w:rFonts w:eastAsia="Times New Roman"/>
          <w:sz w:val="20"/>
          <w:szCs w:val="20"/>
          <w:lang w:eastAsia="en-GB"/>
        </w:rPr>
        <w:t>callsets</w:t>
      </w:r>
      <w:proofErr w:type="spellEnd"/>
      <w:r w:rsidRPr="009762B3">
        <w:rPr>
          <w:rFonts w:eastAsia="Times New Roman"/>
          <w:sz w:val="20"/>
          <w:szCs w:val="20"/>
          <w:lang w:eastAsia="en-GB"/>
        </w:rPr>
        <w:t xml:space="preserve"> (GATK, </w:t>
      </w:r>
      <w:proofErr w:type="spellStart"/>
      <w:r w:rsidRPr="009762B3">
        <w:rPr>
          <w:rFonts w:eastAsia="Times New Roman"/>
          <w:sz w:val="20"/>
          <w:szCs w:val="20"/>
          <w:lang w:eastAsia="en-GB"/>
        </w:rPr>
        <w:t>DeepVariant</w:t>
      </w:r>
      <w:proofErr w:type="spellEnd"/>
      <w:r w:rsidRPr="009762B3">
        <w:rPr>
          <w:rFonts w:eastAsia="Times New Roman"/>
          <w:sz w:val="20"/>
          <w:szCs w:val="20"/>
          <w:lang w:eastAsia="en-GB"/>
        </w:rPr>
        <w:t>, DRAGEN-GATK) then compare across callers.</w:t>
      </w:r>
    </w:p>
    <w:p w14:paraId="07DD7BAE" w14:textId="77777777" w:rsidR="009762B3" w:rsidRPr="009762B3" w:rsidRDefault="009762B3" w:rsidP="009762B3">
      <w:pPr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</w:pPr>
      <w:r w:rsidRPr="009762B3"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  <w:t>1 — VARIANT COUNTS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2933"/>
        <w:gridCol w:w="1478"/>
        <w:gridCol w:w="1762"/>
        <w:gridCol w:w="1011"/>
      </w:tblGrid>
      <w:tr w:rsidR="009762B3" w:rsidRPr="009762B3" w14:paraId="57BC2EA3" w14:textId="77777777" w:rsidTr="009762B3">
        <w:trPr>
          <w:tblHeader/>
        </w:trPr>
        <w:tc>
          <w:tcPr>
            <w:tcW w:w="102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DE7922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Metric</w:t>
            </w:r>
          </w:p>
        </w:tc>
        <w:tc>
          <w:tcPr>
            <w:tcW w:w="162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D9ECA9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What it tells you</w:t>
            </w:r>
          </w:p>
        </w:tc>
        <w:tc>
          <w:tcPr>
            <w:tcW w:w="81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58EB08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Tool</w:t>
            </w:r>
          </w:p>
        </w:tc>
        <w:tc>
          <w:tcPr>
            <w:tcW w:w="97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3D715E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Expected value</w:t>
            </w:r>
          </w:p>
        </w:tc>
        <w:tc>
          <w:tcPr>
            <w:tcW w:w="56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32E65C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Source</w:t>
            </w:r>
          </w:p>
        </w:tc>
      </w:tr>
      <w:tr w:rsidR="009762B3" w:rsidRPr="009762B3" w14:paraId="4D330262" w14:textId="77777777" w:rsidTr="009762B3">
        <w:tc>
          <w:tcPr>
            <w:tcW w:w="1020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9560D89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Total SNP count</w:t>
            </w:r>
          </w:p>
        </w:tc>
        <w:tc>
          <w:tcPr>
            <w:tcW w:w="1625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552374F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Overall SNV detection rate per caller</w:t>
            </w:r>
          </w:p>
        </w:tc>
        <w:tc>
          <w:tcPr>
            <w:tcW w:w="81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E2092CF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stats</w:t>
            </w:r>
          </w:p>
        </w:tc>
        <w:tc>
          <w:tcPr>
            <w:tcW w:w="97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2AD097C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~4–5M per WGS sample</w:t>
            </w:r>
          </w:p>
        </w:tc>
        <w:tc>
          <w:tcPr>
            <w:tcW w:w="560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3519E4E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1104722D" w14:textId="77777777" w:rsidTr="009762B3">
        <w:tc>
          <w:tcPr>
            <w:tcW w:w="1020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8EF4098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Total INDEL count</w:t>
            </w:r>
          </w:p>
        </w:tc>
        <w:tc>
          <w:tcPr>
            <w:tcW w:w="1625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D8DDCA3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Indel sensitivity; callers differ most here</w:t>
            </w:r>
          </w:p>
        </w:tc>
        <w:tc>
          <w:tcPr>
            <w:tcW w:w="81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65635C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stats</w:t>
            </w:r>
          </w:p>
        </w:tc>
        <w:tc>
          <w:tcPr>
            <w:tcW w:w="97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458ED1A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~800K–1M per sample</w:t>
            </w:r>
          </w:p>
        </w:tc>
        <w:tc>
          <w:tcPr>
            <w:tcW w:w="560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28CDCEF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298853A1" w14:textId="77777777" w:rsidTr="009762B3">
        <w:tc>
          <w:tcPr>
            <w:tcW w:w="1020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29CE869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SNP/INDEL ratio</w:t>
            </w:r>
          </w:p>
        </w:tc>
        <w:tc>
          <w:tcPr>
            <w:tcW w:w="1625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88CE99A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Systematic indel over/under-calling per caller</w:t>
            </w:r>
          </w:p>
        </w:tc>
        <w:tc>
          <w:tcPr>
            <w:tcW w:w="81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0EA6A2D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stats</w:t>
            </w:r>
          </w:p>
        </w:tc>
        <w:tc>
          <w:tcPr>
            <w:tcW w:w="97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BF800C9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~4.5–6.0</w:t>
            </w:r>
          </w:p>
        </w:tc>
        <w:tc>
          <w:tcPr>
            <w:tcW w:w="560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44300F3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191862DF" w14:textId="77777777" w:rsidTr="009762B3">
        <w:tc>
          <w:tcPr>
            <w:tcW w:w="1020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DCFD8F3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Multiallelic variant count</w:t>
            </w:r>
          </w:p>
        </w:tc>
        <w:tc>
          <w:tcPr>
            <w:tcW w:w="1625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9C2BB72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Complex site handling per caller</w:t>
            </w:r>
          </w:p>
        </w:tc>
        <w:tc>
          <w:tcPr>
            <w:tcW w:w="819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E9DBDBD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stats</w:t>
            </w:r>
          </w:p>
        </w:tc>
        <w:tc>
          <w:tcPr>
            <w:tcW w:w="976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484AD69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Lower = more conservative</w:t>
            </w:r>
          </w:p>
        </w:tc>
        <w:tc>
          <w:tcPr>
            <w:tcW w:w="560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0FD865E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</w:tbl>
    <w:p w14:paraId="4BB5EC4A" w14:textId="77777777" w:rsidR="009762B3" w:rsidRDefault="009762B3" w:rsidP="009762B3">
      <w:pPr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</w:pPr>
    </w:p>
    <w:p w14:paraId="5795CA9F" w14:textId="7A272B52" w:rsidR="009762B3" w:rsidRPr="009762B3" w:rsidRDefault="009762B3" w:rsidP="009762B3">
      <w:pPr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</w:pPr>
      <w:r w:rsidRPr="009762B3"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  <w:t>2 — CALLSET QUALITY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2845"/>
        <w:gridCol w:w="1486"/>
        <w:gridCol w:w="1894"/>
        <w:gridCol w:w="989"/>
      </w:tblGrid>
      <w:tr w:rsidR="009762B3" w:rsidRPr="009762B3" w14:paraId="1A87CBA8" w14:textId="77777777" w:rsidTr="009762B3">
        <w:trPr>
          <w:tblHeader/>
        </w:trPr>
        <w:tc>
          <w:tcPr>
            <w:tcW w:w="100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8B114A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Metric</w:t>
            </w:r>
          </w:p>
        </w:tc>
        <w:tc>
          <w:tcPr>
            <w:tcW w:w="157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2305BE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What it tells you</w:t>
            </w:r>
          </w:p>
        </w:tc>
        <w:tc>
          <w:tcPr>
            <w:tcW w:w="82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A03D44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Tool</w:t>
            </w:r>
          </w:p>
        </w:tc>
        <w:tc>
          <w:tcPr>
            <w:tcW w:w="104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5B1B1E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Expected value</w:t>
            </w:r>
          </w:p>
        </w:tc>
        <w:tc>
          <w:tcPr>
            <w:tcW w:w="548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2C1754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Source</w:t>
            </w:r>
          </w:p>
        </w:tc>
      </w:tr>
      <w:tr w:rsidR="009762B3" w:rsidRPr="009762B3" w14:paraId="2EE9D4C0" w14:textId="77777777" w:rsidTr="009762B3">
        <w:tc>
          <w:tcPr>
            <w:tcW w:w="1004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69CB336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Ti/Tv ratio — overall</w:t>
            </w:r>
          </w:p>
        </w:tc>
        <w:tc>
          <w:tcPr>
            <w:tcW w:w="157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4940DE3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Global </w:t>
            </w:r>
            <w:proofErr w:type="spellStart"/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callset</w:t>
            </w:r>
            <w:proofErr w:type="spellEnd"/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quality indicator</w:t>
            </w:r>
          </w:p>
        </w:tc>
        <w:tc>
          <w:tcPr>
            <w:tcW w:w="823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EE58D3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stats</w:t>
            </w:r>
          </w:p>
        </w:tc>
        <w:tc>
          <w:tcPr>
            <w:tcW w:w="104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7664E78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WGS: 2.0–2.2</w:t>
            </w:r>
          </w:p>
        </w:tc>
        <w:tc>
          <w:tcPr>
            <w:tcW w:w="548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ADD17E1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4600B195" w14:textId="77777777" w:rsidTr="009762B3">
        <w:tc>
          <w:tcPr>
            <w:tcW w:w="1004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B93A49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Ti/Tv — known variants</w:t>
            </w:r>
          </w:p>
        </w:tc>
        <w:tc>
          <w:tcPr>
            <w:tcW w:w="157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A1D07D9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Quality in well-characterised sites</w:t>
            </w:r>
          </w:p>
        </w:tc>
        <w:tc>
          <w:tcPr>
            <w:tcW w:w="823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6C2DA03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VariantEval</w:t>
            </w:r>
            <w:proofErr w:type="spellEnd"/>
          </w:p>
        </w:tc>
        <w:tc>
          <w:tcPr>
            <w:tcW w:w="104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C32783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~2.1</w:t>
            </w:r>
          </w:p>
        </w:tc>
        <w:tc>
          <w:tcPr>
            <w:tcW w:w="548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7398DC7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16FD7E2C" w14:textId="77777777" w:rsidTr="009762B3">
        <w:tc>
          <w:tcPr>
            <w:tcW w:w="1004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3A9740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Ti/Tv — novel variants</w:t>
            </w:r>
          </w:p>
        </w:tc>
        <w:tc>
          <w:tcPr>
            <w:tcW w:w="157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6D3F9CB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False positive rate proxy; key for SAC cohort</w:t>
            </w:r>
          </w:p>
        </w:tc>
        <w:tc>
          <w:tcPr>
            <w:tcW w:w="823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D22B9C2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VariantEval</w:t>
            </w:r>
            <w:proofErr w:type="spellEnd"/>
          </w:p>
        </w:tc>
        <w:tc>
          <w:tcPr>
            <w:tcW w:w="104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83D3F96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~1.5–1.8 (below 1.5 = concern)</w:t>
            </w:r>
          </w:p>
        </w:tc>
        <w:tc>
          <w:tcPr>
            <w:tcW w:w="548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0BD3DED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026C639E" w14:textId="77777777" w:rsidTr="009762B3">
        <w:tc>
          <w:tcPr>
            <w:tcW w:w="1004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5DE25FE" w14:textId="41892503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Het/</w:t>
            </w:r>
            <w:proofErr w:type="spellStart"/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hom</w:t>
            </w:r>
            <w:proofErr w:type="spellEnd"/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ratio</w:t>
            </w:r>
          </w:p>
        </w:tc>
        <w:tc>
          <w:tcPr>
            <w:tcW w:w="157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6644A1C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Genotyping model accuracy</w:t>
            </w:r>
          </w:p>
        </w:tc>
        <w:tc>
          <w:tcPr>
            <w:tcW w:w="823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07BB69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stats</w:t>
            </w:r>
          </w:p>
        </w:tc>
        <w:tc>
          <w:tcPr>
            <w:tcW w:w="104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5179A77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~1.5–2.0</w:t>
            </w:r>
          </w:p>
        </w:tc>
        <w:tc>
          <w:tcPr>
            <w:tcW w:w="548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58D8D23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4CE3E288" w14:textId="77777777" w:rsidTr="009762B3">
        <w:tc>
          <w:tcPr>
            <w:tcW w:w="1004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9E82AB3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Hardy-Weinberg deviation</w:t>
            </w:r>
          </w:p>
        </w:tc>
        <w:tc>
          <w:tcPr>
            <w:tcW w:w="1576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ABAC07D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Systematic genotyping errors across cohort</w:t>
            </w:r>
          </w:p>
        </w:tc>
        <w:tc>
          <w:tcPr>
            <w:tcW w:w="823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9773C5F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PLINK</w:t>
            </w:r>
          </w:p>
        </w:tc>
        <w:tc>
          <w:tcPr>
            <w:tcW w:w="1049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E53F4DC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Flag sites with p &lt; 1×10⁻⁶</w:t>
            </w:r>
          </w:p>
        </w:tc>
        <w:tc>
          <w:tcPr>
            <w:tcW w:w="548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5E5686D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</w:tbl>
    <w:p w14:paraId="39D5F36A" w14:textId="77777777" w:rsidR="009762B3" w:rsidRDefault="009762B3" w:rsidP="009762B3">
      <w:pPr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</w:pPr>
    </w:p>
    <w:p w14:paraId="5D765971" w14:textId="455DC832" w:rsidR="009762B3" w:rsidRPr="009762B3" w:rsidRDefault="009762B3" w:rsidP="009762B3">
      <w:pPr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</w:pPr>
      <w:r w:rsidRPr="009762B3"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  <w:t>3 — DATABASE CONCORDANCE AND VARIANT NOVELTY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2844"/>
        <w:gridCol w:w="1413"/>
        <w:gridCol w:w="2020"/>
        <w:gridCol w:w="865"/>
      </w:tblGrid>
      <w:tr w:rsidR="009762B3" w:rsidRPr="009762B3" w14:paraId="5BE9940C" w14:textId="77777777" w:rsidTr="009762B3">
        <w:trPr>
          <w:tblHeader/>
        </w:trPr>
        <w:tc>
          <w:tcPr>
            <w:tcW w:w="104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521C52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Metric</w:t>
            </w:r>
          </w:p>
        </w:tc>
        <w:tc>
          <w:tcPr>
            <w:tcW w:w="157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152838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What it tells you</w:t>
            </w:r>
          </w:p>
        </w:tc>
        <w:tc>
          <w:tcPr>
            <w:tcW w:w="7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B4A93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Tool</w:t>
            </w:r>
          </w:p>
        </w:tc>
        <w:tc>
          <w:tcPr>
            <w:tcW w:w="111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CB5CCC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Notes</w:t>
            </w:r>
          </w:p>
        </w:tc>
        <w:tc>
          <w:tcPr>
            <w:tcW w:w="47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B3C718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Source</w:t>
            </w:r>
          </w:p>
        </w:tc>
      </w:tr>
      <w:tr w:rsidR="009762B3" w:rsidRPr="009762B3" w14:paraId="240DE5A5" w14:textId="77777777" w:rsidTr="009762B3">
        <w:tc>
          <w:tcPr>
            <w:tcW w:w="1043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AE17045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dbSNP</w:t>
            </w:r>
            <w:proofErr w:type="spellEnd"/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concordance rate</w:t>
            </w:r>
          </w:p>
        </w:tc>
        <w:tc>
          <w:tcPr>
            <w:tcW w:w="1575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59CCDBA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Specificity proxy — fraction of calls in </w:t>
            </w:r>
            <w:proofErr w:type="spellStart"/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dbSNP</w:t>
            </w:r>
            <w:proofErr w:type="spellEnd"/>
          </w:p>
        </w:tc>
        <w:tc>
          <w:tcPr>
            <w:tcW w:w="783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B8D171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VariantEval</w:t>
            </w:r>
            <w:proofErr w:type="spellEnd"/>
          </w:p>
        </w:tc>
        <w:tc>
          <w:tcPr>
            <w:tcW w:w="111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EBA8705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Higher = fewer likely FPs</w:t>
            </w:r>
          </w:p>
        </w:tc>
        <w:tc>
          <w:tcPr>
            <w:tcW w:w="47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4DAAC3A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3988BBA9" w14:textId="77777777" w:rsidTr="009762B3">
        <w:tc>
          <w:tcPr>
            <w:tcW w:w="1043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42FA3BD" w14:textId="311D6086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gnomAD</w:t>
            </w:r>
            <w:proofErr w:type="spellEnd"/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— common variants</w:t>
            </w:r>
          </w:p>
          <w:p w14:paraId="72A9575C" w14:textId="4C4F9974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 xml:space="preserve">MAF ≥ 0.05 in </w:t>
            </w:r>
            <w:proofErr w:type="spellStart"/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gnomAD</w:t>
            </w:r>
            <w:proofErr w:type="spellEnd"/>
          </w:p>
        </w:tc>
        <w:tc>
          <w:tcPr>
            <w:tcW w:w="1575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5894C1F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Caller performance on well-represented variants</w:t>
            </w:r>
          </w:p>
        </w:tc>
        <w:tc>
          <w:tcPr>
            <w:tcW w:w="783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F3A2A16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annotate</w:t>
            </w:r>
          </w:p>
        </w:tc>
        <w:tc>
          <w:tcPr>
            <w:tcW w:w="111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56D6C4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 xml:space="preserve">Use </w:t>
            </w:r>
            <w:proofErr w:type="spellStart"/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gnomAD</w:t>
            </w:r>
            <w:proofErr w:type="spellEnd"/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 xml:space="preserve"> AFR population</w:t>
            </w:r>
          </w:p>
        </w:tc>
        <w:tc>
          <w:tcPr>
            <w:tcW w:w="47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1DEC06B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60C27FAC" w14:textId="77777777" w:rsidTr="009762B3">
        <w:tc>
          <w:tcPr>
            <w:tcW w:w="1043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D9426B9" w14:textId="0451B64B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gnomAD</w:t>
            </w:r>
            <w:proofErr w:type="spellEnd"/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— rare variants</w:t>
            </w:r>
          </w:p>
          <w:p w14:paraId="479E695D" w14:textId="06E29235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 xml:space="preserve">MAF &lt; 0.05 in </w:t>
            </w:r>
            <w:proofErr w:type="spellStart"/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gnomAD</w:t>
            </w:r>
            <w:proofErr w:type="spellEnd"/>
          </w:p>
        </w:tc>
        <w:tc>
          <w:tcPr>
            <w:tcW w:w="1575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33CECAE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Caller sensitivity in underrepresented variants</w:t>
            </w:r>
          </w:p>
        </w:tc>
        <w:tc>
          <w:tcPr>
            <w:tcW w:w="783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3508528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annotate</w:t>
            </w:r>
          </w:p>
        </w:tc>
        <w:tc>
          <w:tcPr>
            <w:tcW w:w="111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3114757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Key metric for SAC cohort</w:t>
            </w:r>
          </w:p>
        </w:tc>
        <w:tc>
          <w:tcPr>
            <w:tcW w:w="47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8EABF86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6955C11A" w14:textId="77777777" w:rsidTr="009762B3">
        <w:tc>
          <w:tcPr>
            <w:tcW w:w="1043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0A8DD67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Novel variant rate</w:t>
            </w:r>
          </w:p>
          <w:p w14:paraId="09426BD3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 xml:space="preserve">Absent from </w:t>
            </w:r>
            <w:proofErr w:type="spellStart"/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gnomAD</w:t>
            </w:r>
            <w:proofErr w:type="spellEnd"/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 xml:space="preserve"> entirely</w:t>
            </w:r>
          </w:p>
        </w:tc>
        <w:tc>
          <w:tcPr>
            <w:tcW w:w="1575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42F21FE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Variants unique to this cohort — most informative for SAC</w:t>
            </w:r>
          </w:p>
        </w:tc>
        <w:tc>
          <w:tcPr>
            <w:tcW w:w="783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F37EAC9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annotate</w:t>
            </w:r>
          </w:p>
        </w:tc>
        <w:tc>
          <w:tcPr>
            <w:tcW w:w="1119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F36EEE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Expected higher in SAC than European cohorts</w:t>
            </w:r>
          </w:p>
        </w:tc>
        <w:tc>
          <w:tcPr>
            <w:tcW w:w="479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976B049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</w:tbl>
    <w:p w14:paraId="19DDE175" w14:textId="77777777" w:rsidR="009762B3" w:rsidRPr="009762B3" w:rsidRDefault="009762B3" w:rsidP="009762B3">
      <w:pPr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</w:pPr>
      <w:r w:rsidRPr="009762B3"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  <w:lastRenderedPageBreak/>
        <w:t>4 — CROSS-CALLER CONCORDANCE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3083"/>
        <w:gridCol w:w="1273"/>
        <w:gridCol w:w="2123"/>
        <w:gridCol w:w="912"/>
      </w:tblGrid>
      <w:tr w:rsidR="009762B3" w:rsidRPr="009762B3" w14:paraId="2E440FED" w14:textId="77777777" w:rsidTr="009762B3">
        <w:trPr>
          <w:tblHeader/>
        </w:trPr>
        <w:tc>
          <w:tcPr>
            <w:tcW w:w="90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1F0544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Metric</w:t>
            </w:r>
          </w:p>
        </w:tc>
        <w:tc>
          <w:tcPr>
            <w:tcW w:w="1708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19F1A5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What it tells you</w:t>
            </w:r>
          </w:p>
        </w:tc>
        <w:tc>
          <w:tcPr>
            <w:tcW w:w="70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582F05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Tool</w:t>
            </w:r>
          </w:p>
        </w:tc>
        <w:tc>
          <w:tcPr>
            <w:tcW w:w="117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1091D5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Notes</w:t>
            </w:r>
          </w:p>
        </w:tc>
        <w:tc>
          <w:tcPr>
            <w:tcW w:w="50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B76901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Source</w:t>
            </w:r>
          </w:p>
        </w:tc>
      </w:tr>
      <w:tr w:rsidR="009762B3" w:rsidRPr="009762B3" w14:paraId="47B69E54" w14:textId="77777777" w:rsidTr="009762B3">
        <w:tc>
          <w:tcPr>
            <w:tcW w:w="90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423B24C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3-caller overlap</w:t>
            </w:r>
          </w:p>
        </w:tc>
        <w:tc>
          <w:tcPr>
            <w:tcW w:w="1708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87BADC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High-confidence variant core — all callers agree</w:t>
            </w:r>
          </w:p>
        </w:tc>
        <w:tc>
          <w:tcPr>
            <w:tcW w:w="705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BC59C07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</w:t>
            </w: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isec</w:t>
            </w:r>
            <w:proofErr w:type="spellEnd"/>
          </w:p>
        </w:tc>
        <w:tc>
          <w:tcPr>
            <w:tcW w:w="117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6FFAD5C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Venn diagram across all 3</w:t>
            </w:r>
          </w:p>
        </w:tc>
        <w:tc>
          <w:tcPr>
            <w:tcW w:w="505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9AA5CCA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580D5833" w14:textId="77777777" w:rsidTr="009762B3">
        <w:tc>
          <w:tcPr>
            <w:tcW w:w="90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3E4DA67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Pairwise concordance</w:t>
            </w:r>
          </w:p>
        </w:tc>
        <w:tc>
          <w:tcPr>
            <w:tcW w:w="1708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D9B6BBF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Which two callers agree most closely</w:t>
            </w:r>
          </w:p>
        </w:tc>
        <w:tc>
          <w:tcPr>
            <w:tcW w:w="705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E815F6C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</w:t>
            </w: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isec</w:t>
            </w:r>
            <w:proofErr w:type="spellEnd"/>
          </w:p>
        </w:tc>
        <w:tc>
          <w:tcPr>
            <w:tcW w:w="117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4366E54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GATK vs DV, GATK vs DG, DV vs DG</w:t>
            </w:r>
          </w:p>
        </w:tc>
        <w:tc>
          <w:tcPr>
            <w:tcW w:w="505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73359EC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  <w:tr w:rsidR="009762B3" w:rsidRPr="009762B3" w14:paraId="621386A3" w14:textId="77777777" w:rsidTr="009762B3">
        <w:tc>
          <w:tcPr>
            <w:tcW w:w="906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2FD6F7A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Caller-unique variants</w:t>
            </w:r>
          </w:p>
        </w:tc>
        <w:tc>
          <w:tcPr>
            <w:tcW w:w="1708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FAA51B8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Where each caller diverges — most scientifically informative</w:t>
            </w:r>
          </w:p>
        </w:tc>
        <w:tc>
          <w:tcPr>
            <w:tcW w:w="705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40DD4BC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bcftools</w:t>
            </w:r>
            <w:proofErr w:type="spellEnd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 xml:space="preserve"> </w:t>
            </w:r>
            <w:proofErr w:type="spellStart"/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isec</w:t>
            </w:r>
            <w:proofErr w:type="spellEnd"/>
          </w:p>
        </w:tc>
        <w:tc>
          <w:tcPr>
            <w:tcW w:w="1176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1A728C9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Characterise by Ti/Tv, QUAL, variant type</w:t>
            </w:r>
          </w:p>
        </w:tc>
        <w:tc>
          <w:tcPr>
            <w:tcW w:w="505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4D45D7F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VCF only</w:t>
            </w:r>
          </w:p>
        </w:tc>
      </w:tr>
    </w:tbl>
    <w:p w14:paraId="2220F4B8" w14:textId="77777777" w:rsidR="009762B3" w:rsidRPr="009762B3" w:rsidRDefault="009762B3" w:rsidP="009762B3">
      <w:pPr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</w:pPr>
      <w:r w:rsidRPr="009762B3">
        <w:rPr>
          <w:rFonts w:eastAsia="Times New Roman"/>
          <w:caps/>
          <w:color w:val="0B0B0B"/>
          <w:spacing w:val="19"/>
          <w:sz w:val="17"/>
          <w:szCs w:val="17"/>
          <w:lang w:eastAsia="en-GB"/>
        </w:rPr>
        <w:t>5 — COMPUTATIONAL RESOURCES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1939"/>
        <w:gridCol w:w="1112"/>
        <w:gridCol w:w="4547"/>
      </w:tblGrid>
      <w:tr w:rsidR="009762B3" w:rsidRPr="009762B3" w14:paraId="04DD5993" w14:textId="77777777" w:rsidTr="009762B3">
        <w:trPr>
          <w:tblHeader/>
        </w:trPr>
        <w:tc>
          <w:tcPr>
            <w:tcW w:w="79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58FC6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Metric</w:t>
            </w:r>
          </w:p>
        </w:tc>
        <w:tc>
          <w:tcPr>
            <w:tcW w:w="107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D6DE4C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What it tells you</w:t>
            </w:r>
          </w:p>
        </w:tc>
        <w:tc>
          <w:tcPr>
            <w:tcW w:w="616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1AC0E8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Source</w:t>
            </w:r>
          </w:p>
        </w:tc>
        <w:tc>
          <w:tcPr>
            <w:tcW w:w="251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676011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17"/>
                <w:szCs w:val="17"/>
                <w:lang w:eastAsia="en-GB"/>
              </w:rPr>
              <w:t>Notes</w:t>
            </w:r>
          </w:p>
        </w:tc>
      </w:tr>
      <w:tr w:rsidR="009762B3" w:rsidRPr="009762B3" w14:paraId="489AED4A" w14:textId="77777777" w:rsidTr="009762B3">
        <w:tc>
          <w:tcPr>
            <w:tcW w:w="791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AC2175F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Wall clock time</w:t>
            </w:r>
          </w:p>
        </w:tc>
        <w:tc>
          <w:tcPr>
            <w:tcW w:w="1074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3076F7A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Actual elapsed run time per sample</w:t>
            </w:r>
          </w:p>
        </w:tc>
        <w:tc>
          <w:tcPr>
            <w:tcW w:w="61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F4C7E9B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PBS email logs</w:t>
            </w:r>
          </w:p>
        </w:tc>
        <w:tc>
          <w:tcPr>
            <w:tcW w:w="251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4A1A746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proofErr w:type="spellStart"/>
            <w:r w:rsidRPr="009762B3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resources_used.walltime</w:t>
            </w:r>
            <w:proofErr w:type="spellEnd"/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 — available for all GATK samples from CHPC emails</w:t>
            </w:r>
          </w:p>
        </w:tc>
      </w:tr>
      <w:tr w:rsidR="009762B3" w:rsidRPr="009762B3" w14:paraId="38DAF6F9" w14:textId="77777777" w:rsidTr="009762B3">
        <w:tc>
          <w:tcPr>
            <w:tcW w:w="791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A8E06F2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CPU time + utilisation</w:t>
            </w:r>
          </w:p>
        </w:tc>
        <w:tc>
          <w:tcPr>
            <w:tcW w:w="1074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5AD74AA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Parallelisation efficiency per caller</w:t>
            </w:r>
          </w:p>
        </w:tc>
        <w:tc>
          <w:tcPr>
            <w:tcW w:w="616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A61763F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PBS email logs</w:t>
            </w:r>
          </w:p>
        </w:tc>
        <w:tc>
          <w:tcPr>
            <w:tcW w:w="2519" w:type="pct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8023C94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proofErr w:type="spellStart"/>
            <w:r w:rsidRPr="009762B3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resources_used.cput</w:t>
            </w:r>
            <w:proofErr w:type="spellEnd"/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 + </w:t>
            </w:r>
            <w:proofErr w:type="spellStart"/>
            <w:r w:rsidRPr="009762B3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cpupercent</w:t>
            </w:r>
            <w:proofErr w:type="spellEnd"/>
          </w:p>
        </w:tc>
      </w:tr>
      <w:tr w:rsidR="009762B3" w:rsidRPr="009762B3" w14:paraId="5E3D0B57" w14:textId="77777777" w:rsidTr="009762B3">
        <w:tc>
          <w:tcPr>
            <w:tcW w:w="791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34175F0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Peak memory (RAM)</w:t>
            </w:r>
          </w:p>
        </w:tc>
        <w:tc>
          <w:tcPr>
            <w:tcW w:w="1074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1565CF7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Infrastructure requirements per caller</w:t>
            </w:r>
          </w:p>
        </w:tc>
        <w:tc>
          <w:tcPr>
            <w:tcW w:w="616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9395556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9762B3">
              <w:rPr>
                <w:rFonts w:ascii="var(--font-mono)" w:eastAsia="Times New Roman" w:hAnsi="var(--font-mono)" w:cs="Times New Roman"/>
                <w:sz w:val="17"/>
                <w:szCs w:val="17"/>
                <w:lang w:eastAsia="en-GB"/>
              </w:rPr>
              <w:t>PBS email logs</w:t>
            </w:r>
          </w:p>
        </w:tc>
        <w:tc>
          <w:tcPr>
            <w:tcW w:w="2519" w:type="pct"/>
            <w:tcBorders>
              <w:bottom w:val="nil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78B8369" w14:textId="77777777" w:rsidR="009762B3" w:rsidRPr="009762B3" w:rsidRDefault="009762B3" w:rsidP="009762B3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  <w:proofErr w:type="spellStart"/>
            <w:r w:rsidRPr="009762B3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resources_used.mem</w:t>
            </w:r>
            <w:proofErr w:type="spellEnd"/>
            <w:r w:rsidRPr="009762B3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 — record for DV and DRAGEN-GATK as you run</w:t>
            </w:r>
          </w:p>
        </w:tc>
      </w:tr>
    </w:tbl>
    <w:p w14:paraId="66E8EB49" w14:textId="77777777" w:rsidR="009762B3" w:rsidRPr="009762B3" w:rsidRDefault="009762B3" w:rsidP="009762B3">
      <w:pPr>
        <w:rPr>
          <w:rFonts w:eastAsia="Times New Roman"/>
          <w:sz w:val="18"/>
          <w:szCs w:val="18"/>
          <w:lang w:eastAsia="en-GB"/>
        </w:rPr>
      </w:pPr>
      <w:r w:rsidRPr="009762B3">
        <w:rPr>
          <w:rFonts w:eastAsia="Times New Roman"/>
          <w:sz w:val="18"/>
          <w:szCs w:val="18"/>
          <w:lang w:eastAsia="en-GB"/>
        </w:rPr>
        <w:t xml:space="preserve">DV = </w:t>
      </w:r>
      <w:proofErr w:type="spellStart"/>
      <w:r w:rsidRPr="009762B3">
        <w:rPr>
          <w:rFonts w:eastAsia="Times New Roman"/>
          <w:sz w:val="18"/>
          <w:szCs w:val="18"/>
          <w:lang w:eastAsia="en-GB"/>
        </w:rPr>
        <w:t>DeepVariant</w:t>
      </w:r>
      <w:proofErr w:type="spellEnd"/>
      <w:r w:rsidRPr="009762B3">
        <w:rPr>
          <w:rFonts w:eastAsia="Times New Roman"/>
          <w:sz w:val="18"/>
          <w:szCs w:val="18"/>
          <w:lang w:eastAsia="en-GB"/>
        </w:rPr>
        <w:t xml:space="preserve">  ·  DG = DRAGEN-GATK  ·  FP = false positive  ·  SAC = South African Coloured  ·  AFR = </w:t>
      </w:r>
      <w:proofErr w:type="spellStart"/>
      <w:r w:rsidRPr="009762B3">
        <w:rPr>
          <w:rFonts w:eastAsia="Times New Roman"/>
          <w:sz w:val="18"/>
          <w:szCs w:val="18"/>
          <w:lang w:eastAsia="en-GB"/>
        </w:rPr>
        <w:t>gnomAD</w:t>
      </w:r>
      <w:proofErr w:type="spellEnd"/>
      <w:r w:rsidRPr="009762B3">
        <w:rPr>
          <w:rFonts w:eastAsia="Times New Roman"/>
          <w:sz w:val="18"/>
          <w:szCs w:val="18"/>
          <w:lang w:eastAsia="en-GB"/>
        </w:rPr>
        <w:t xml:space="preserve"> African population  ·  All VCF metrics run per-sample then averaged across cohort</w:t>
      </w:r>
    </w:p>
    <w:p w14:paraId="656ED30B" w14:textId="77777777" w:rsidR="009E24B2" w:rsidRDefault="009E24B2"/>
    <w:sectPr w:rsidR="009E2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B3"/>
    <w:rsid w:val="003F6B12"/>
    <w:rsid w:val="0072468D"/>
    <w:rsid w:val="009762B3"/>
    <w:rsid w:val="00980F42"/>
    <w:rsid w:val="009E24B2"/>
    <w:rsid w:val="00A522FC"/>
    <w:rsid w:val="00E4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EED8D3"/>
  <w15:chartTrackingRefBased/>
  <w15:docId w15:val="{5431AED3-3FB9-5B43-AF05-047AE7EE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F42"/>
  </w:style>
  <w:style w:type="paragraph" w:styleId="Heading1">
    <w:name w:val="heading 1"/>
    <w:link w:val="Heading1Char"/>
    <w:uiPriority w:val="9"/>
    <w:qFormat/>
    <w:rsid w:val="00980F42"/>
    <w:pPr>
      <w:spacing w:before="320" w:after="160"/>
      <w:outlineLvl w:val="0"/>
    </w:pPr>
    <w:rPr>
      <w:b/>
      <w:bCs/>
      <w:color w:val="2E4057"/>
      <w:sz w:val="28"/>
      <w:szCs w:val="28"/>
    </w:rPr>
  </w:style>
  <w:style w:type="paragraph" w:styleId="Heading2">
    <w:name w:val="heading 2"/>
    <w:link w:val="Heading2Char"/>
    <w:uiPriority w:val="9"/>
    <w:unhideWhenUsed/>
    <w:qFormat/>
    <w:rsid w:val="00980F42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980F42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980F42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980F42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980F42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2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2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2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980F4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80F42"/>
    <w:rPr>
      <w:b/>
      <w:bCs/>
      <w:color w:val="2E4057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80F42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F42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F42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F42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F42"/>
    <w:rPr>
      <w:color w:val="1F4D78"/>
    </w:rPr>
  </w:style>
  <w:style w:type="paragraph" w:styleId="Title">
    <w:name w:val="Title"/>
    <w:link w:val="TitleChar"/>
    <w:uiPriority w:val="10"/>
    <w:qFormat/>
    <w:rsid w:val="00980F42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F42"/>
    <w:rPr>
      <w:sz w:val="56"/>
      <w:szCs w:val="56"/>
    </w:rPr>
  </w:style>
  <w:style w:type="paragraph" w:styleId="ListParagraph">
    <w:name w:val="List Paragraph"/>
    <w:qFormat/>
    <w:rsid w:val="00980F42"/>
  </w:style>
  <w:style w:type="character" w:customStyle="1" w:styleId="Heading7Char">
    <w:name w:val="Heading 7 Char"/>
    <w:basedOn w:val="DefaultParagraphFont"/>
    <w:link w:val="Heading7"/>
    <w:uiPriority w:val="9"/>
    <w:semiHidden/>
    <w:rsid w:val="009762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2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2B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2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2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2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2B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76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2B3"/>
    <w:rPr>
      <w:b/>
      <w:bCs/>
      <w:smallCaps/>
      <w:color w:val="0F4761" w:themeColor="accent1" w:themeShade="BF"/>
      <w:spacing w:val="5"/>
    </w:rPr>
  </w:style>
  <w:style w:type="paragraph" w:customStyle="1" w:styleId="subtitle0">
    <w:name w:val="subtitle"/>
    <w:basedOn w:val="Normal"/>
    <w:rsid w:val="009762B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etric">
    <w:name w:val="metric"/>
    <w:basedOn w:val="DefaultParagraphFont"/>
    <w:rsid w:val="009762B3"/>
  </w:style>
  <w:style w:type="character" w:customStyle="1" w:styleId="tool">
    <w:name w:val="tool"/>
    <w:basedOn w:val="DefaultParagraphFont"/>
    <w:rsid w:val="009762B3"/>
  </w:style>
  <w:style w:type="character" w:customStyle="1" w:styleId="badge">
    <w:name w:val="badge"/>
    <w:basedOn w:val="DefaultParagraphFont"/>
    <w:rsid w:val="009762B3"/>
  </w:style>
  <w:style w:type="character" w:styleId="HTMLCode">
    <w:name w:val="HTML Code"/>
    <w:basedOn w:val="DefaultParagraphFont"/>
    <w:uiPriority w:val="99"/>
    <w:semiHidden/>
    <w:unhideWhenUsed/>
    <w:rsid w:val="009762B3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76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Lamprecht, Y, Miss [ylamprecht@sun.ac.za]</dc:creator>
  <cp:keywords/>
  <dc:description/>
  <cp:lastModifiedBy>Lamprecht, Y, Miss [ylamprecht@sun.ac.za]</cp:lastModifiedBy>
  <cp:revision>1</cp:revision>
  <dcterms:created xsi:type="dcterms:W3CDTF">2026-06-29T12:27:00Z</dcterms:created>
  <dcterms:modified xsi:type="dcterms:W3CDTF">2026-06-29T12:35:00Z</dcterms:modified>
</cp:coreProperties>
</file>