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A1A2E"/>
          <w:sz w:val="56"/>
          <w:szCs w:val="56"/>
        </w:rPr>
        <w:t xml:space="preserve">AuthHub</w:t>
      </w:r>
    </w:p>
    <w:p>
      <w:pPr>
        <w:spacing w:before="0" w:after="80"/>
        <w:jc w:val="center"/>
      </w:pPr>
      <w:r>
        <w:rPr>
          <w:rFonts w:ascii="Arial" w:cs="Arial" w:eastAsia="Arial" w:hAnsi="Arial"/>
          <w:color w:val="4A90D9"/>
          <w:sz w:val="30"/>
          <w:szCs w:val="30"/>
        </w:rPr>
        <w:t xml:space="preserve">Future Features Roadmap</w:t>
      </w:r>
    </w:p>
    <w:p>
      <w:pPr>
        <w:spacing w:before="0" w:after="600"/>
        <w:jc w:val="center"/>
      </w:pPr>
      <w:r>
        <w:rPr>
          <w:rFonts w:ascii="Arial" w:cs="Arial" w:eastAsia="Arial" w:hAnsi="Arial"/>
          <w:i/>
          <w:iCs/>
          <w:color w:val="999999"/>
          <w:sz w:val="20"/>
          <w:szCs w:val="20"/>
        </w:rPr>
        <w:t xml:space="preserve">Internal Planning Document  •  Confidential</w:t>
      </w:r>
    </w:p>
    <w:p>
      <w:pPr>
        <w:pStyle w:val="Heading1"/>
        <w:pBdr>
          <w:bottom w:val="single" w:color="4A90D9" w:sz="4" w:space="4"/>
        </w:pBdr>
        <w:spacing w:before="400" w:after="200"/>
      </w:pPr>
      <w:r>
        <w:rPr>
          <w:rFonts w:ascii="Arial" w:cs="Arial" w:eastAsia="Arial" w:hAnsi="Arial"/>
          <w:b/>
          <w:bCs/>
          <w:color w:val="1A1A2E"/>
          <w:sz w:val="32"/>
          <w:szCs w:val="32"/>
        </w:rPr>
        <w:t xml:space="preserve">Overview</w:t>
      </w:r>
    </w:p>
    <w:p>
      <w:pPr>
        <w:spacing w:before="100" w:after="100"/>
        <w:ind/>
      </w:pPr>
      <w:r>
        <w:rPr>
          <w:rFonts w:ascii="Arial" w:cs="Arial" w:eastAsia="Arial" w:hAnsi="Arial"/>
          <w:color w:val="333333"/>
          <w:sz w:val="22"/>
          <w:szCs w:val="22"/>
        </w:rPr>
        <w:t xml:space="preserve">AuthHub is a self-hosted, enterprise-grade authentication and authorization service. The core mission is to eliminate the need to rebuild auth logic across every new application — Xemora, RentalTrack, LugaLingo, and any future projects.</w:t>
      </w:r>
    </w:p>
    <w:p>
      <w:pPr>
        <w:spacing w:before="100" w:after="100"/>
        <w:ind/>
      </w:pPr>
      <w:r>
        <w:rPr>
          <w:rFonts w:ascii="Arial" w:cs="Arial" w:eastAsia="Arial" w:hAnsi="Arial"/>
          <w:color w:val="333333"/>
          <w:sz w:val="22"/>
          <w:szCs w:val="22"/>
        </w:rPr>
        <w:t xml:space="preserve">This document captures the three major differentiating features planned for AuthHub that no existing provider (Auth0, Supabase, Clerk, Google) currently solves well. These features are not required for the personal utility phase but will define AuthHub's competitive identity if it ever opens to external developers.</w:t>
      </w:r>
    </w:p>
    <w:p>
      <w:pPr>
        <w:spacing w:before="200"/>
      </w:pPr>
    </w:p>
    <w:p>
      <w:pPr>
        <w:pStyle w:val="Heading1"/>
        <w:pBdr>
          <w:bottom w:val="single" w:color="4A90D9" w:sz="4" w:space="4"/>
        </w:pBdr>
        <w:spacing w:before="400" w:after="200"/>
      </w:pPr>
      <w:r>
        <w:rPr>
          <w:rFonts w:ascii="Arial" w:cs="Arial" w:eastAsia="Arial" w:hAnsi="Arial"/>
          <w:b/>
          <w:bCs/>
          <w:color w:val="1A1A2E"/>
          <w:sz w:val="32"/>
          <w:szCs w:val="32"/>
        </w:rPr>
        <w:t xml:space="preserve">Feature 1: Entitlement Sync (Billing-Aware Auth)</w:t>
      </w:r>
    </w:p>
    <w:p>
      <w:pPr>
        <w:spacing w:before="160" w:after="160"/>
      </w:pPr>
      <w:r>
        <w:rPr>
          <w:rFonts w:ascii="Arial" w:cs="Arial" w:eastAsia="Arial" w:hAnsi="Arial"/>
          <w:b/>
          <w:bCs/>
          <w:color w:val="1A1A2E"/>
          <w:sz w:val="22"/>
          <w:szCs w:val="22"/>
        </w:rPr>
        <w:t xml:space="preserve">The one-line pitch:</w:t>
      </w:r>
    </w:p>
    <w:p>
      <w:pPr>
        <w:pBdr>
          <w:left w:val="single" w:color="4A90D9" w:sz="8" w:space="8"/>
        </w:pBdr>
        <w:spacing w:before="0" w:after="240"/>
        <w:ind w:left="360"/>
      </w:pPr>
      <w:r>
        <w:rPr>
          <w:rFonts w:ascii="Arial" w:cs="Arial" w:eastAsia="Arial" w:hAnsi="Arial"/>
          <w:i/>
          <w:iCs/>
          <w:color w:val="16213E"/>
          <w:sz w:val="24"/>
          <w:szCs w:val="24"/>
        </w:rPr>
        <w:t xml:space="preserve">"Auth0 tells you who your user is. AuthHub tells you what they're allowed to do — and keeps it in sync with your billing automatically."</w:t>
      </w:r>
    </w:p>
    <w:p>
      <w:pPr>
        <w:pStyle w:val="Heading2"/>
        <w:spacing w:before="320" w:after="160"/>
      </w:pPr>
      <w:r>
        <w:rPr>
          <w:rFonts w:ascii="Arial" w:cs="Arial" w:eastAsia="Arial" w:hAnsi="Arial"/>
          <w:b/>
          <w:bCs/>
          <w:color w:val="16213E"/>
          <w:sz w:val="26"/>
          <w:szCs w:val="26"/>
        </w:rPr>
        <w:t xml:space="preserve">The Problem</w:t>
      </w:r>
    </w:p>
    <w:p>
      <w:pPr>
        <w:spacing w:before="100" w:after="100"/>
        <w:ind/>
      </w:pPr>
      <w:r>
        <w:rPr>
          <w:rFonts w:ascii="Arial" w:cs="Arial" w:eastAsia="Arial" w:hAnsi="Arial"/>
          <w:color w:val="333333"/>
          <w:sz w:val="22"/>
          <w:szCs w:val="22"/>
        </w:rPr>
        <w:t xml:space="preserve">Every B2B SaaS developer hits this wall around month 3 of building their product: a user upgrades their Stripe plan, but the auth layer has no idea. The developer must manually build webhook listeners, update a permissions table, re-issue tokens, and handle edge cases like cancellations, seat limits, and org-level downgrades.</w:t>
      </w:r>
    </w:p>
    <w:p>
      <w:pPr>
        <w:spacing w:before="100" w:after="100"/>
        <w:ind/>
      </w:pPr>
      <w:r>
        <w:rPr>
          <w:rFonts w:ascii="Arial" w:cs="Arial" w:eastAsia="Arial" w:hAnsi="Arial"/>
          <w:color w:val="333333"/>
          <w:sz w:val="22"/>
          <w:szCs w:val="22"/>
        </w:rPr>
        <w:t xml:space="preserve">Every single company rebuilds this same plumbing from scratch. It takes 2–3 weeks of senior engineering time and is routinely buggy.</w:t>
      </w:r>
    </w:p>
    <w:p>
      <w:pPr>
        <w:pStyle w:val="Heading2"/>
        <w:spacing w:before="320" w:after="160"/>
      </w:pPr>
      <w:r>
        <w:rPr>
          <w:rFonts w:ascii="Arial" w:cs="Arial" w:eastAsia="Arial" w:hAnsi="Arial"/>
          <w:b/>
          <w:bCs/>
          <w:color w:val="16213E"/>
          <w:sz w:val="26"/>
          <w:szCs w:val="26"/>
        </w:rPr>
        <w:t xml:space="preserve">What AuthHub Does</w:t>
      </w:r>
    </w:p>
    <w:p>
      <w:pPr>
        <w:spacing w:before="100" w:after="100"/>
        <w:ind/>
      </w:pPr>
      <w:r>
        <w:rPr>
          <w:rFonts w:ascii="Arial" w:cs="Arial" w:eastAsia="Arial" w:hAnsi="Arial"/>
          <w:color w:val="333333"/>
          <w:sz w:val="22"/>
          <w:szCs w:val="22"/>
        </w:rPr>
        <w:t xml:space="preserve">You connect AuthHub to Stripe once, then define a mapping in a config file:</w:t>
      </w:r>
    </w:p>
    <w:p>
      <w:pPr>
        <w:pStyle w:val="ListParagraph"/>
        <w:numPr>
          <w:ilvl w:val="0"/>
          <w:numId w:val="2"/>
        </w:numPr>
        <w:spacing w:before="80" w:after="80"/>
      </w:pPr>
      <w:r>
        <w:rPr>
          <w:rFonts w:ascii="Arial" w:cs="Arial" w:eastAsia="Arial" w:hAnsi="Arial"/>
          <w:color w:val="333333"/>
          <w:sz w:val="22"/>
          <w:szCs w:val="22"/>
        </w:rPr>
        <w:t xml:space="preserve">Pro Plan  →  grant scopes: [unlimited_projects, team_collaboration]</w:t>
      </w:r>
    </w:p>
    <w:p>
      <w:pPr>
        <w:pStyle w:val="ListParagraph"/>
        <w:numPr>
          <w:ilvl w:val="0"/>
          <w:numId w:val="2"/>
        </w:numPr>
        <w:spacing w:before="80" w:after="80"/>
      </w:pPr>
      <w:r>
        <w:rPr>
          <w:rFonts w:ascii="Arial" w:cs="Arial" w:eastAsia="Arial" w:hAnsi="Arial"/>
          <w:color w:val="333333"/>
          <w:sz w:val="22"/>
          <w:szCs w:val="22"/>
        </w:rPr>
        <w:t xml:space="preserve">Free Plan  →  grant scopes: [projects:max_3]</w:t>
      </w:r>
    </w:p>
    <w:p>
      <w:pPr>
        <w:spacing w:before="100" w:after="100"/>
        <w:ind/>
      </w:pPr>
      <w:r>
        <w:rPr>
          <w:rFonts w:ascii="Arial" w:cs="Arial" w:eastAsia="Arial" w:hAnsi="Arial"/>
          <w:color w:val="333333"/>
          <w:sz w:val="22"/>
          <w:szCs w:val="22"/>
        </w:rPr>
        <w:t xml:space="preserve">From that point on, every JWT AuthHub issues automatically reflects the user's current Stripe subscription — in real time. When a subscription is cancelled at midnight, the user's token at 12:01am says 'free'. No code required.</w:t>
      </w:r>
    </w:p>
    <w:p>
      <w:pPr>
        <w:pStyle w:val="Heading2"/>
        <w:spacing w:before="320" w:after="160"/>
      </w:pPr>
      <w:r>
        <w:rPr>
          <w:rFonts w:ascii="Arial" w:cs="Arial" w:eastAsia="Arial" w:hAnsi="Arial"/>
          <w:b/>
          <w:bCs/>
          <w:color w:val="16213E"/>
          <w:sz w:val="26"/>
          <w:szCs w:val="26"/>
        </w:rPr>
        <w:t xml:space="preserve">Build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0E0E0" w:sz="1"/>
              <w:left w:val="single" w:color="E0E0E0" w:sz="1"/>
              <w:bottom w:val="single" w:color="E0E0E0" w:sz="1"/>
              <w:right w:val="single" w:color="E0E0E0" w:sz="1"/>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PLANNED</w:t>
            </w:r>
          </w:p>
        </w:tc>
        <w:tc>
          <w:tcPr>
            <w:tcW w:type="dxa" w:w="7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Stripe webhook integration (catch subscription events)</w:t>
            </w:r>
          </w:p>
        </w:tc>
      </w:tr>
      <w:tr>
        <w:tc>
          <w:tcPr>
            <w:tcW w:type="dxa" w:w="1400"/>
            <w:tcBorders>
              <w:top w:val="single" w:color="E0E0E0" w:sz="1"/>
              <w:left w:val="single" w:color="E0E0E0" w:sz="1"/>
              <w:bottom w:val="single" w:color="E0E0E0" w:sz="1"/>
              <w:right w:val="single" w:color="E0E0E0" w:sz="1"/>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PLANNED</w:t>
            </w:r>
          </w:p>
        </w:tc>
        <w:tc>
          <w:tcPr>
            <w:tcW w:type="dxa" w:w="7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Entitlement mapping config (YAML / Dashboard UI)</w:t>
            </w:r>
          </w:p>
        </w:tc>
      </w:tr>
      <w:tr>
        <w:tc>
          <w:tcPr>
            <w:tcW w:type="dxa" w:w="1400"/>
            <w:tcBorders>
              <w:top w:val="single" w:color="E0E0E0" w:sz="1"/>
              <w:left w:val="single" w:color="E0E0E0" w:sz="1"/>
              <w:bottom w:val="single" w:color="E0E0E0" w:sz="1"/>
              <w:right w:val="single" w:color="E0E0E0" w:sz="1"/>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PLANNED</w:t>
            </w:r>
          </w:p>
        </w:tc>
        <w:tc>
          <w:tcPr>
            <w:tcW w:type="dxa" w:w="7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JWT auto-enrichment with scopes, limits, plan name</w:t>
            </w:r>
          </w:p>
        </w:tc>
      </w:tr>
      <w:tr>
        <w:tc>
          <w:tcPr>
            <w:tcW w:type="dxa" w:w="1400"/>
            <w:tcBorders>
              <w:top w:val="single" w:color="E0E0E0" w:sz="1"/>
              <w:left w:val="single" w:color="E0E0E0" w:sz="1"/>
              <w:bottom w:val="single" w:color="E0E0E0" w:sz="1"/>
              <w:right w:val="single" w:color="E0E0E0" w:sz="1"/>
            </w:tcBorders>
            <w:shd w:fill="95A5A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PLANNED</w:t>
            </w:r>
          </w:p>
        </w:tc>
        <w:tc>
          <w:tcPr>
            <w:tcW w:type="dxa" w:w="7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Support for Paddle, LemonSqueezy as billing providers</w:t>
            </w:r>
          </w:p>
        </w:tc>
      </w:tr>
    </w:tbl>
    <w:p>
      <w:pPr>
        <w:spacing w:before="400"/>
      </w:pPr>
    </w:p>
    <w:p>
      <w:pPr>
        <w:pStyle w:val="Heading1"/>
        <w:pBdr>
          <w:bottom w:val="single" w:color="4A90D9" w:sz="4" w:space="4"/>
        </w:pBdr>
        <w:spacing w:before="400" w:after="200"/>
      </w:pPr>
      <w:r>
        <w:rPr>
          <w:rFonts w:ascii="Arial" w:cs="Arial" w:eastAsia="Arial" w:hAnsi="Arial"/>
          <w:b/>
          <w:bCs/>
          <w:color w:val="1A1A2E"/>
          <w:sz w:val="32"/>
          <w:szCs w:val="32"/>
        </w:rPr>
        <w:t xml:space="preserve">Feature 2: Auth Observability (Login Funnel Analytics)</w:t>
      </w:r>
    </w:p>
    <w:p>
      <w:pPr>
        <w:spacing w:before="160" w:after="160"/>
      </w:pPr>
      <w:r>
        <w:rPr>
          <w:rFonts w:ascii="Arial" w:cs="Arial" w:eastAsia="Arial" w:hAnsi="Arial"/>
          <w:b/>
          <w:bCs/>
          <w:color w:val="1A1A2E"/>
          <w:sz w:val="22"/>
          <w:szCs w:val="22"/>
        </w:rPr>
        <w:t xml:space="preserve">The one-line pitch:</w:t>
      </w:r>
    </w:p>
    <w:p>
      <w:pPr>
        <w:pBdr>
          <w:left w:val="single" w:color="4A90D9" w:sz="8" w:space="8"/>
        </w:pBdr>
        <w:spacing w:before="0" w:after="240"/>
        <w:ind w:left="360"/>
      </w:pPr>
      <w:r>
        <w:rPr>
          <w:rFonts w:ascii="Arial" w:cs="Arial" w:eastAsia="Arial" w:hAnsi="Arial"/>
          <w:i/>
          <w:iCs/>
          <w:color w:val="16213E"/>
          <w:sz w:val="24"/>
          <w:szCs w:val="24"/>
        </w:rPr>
        <w:t xml:space="preserve">"Your login page is a black box. Auth Observability turns it into a conversion funnel you can actually act on."</w:t>
      </w:r>
    </w:p>
    <w:p>
      <w:pPr>
        <w:pStyle w:val="Heading2"/>
        <w:spacing w:before="320" w:after="160"/>
      </w:pPr>
      <w:r>
        <w:rPr>
          <w:rFonts w:ascii="Arial" w:cs="Arial" w:eastAsia="Arial" w:hAnsi="Arial"/>
          <w:b/>
          <w:bCs/>
          <w:color w:val="16213E"/>
          <w:sz w:val="26"/>
          <w:szCs w:val="26"/>
        </w:rPr>
        <w:t xml:space="preserve">The Problem</w:t>
      </w:r>
    </w:p>
    <w:p>
      <w:pPr>
        <w:spacing w:before="100" w:after="100"/>
        <w:ind/>
      </w:pPr>
      <w:r>
        <w:rPr>
          <w:rFonts w:ascii="Arial" w:cs="Arial" w:eastAsia="Arial" w:hAnsi="Arial"/>
          <w:color w:val="333333"/>
          <w:sz w:val="22"/>
          <w:szCs w:val="22"/>
        </w:rPr>
        <w:t xml:space="preserve">No major auth provider — not Auth0, not Clerk, not Supabase — tells you what is happening inside your login flow as a product metric. You have no idea what percentage of users start login but never finish, where they drop off, which MFA method causes the most abandonment, or what time of day bot traffic peaks.</w:t>
      </w:r>
    </w:p>
    <w:p>
      <w:pPr>
        <w:pStyle w:val="Heading2"/>
        <w:spacing w:before="320" w:after="160"/>
      </w:pPr>
      <w:r>
        <w:rPr>
          <w:rFonts w:ascii="Arial" w:cs="Arial" w:eastAsia="Arial" w:hAnsi="Arial"/>
          <w:b/>
          <w:bCs/>
          <w:color w:val="16213E"/>
          <w:sz w:val="26"/>
          <w:szCs w:val="26"/>
        </w:rPr>
        <w:t xml:space="preserve">What AuthHub Does</w:t>
      </w:r>
    </w:p>
    <w:p>
      <w:pPr>
        <w:spacing w:before="100" w:after="100"/>
        <w:ind/>
      </w:pPr>
      <w:r>
        <w:rPr>
          <w:rFonts w:ascii="Arial" w:cs="Arial" w:eastAsia="Arial" w:hAnsi="Arial"/>
          <w:color w:val="333333"/>
          <w:sz w:val="22"/>
          <w:szCs w:val="22"/>
        </w:rPr>
        <w:t xml:space="preserve">AuthHub tracks every step of the authentication flow and presents it as a conversion funnel dashboard:</w:t>
      </w:r>
    </w:p>
    <w:p>
      <w:pPr>
        <w:pStyle w:val="ListParagraph"/>
        <w:numPr>
          <w:ilvl w:val="0"/>
          <w:numId w:val="2"/>
        </w:numPr>
        <w:spacing w:before="80" w:after="80"/>
      </w:pPr>
      <w:r>
        <w:rPr>
          <w:rFonts w:ascii="Arial" w:cs="Arial" w:eastAsia="Arial" w:hAnsi="Arial"/>
          <w:color w:val="333333"/>
          <w:sz w:val="22"/>
          <w:szCs w:val="22"/>
        </w:rPr>
        <w:t xml:space="preserve">Started Login: 10,000 users</w:t>
      </w:r>
    </w:p>
    <w:p>
      <w:pPr>
        <w:pStyle w:val="ListParagraph"/>
        <w:numPr>
          <w:ilvl w:val="0"/>
          <w:numId w:val="2"/>
        </w:numPr>
        <w:spacing w:before="80" w:after="80"/>
      </w:pPr>
      <w:r>
        <w:rPr>
          <w:rFonts w:ascii="Arial" w:cs="Arial" w:eastAsia="Arial" w:hAnsi="Arial"/>
          <w:color w:val="333333"/>
          <w:sz w:val="22"/>
          <w:szCs w:val="22"/>
        </w:rPr>
        <w:t xml:space="preserve">Entered Password: 8,400 (84%)</w:t>
      </w:r>
    </w:p>
    <w:p>
      <w:pPr>
        <w:pStyle w:val="ListParagraph"/>
        <w:numPr>
          <w:ilvl w:val="0"/>
          <w:numId w:val="2"/>
        </w:numPr>
        <w:spacing w:before="80" w:after="80"/>
      </w:pPr>
      <w:r>
        <w:rPr>
          <w:rFonts w:ascii="Arial" w:cs="Arial" w:eastAsia="Arial" w:hAnsi="Arial"/>
          <w:color w:val="333333"/>
          <w:sz w:val="22"/>
          <w:szCs w:val="22"/>
        </w:rPr>
        <w:t xml:space="preserve">Passed MFA: 6,200 (74%)  ←  large drop indicates broken MFA UX</w:t>
      </w:r>
    </w:p>
    <w:p>
      <w:pPr>
        <w:pStyle w:val="ListParagraph"/>
        <w:numPr>
          <w:ilvl w:val="0"/>
          <w:numId w:val="2"/>
        </w:numPr>
        <w:spacing w:before="80" w:after="80"/>
      </w:pPr>
      <w:r>
        <w:rPr>
          <w:rFonts w:ascii="Arial" w:cs="Arial" w:eastAsia="Arial" w:hAnsi="Arial"/>
          <w:color w:val="333333"/>
          <w:sz w:val="22"/>
          <w:szCs w:val="22"/>
        </w:rPr>
        <w:t xml:space="preserve">Completed Login: 6,100 (98%)</w:t>
      </w:r>
    </w:p>
    <w:p>
      <w:pPr>
        <w:spacing w:before="100" w:after="100"/>
        <w:ind/>
      </w:pPr>
      <w:r>
        <w:rPr>
          <w:rFonts w:ascii="Arial" w:cs="Arial" w:eastAsia="Arial" w:hAnsi="Arial"/>
          <w:color w:val="333333"/>
          <w:sz w:val="22"/>
          <w:szCs w:val="22"/>
        </w:rPr>
        <w:t xml:space="preserve">Additional signals include: social login conversion rates (Google vs GitHub), geographic login anomalies, device fingerprint changes, and failed attempt patterns that indicate credential stuffing attacks.</w:t>
      </w:r>
    </w:p>
    <w:p>
      <w:pPr>
        <w:pStyle w:val="Heading2"/>
        <w:spacing w:before="320" w:after="160"/>
      </w:pPr>
      <w:r>
        <w:rPr>
          <w:rFonts w:ascii="Arial" w:cs="Arial" w:eastAsia="Arial" w:hAnsi="Arial"/>
          <w:b/>
          <w:bCs/>
          <w:color w:val="16213E"/>
          <w:sz w:val="26"/>
          <w:szCs w:val="26"/>
        </w:rPr>
        <w:t xml:space="preserve">Build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0E0E0" w:sz="1"/>
              <w:left w:val="single" w:color="E0E0E0" w:sz="1"/>
              <w:bottom w:val="single" w:color="E0E0E0" w:sz="1"/>
              <w:right w:val="single" w:color="E0E0E0" w:sz="1"/>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PLANNED</w:t>
            </w:r>
          </w:p>
        </w:tc>
        <w:tc>
          <w:tcPr>
            <w:tcW w:type="dxa" w:w="7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Event tracking at each auth flow step</w:t>
            </w:r>
          </w:p>
        </w:tc>
      </w:tr>
      <w:tr>
        <w:tc>
          <w:tcPr>
            <w:tcW w:type="dxa" w:w="1400"/>
            <w:tcBorders>
              <w:top w:val="single" w:color="E0E0E0" w:sz="1"/>
              <w:left w:val="single" w:color="E0E0E0" w:sz="1"/>
              <w:bottom w:val="single" w:color="E0E0E0" w:sz="1"/>
              <w:right w:val="single" w:color="E0E0E0" w:sz="1"/>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PLANNED</w:t>
            </w:r>
          </w:p>
        </w:tc>
        <w:tc>
          <w:tcPr>
            <w:tcW w:type="dxa" w:w="7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Funnel visualization dashboard (per Tenant / per App)</w:t>
            </w:r>
          </w:p>
        </w:tc>
      </w:tr>
      <w:tr>
        <w:tc>
          <w:tcPr>
            <w:tcW w:type="dxa" w:w="1400"/>
            <w:tcBorders>
              <w:top w:val="single" w:color="E0E0E0" w:sz="1"/>
              <w:left w:val="single" w:color="E0E0E0" w:sz="1"/>
              <w:bottom w:val="single" w:color="E0E0E0" w:sz="1"/>
              <w:right w:val="single" w:color="E0E0E0" w:sz="1"/>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PLANNED</w:t>
            </w:r>
          </w:p>
        </w:tc>
        <w:tc>
          <w:tcPr>
            <w:tcW w:type="dxa" w:w="7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Bot / credential stuffing pattern detection</w:t>
            </w:r>
          </w:p>
        </w:tc>
      </w:tr>
      <w:tr>
        <w:tc>
          <w:tcPr>
            <w:tcW w:type="dxa" w:w="1400"/>
            <w:tcBorders>
              <w:top w:val="single" w:color="E0E0E0" w:sz="1"/>
              <w:left w:val="single" w:color="E0E0E0" w:sz="1"/>
              <w:bottom w:val="single" w:color="E0E0E0" w:sz="1"/>
              <w:right w:val="single" w:color="E0E0E0" w:sz="1"/>
            </w:tcBorders>
            <w:shd w:fill="95A5A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PLANNED</w:t>
            </w:r>
          </w:p>
        </w:tc>
        <w:tc>
          <w:tcPr>
            <w:tcW w:type="dxa" w:w="7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Exportable audit reports for compliance</w:t>
            </w:r>
          </w:p>
        </w:tc>
      </w:tr>
    </w:tbl>
    <w:p>
      <w:pPr>
        <w:spacing w:before="400"/>
      </w:pPr>
    </w:p>
    <w:p>
      <w:pPr>
        <w:pStyle w:val="Heading1"/>
        <w:pBdr>
          <w:bottom w:val="single" w:color="4A90D9" w:sz="4" w:space="4"/>
        </w:pBdr>
        <w:spacing w:before="400" w:after="200"/>
      </w:pPr>
      <w:r>
        <w:rPr>
          <w:rFonts w:ascii="Arial" w:cs="Arial" w:eastAsia="Arial" w:hAnsi="Arial"/>
          <w:b/>
          <w:bCs/>
          <w:color w:val="1A1A2E"/>
          <w:sz w:val="32"/>
          <w:szCs w:val="32"/>
        </w:rPr>
        <w:t xml:space="preserve">Feature 3: Sanctioned Impersonation</w:t>
      </w:r>
    </w:p>
    <w:p>
      <w:pPr>
        <w:spacing w:before="160" w:after="160"/>
      </w:pPr>
      <w:r>
        <w:rPr>
          <w:rFonts w:ascii="Arial" w:cs="Arial" w:eastAsia="Arial" w:hAnsi="Arial"/>
          <w:b/>
          <w:bCs/>
          <w:color w:val="1A1A2E"/>
          <w:sz w:val="22"/>
          <w:szCs w:val="22"/>
        </w:rPr>
        <w:t xml:space="preserve">The one-line pitch:</w:t>
      </w:r>
    </w:p>
    <w:p>
      <w:pPr>
        <w:pBdr>
          <w:left w:val="single" w:color="4A90D9" w:sz="8" w:space="8"/>
        </w:pBdr>
        <w:spacing w:before="0" w:after="240"/>
        <w:ind w:left="360"/>
      </w:pPr>
      <w:r>
        <w:rPr>
          <w:rFonts w:ascii="Arial" w:cs="Arial" w:eastAsia="Arial" w:hAnsi="Arial"/>
          <w:i/>
          <w:iCs/>
          <w:color w:val="16213E"/>
          <w:sz w:val="24"/>
          <w:szCs w:val="24"/>
        </w:rPr>
        <w:t xml:space="preserve">"Without impersonation: you debug blind, the user is frustrated, resolution takes days. With AuthHub impersonation: you see exactly what the user sees, fix it in seconds, and there is a clean paper trail protecting both you and the user."</w:t>
      </w:r>
    </w:p>
    <w:p>
      <w:pPr>
        <w:pStyle w:val="Heading2"/>
        <w:spacing w:before="320" w:after="160"/>
      </w:pPr>
      <w:r>
        <w:rPr>
          <w:rFonts w:ascii="Arial" w:cs="Arial" w:eastAsia="Arial" w:hAnsi="Arial"/>
          <w:b/>
          <w:bCs/>
          <w:color w:val="16213E"/>
          <w:sz w:val="26"/>
          <w:szCs w:val="26"/>
        </w:rPr>
        <w:t xml:space="preserve">The Problem</w:t>
      </w:r>
    </w:p>
    <w:p>
      <w:pPr>
        <w:spacing w:before="100" w:after="100"/>
        <w:ind/>
      </w:pPr>
      <w:r>
        <w:rPr>
          <w:rFonts w:ascii="Arial" w:cs="Arial" w:eastAsia="Arial" w:hAnsi="Arial"/>
          <w:color w:val="333333"/>
          <w:sz w:val="22"/>
          <w:szCs w:val="22"/>
        </w:rPr>
        <w:t xml:space="preserve">When a user files a support ticket — 'I upgraded to Pro but can't access the feature' — the developer is completely blind. They cannot see what the user sees. Most companies solve this by building backdoor admin flags, which means support agents can silently enter any user account with zero record of it happening. This has caused real-world scandals (e.g., Uber internal data access abuses).</w:t>
      </w:r>
    </w:p>
    <w:p>
      <w:pPr>
        <w:spacing w:before="100" w:after="100"/>
        <w:ind/>
      </w:pPr>
      <w:r>
        <w:rPr>
          <w:rFonts w:ascii="Arial" w:cs="Arial" w:eastAsia="Arial" w:hAnsi="Arial"/>
          <w:color w:val="333333"/>
          <w:sz w:val="22"/>
          <w:szCs w:val="22"/>
        </w:rPr>
        <w:t xml:space="preserve">Auth0 built a version of this feature and then deprecated it because they could not enforce the audit trail properly.</w:t>
      </w:r>
    </w:p>
    <w:p>
      <w:pPr>
        <w:pStyle w:val="Heading2"/>
        <w:spacing w:before="320" w:after="160"/>
      </w:pPr>
      <w:r>
        <w:rPr>
          <w:rFonts w:ascii="Arial" w:cs="Arial" w:eastAsia="Arial" w:hAnsi="Arial"/>
          <w:b/>
          <w:bCs/>
          <w:color w:val="16213E"/>
          <w:sz w:val="26"/>
          <w:szCs w:val="26"/>
        </w:rPr>
        <w:t xml:space="preserve">What AuthHub Does</w:t>
      </w:r>
    </w:p>
    <w:p>
      <w:pPr>
        <w:spacing w:before="100" w:after="100"/>
        <w:ind/>
      </w:pPr>
      <w:r>
        <w:rPr>
          <w:rFonts w:ascii="Arial" w:cs="Arial" w:eastAsia="Arial" w:hAnsi="Arial"/>
          <w:color w:val="333333"/>
          <w:sz w:val="22"/>
          <w:szCs w:val="22"/>
        </w:rPr>
        <w:t xml:space="preserve">AuthHub provides impersonation as a first-class, audited feature with three non-negotiable rules enforced at the infrastructure level:</w:t>
      </w:r>
    </w:p>
    <w:p>
      <w:pPr>
        <w:pStyle w:val="ListParagraph"/>
        <w:numPr>
          <w:ilvl w:val="0"/>
          <w:numId w:val="2"/>
        </w:numPr>
        <w:spacing w:before="80" w:after="80"/>
      </w:pPr>
      <w:r>
        <w:rPr>
          <w:rFonts w:ascii="Arial" w:cs="Arial" w:eastAsia="Arial" w:hAnsi="Arial"/>
          <w:color w:val="333333"/>
          <w:sz w:val="22"/>
          <w:szCs w:val="22"/>
        </w:rPr>
        <w:t xml:space="preserve">Time-limited: the impersonation session automatically expires in 15 minutes.</w:t>
      </w:r>
    </w:p>
    <w:p>
      <w:pPr>
        <w:pStyle w:val="ListParagraph"/>
        <w:numPr>
          <w:ilvl w:val="0"/>
          <w:numId w:val="2"/>
        </w:numPr>
        <w:spacing w:before="80" w:after="80"/>
      </w:pPr>
      <w:r>
        <w:rPr>
          <w:rFonts w:ascii="Arial" w:cs="Arial" w:eastAsia="Arial" w:hAnsi="Arial"/>
          <w:color w:val="333333"/>
          <w:sz w:val="22"/>
          <w:szCs w:val="22"/>
        </w:rPr>
        <w:t xml:space="preserve">Stamped, not silent: every action is logged as 'John (support) acting as Alice' — never just Alice. Her own activity record stays clean.</w:t>
      </w:r>
    </w:p>
    <w:p>
      <w:pPr>
        <w:pStyle w:val="ListParagraph"/>
        <w:numPr>
          <w:ilvl w:val="0"/>
          <w:numId w:val="2"/>
        </w:numPr>
        <w:spacing w:before="80" w:after="80"/>
      </w:pPr>
      <w:r>
        <w:rPr>
          <w:rFonts w:ascii="Arial" w:cs="Arial" w:eastAsia="Arial" w:hAnsi="Arial"/>
          <w:color w:val="333333"/>
          <w:sz w:val="22"/>
          <w:szCs w:val="22"/>
        </w:rPr>
        <w:t xml:space="preserve">User notified: Alice receives an automatic email — 'A support agent accessed your account at 3:04pm to resolve ticket #4521.'</w:t>
      </w:r>
    </w:p>
    <w:p>
      <w:pPr>
        <w:spacing w:before="100" w:after="100"/>
        <w:ind/>
      </w:pPr>
      <w:r>
        <w:rPr>
          <w:rFonts w:ascii="Arial" w:cs="Arial" w:eastAsia="Arial" w:hAnsi="Arial"/>
          <w:color w:val="333333"/>
          <w:sz w:val="22"/>
          <w:szCs w:val="22"/>
        </w:rPr>
        <w:t xml:space="preserve">This fits directly on top of the AuditLog table already present in the AuthHub Prisma schema.</w:t>
      </w:r>
    </w:p>
    <w:p>
      <w:pPr>
        <w:pStyle w:val="Heading2"/>
        <w:spacing w:before="320" w:after="160"/>
      </w:pPr>
      <w:r>
        <w:rPr>
          <w:rFonts w:ascii="Arial" w:cs="Arial" w:eastAsia="Arial" w:hAnsi="Arial"/>
          <w:b/>
          <w:bCs/>
          <w:color w:val="16213E"/>
          <w:sz w:val="26"/>
          <w:szCs w:val="26"/>
        </w:rPr>
        <w:t xml:space="preserve">Build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0E0E0" w:sz="1"/>
              <w:left w:val="single" w:color="E0E0E0" w:sz="1"/>
              <w:bottom w:val="single" w:color="E0E0E0" w:sz="1"/>
              <w:right w:val="single" w:color="E0E0E0" w:sz="1"/>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PLANNED</w:t>
            </w:r>
          </w:p>
        </w:tc>
        <w:tc>
          <w:tcPr>
            <w:tcW w:type="dxa" w:w="7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Impersonation session endpoint (time-limited JWT)</w:t>
            </w:r>
          </w:p>
        </w:tc>
      </w:tr>
      <w:tr>
        <w:tc>
          <w:tcPr>
            <w:tcW w:type="dxa" w:w="1400"/>
            <w:tcBorders>
              <w:top w:val="single" w:color="E0E0E0" w:sz="1"/>
              <w:left w:val="single" w:color="E0E0E0" w:sz="1"/>
              <w:bottom w:val="single" w:color="E0E0E0" w:sz="1"/>
              <w:right w:val="single" w:color="E0E0E0" w:sz="1"/>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PLANNED</w:t>
            </w:r>
          </w:p>
        </w:tc>
        <w:tc>
          <w:tcPr>
            <w:tcW w:type="dxa" w:w="7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AuditLog stamping for impersonated actions</w:t>
            </w:r>
          </w:p>
        </w:tc>
      </w:tr>
      <w:tr>
        <w:tc>
          <w:tcPr>
            <w:tcW w:type="dxa" w:w="1400"/>
            <w:tcBorders>
              <w:top w:val="single" w:color="E0E0E0" w:sz="1"/>
              <w:left w:val="single" w:color="E0E0E0" w:sz="1"/>
              <w:bottom w:val="single" w:color="E0E0E0" w:sz="1"/>
              <w:right w:val="single" w:color="E0E0E0" w:sz="1"/>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PLANNED</w:t>
            </w:r>
          </w:p>
        </w:tc>
        <w:tc>
          <w:tcPr>
            <w:tcW w:type="dxa" w:w="7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Automatic user notification email on session start</w:t>
            </w:r>
          </w:p>
        </w:tc>
      </w:tr>
      <w:tr>
        <w:tc>
          <w:tcPr>
            <w:tcW w:type="dxa" w:w="1400"/>
            <w:tcBorders>
              <w:top w:val="single" w:color="E0E0E0" w:sz="1"/>
              <w:left w:val="single" w:color="E0E0E0" w:sz="1"/>
              <w:bottom w:val="single" w:color="E0E0E0" w:sz="1"/>
              <w:right w:val="single" w:color="E0E0E0" w:sz="1"/>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PLANNED</w:t>
            </w:r>
          </w:p>
        </w:tc>
        <w:tc>
          <w:tcPr>
            <w:tcW w:type="dxa" w:w="7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Admin dashboard UI with 'Login as User' button</w:t>
            </w:r>
          </w:p>
        </w:tc>
      </w:tr>
    </w:tbl>
    <w:p>
      <w:pPr>
        <w:spacing w:before="400"/>
      </w:pPr>
    </w:p>
    <w:p>
      <w:pPr>
        <w:pStyle w:val="Heading1"/>
        <w:pBdr>
          <w:bottom w:val="single" w:color="4A90D9" w:sz="4" w:space="4"/>
        </w:pBdr>
        <w:spacing w:before="400" w:after="200"/>
      </w:pPr>
      <w:r>
        <w:rPr>
          <w:rFonts w:ascii="Arial" w:cs="Arial" w:eastAsia="Arial" w:hAnsi="Arial"/>
          <w:b/>
          <w:bCs/>
          <w:color w:val="1A1A2E"/>
          <w:sz w:val="32"/>
          <w:szCs w:val="32"/>
        </w:rPr>
        <w:t xml:space="preserve">When to Build These</w:t>
      </w:r>
    </w:p>
    <w:p>
      <w:pPr>
        <w:spacing w:before="100" w:after="100"/>
        <w:ind/>
      </w:pPr>
      <w:r>
        <w:rPr>
          <w:rFonts w:ascii="Arial" w:cs="Arial" w:eastAsia="Arial" w:hAnsi="Arial"/>
          <w:color w:val="333333"/>
          <w:sz w:val="22"/>
          <w:szCs w:val="22"/>
        </w:rPr>
        <w:t xml:space="preserve">AuthHub's current goal is a personal auth utility — one clean OAuth 2.0 layer shared across Xemora, RentalTrack, LugaLingo, and future apps. The three features above are not needed for that phase.</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8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Features to Build</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Phase 0 (Now)</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Personal utility working</w:t>
            </w:r>
          </w:p>
        </w:tc>
        <w:tc>
          <w:tcPr>
            <w:tcW w:type="dxa" w:w="3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White-labeling, core OAuth, multi-app support</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First external developer uses it</w:t>
            </w:r>
          </w:p>
        </w:tc>
        <w:tc>
          <w:tcPr>
            <w:tcW w:type="dxa" w:w="3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Auth Observability</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First paying B2B customer</w:t>
            </w:r>
          </w:p>
        </w:tc>
        <w:tc>
          <w:tcPr>
            <w:tcW w:type="dxa" w:w="3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Entitlement Sync + Impersonation</w:t>
            </w:r>
          </w:p>
        </w:tc>
      </w:tr>
    </w:tbl>
    <w:p>
      <w:pPr>
        <w:spacing w:before="400"/>
      </w:pPr>
    </w:p>
    <w:p>
      <w:pPr>
        <w:spacing w:before="100" w:after="100"/>
        <w:ind/>
      </w:pPr>
      <w:r>
        <w:rPr>
          <w:rFonts w:ascii="Arial" w:cs="Arial" w:eastAsia="Arial" w:hAnsi="Arial"/>
          <w:i/>
          <w:iCs/>
          <w:color w:val="999999"/>
          <w:sz w:val="22"/>
          <w:szCs w:val="22"/>
        </w:rPr>
        <w:t xml:space="preserve">Document maintained by: AuthHub core team  •  Version 1.0</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AuthHub — Internal Roadmap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2026-03-14T17:47:40.338Z</dcterms:created>
  <dcterms:modified xsi:type="dcterms:W3CDTF">2026-03-14T17:47:40.339Z</dcterms:modified>
</cp:coreProperties>
</file>

<file path=docProps/custom.xml><?xml version="1.0" encoding="utf-8"?>
<Properties xmlns="http://schemas.openxmlformats.org/officeDocument/2006/custom-properties" xmlns:vt="http://schemas.openxmlformats.org/officeDocument/2006/docPropsVTypes"/>
</file>