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COMPASS Clinical Risk Framework</w:t>
      </w:r>
    </w:p>
    <w:p>
      <w:pPr>
        <w:spacing w:after="80"/>
      </w:pPr>
      <w:r>
        <w:rPr>
          <w:rFonts w:ascii="Calibri" w:hAnsi="Calibri"/>
          <w:color w:val="6E7681"/>
          <w:sz w:val="18"/>
          <w:szCs w:val="18"/>
        </w:rPr>
        <w:t>v1.1 · Updated 2026-04-04</w:t>
      </w:r>
    </w:p>
    <w:p>
      <w:pPr>
        <w:spacing w:after="240"/>
      </w:pPr>
      <w:r>
        <w:rPr>
          <w:rFonts w:ascii="Calibri" w:hAnsi="Calibri"/>
          <w:i/>
        </w:rPr>
        <w:t>The proprietary clinical framework of the NUR Platform by Amplifai Health — merging wearable physiological signals with thermography to deliver evidence-based, zone-classified athlete risk assessments.</w:t>
      </w:r>
    </w:p>
    <w:p/>
    <w:p>
      <w:pPr/>
      <w:r>
        <w:rPr>
          <w:rFonts w:ascii="Calibri" w:hAnsi="Calibri"/>
          <w:b w:val="0"/>
          <w:i w:val="0"/>
        </w:rPr>
        <w:t>Overview</w:t>
      </w:r>
    </w:p>
    <w:p>
      <w:pPr>
        <w:pStyle w:val="Heading1"/>
      </w:pPr>
      <w:r>
        <w:t>What NUR Is Used For</w:t>
      </w:r>
    </w:p>
    <w:p>
      <w:pPr>
        <w:spacing w:after="120"/>
      </w:pPr>
      <w:r>
        <w:rPr>
          <w:rFonts w:ascii="Calibri" w:hAnsi="Calibri"/>
          <w:b w:val="0"/>
          <w:i w:val="0"/>
        </w:rPr>
        <w:t>The NUR Platform is deployed across three interlocking clinical use cases — each supported by the COMPASS framework's dual-axis signal architecture.</w:t>
      </w:r>
    </w:p>
    <w:p>
      <w:pPr/>
      <w:r>
        <w:rPr>
          <w:rFonts w:ascii="Calibri" w:hAnsi="Calibri"/>
          <w:b w:val="0"/>
          <w:i w:val="0"/>
        </w:rPr>
        <w:t>Use Case 01</w:t>
      </w:r>
    </w:p>
    <w:p>
      <w:pPr/>
      <w:r>
        <w:rPr>
          <w:rFonts w:ascii="Calibri" w:hAnsi="Calibri"/>
          <w:b w:val="0"/>
          <w:i w:val="0"/>
        </w:rPr>
        <w:t>🛡️</w:t>
      </w:r>
    </w:p>
    <w:p>
      <w:pPr>
        <w:pStyle w:val="Heading2"/>
      </w:pPr>
      <w:r>
        <w:t>Injury Risk Prevention</w:t>
      </w:r>
    </w:p>
    <w:p>
      <w:pPr>
        <w:spacing w:after="120"/>
      </w:pPr>
      <w:r>
        <w:rPr>
          <w:rFonts w:ascii="Calibri" w:hAnsi="Calibri"/>
          <w:b w:val="0"/>
          <w:i w:val="0"/>
        </w:rPr>
        <w:t>Daily monitoring of uninjured athletes to detect Deceptive Readiness — the hidden state where wearables appear normal but tissue inflammation is already building. The only clinical framework capable of surfacing this condition before symptoms emerge.</w:t>
      </w:r>
    </w:p>
    <w:p>
      <w:pPr/>
      <w:r>
        <w:rPr>
          <w:rFonts w:ascii="Calibri" w:hAnsi="Calibri"/>
          <w:b w:val="0"/>
          <w:i w:val="0"/>
        </w:rPr>
        <w:t>Use Case 02</w:t>
      </w:r>
    </w:p>
    <w:p>
      <w:pPr/>
      <w:r>
        <w:rPr>
          <w:rFonts w:ascii="Calibri" w:hAnsi="Calibri"/>
          <w:b w:val="0"/>
          <w:i w:val="0"/>
        </w:rPr>
        <w:t>🔄</w:t>
      </w:r>
    </w:p>
    <w:p>
      <w:pPr>
        <w:pStyle w:val="Heading2"/>
      </w:pPr>
      <w:r>
        <w:t>Injury Monitoring &amp; Return to Play</w:t>
      </w:r>
    </w:p>
    <w:p>
      <w:pPr>
        <w:spacing w:after="120"/>
      </w:pPr>
      <w:r>
        <w:rPr>
          <w:rFonts w:ascii="Calibri" w:hAnsi="Calibri"/>
          <w:b w:val="0"/>
          <w:i w:val="0"/>
        </w:rPr>
        <w:t>For injured athletes, COMPASS transitions into Monitoring Mode. Thermal trajectory through each rehabilitation phase provides objective clearance gates — replacing time-based assumptions with data-driven, phase-gated return-to-play decisions.</w:t>
      </w:r>
    </w:p>
    <w:p>
      <w:pPr/>
      <w:r>
        <w:rPr>
          <w:rFonts w:ascii="Calibri" w:hAnsi="Calibri"/>
          <w:b w:val="0"/>
          <w:i w:val="0"/>
        </w:rPr>
        <w:t>Use Case 03</w:t>
      </w:r>
    </w:p>
    <w:p>
      <w:pPr/>
      <w:r>
        <w:rPr>
          <w:rFonts w:ascii="Calibri" w:hAnsi="Calibri"/>
          <w:b w:val="0"/>
          <w:i w:val="0"/>
        </w:rPr>
        <w:t>📈</w:t>
      </w:r>
    </w:p>
    <w:p>
      <w:pPr>
        <w:pStyle w:val="Heading2"/>
      </w:pPr>
      <w:r>
        <w:t>Load Management Through Performance &amp; Readiness Modelling</w:t>
      </w:r>
    </w:p>
    <w:p>
      <w:pPr>
        <w:spacing w:after="120"/>
      </w:pPr>
      <w:r>
        <w:rPr>
          <w:rFonts w:ascii="Calibri" w:hAnsi="Calibri"/>
          <w:b w:val="0"/>
          <w:i w:val="0"/>
        </w:rPr>
        <w:t>The Systemic Readiness Score — integrating HRV, sleep, resting HR, and ACWR — provides daily, athlete-specific load prescriptions. Coaches can modulate training intensity based on objective recovery state, preventing cumulative fatigue without sacrificing performance adaptation.</w:t>
      </w:r>
    </w:p>
    <w:p>
      <w:pPr/>
      <w:r>
        <w:rPr>
          <w:rFonts w:ascii="Calibri" w:hAnsi="Calibri"/>
          <w:b w:val="0"/>
          <w:i w:val="0"/>
        </w:rPr>
        <w:t>Section 01</w:t>
      </w:r>
    </w:p>
    <w:p>
      <w:pPr>
        <w:pStyle w:val="Heading1"/>
      </w:pPr>
      <w:r>
        <w:t>The Core Philosophy</w:t>
      </w:r>
    </w:p>
    <w:p>
      <w:pPr>
        <w:spacing w:after="120"/>
      </w:pPr>
      <w:r>
        <w:rPr>
          <w:rFonts w:ascii="Calibri" w:hAnsi="Calibri"/>
          <w:b w:val="0"/>
          <w:i w:val="0"/>
        </w:rPr>
        <w:t>The COMPASS framework integrates two fundamentally different kinds of athlete health data — each answering a different clinical question that the other cannot. Its architecture is grounded in the theoretical argument by Kalkhoven, Watsford &amp; Impellizzeri (2021) that systemic training load metrics cannot, by themselves, provide a quantitative indication of tissue-level injury risk.</w:t>
      </w:r>
    </w:p>
    <w:p>
      <w:pPr>
        <w:pStyle w:val="Heading3"/>
      </w:pPr>
      <w:r>
        <w:t>⌚ Readiness Score via Spike · Daily</w:t>
      </w:r>
    </w:p>
    <w:p>
      <w:pPr>
        <w:pStyle w:val="ListBullet"/>
      </w:pPr>
      <w:r>
        <w:rPr>
          <w:rFonts w:ascii="Calibri" w:hAnsi="Calibri"/>
          <w:b w:val="0"/>
          <w:i w:val="0"/>
        </w:rPr>
        <w:t>Collected daily from Spike wearable</w:t>
      </w:r>
    </w:p>
    <w:p>
      <w:pPr>
        <w:pStyle w:val="ListBullet"/>
      </w:pPr>
      <w:r>
        <w:rPr>
          <w:rFonts w:ascii="Calibri" w:hAnsi="Calibri"/>
          <w:b w:val="0"/>
          <w:i w:val="0"/>
        </w:rPr>
        <w:t>Daily averages: avg HRV, resting HR, sleep quality, ACWR</w:t>
      </w:r>
    </w:p>
    <w:p>
      <w:pPr>
        <w:pStyle w:val="ListBullet"/>
      </w:pPr>
      <w:r>
        <w:rPr>
          <w:rFonts w:ascii="Calibri" w:hAnsi="Calibri"/>
          <w:b w:val="0"/>
          <w:i w:val="0"/>
        </w:rPr>
        <w:t>Baseline-adjusted by Spike before delivery</w:t>
      </w:r>
    </w:p>
    <w:p>
      <w:pPr>
        <w:pStyle w:val="ListBullet"/>
      </w:pPr>
      <w:r>
        <w:rPr>
          <w:rFonts w:ascii="Calibri" w:hAnsi="Calibri"/>
          <w:b w:val="0"/>
          <w:i w:val="0"/>
        </w:rPr>
        <w:t>Delivered as a single 0–100 readiness score</w:t>
      </w:r>
    </w:p>
    <w:p>
      <w:pPr>
        <w:spacing w:after="120"/>
      </w:pPr>
      <w:r>
        <w:rPr>
          <w:rFonts w:ascii="Calibri" w:hAnsi="Calibri"/>
          <w:b w:val="0"/>
          <w:i w:val="0"/>
        </w:rPr>
        <w:t xml:space="preserve">Answers: </w:t>
      </w:r>
      <w:r>
        <w:rPr>
          <w:rFonts w:ascii="Calibri" w:hAnsi="Calibri"/>
          <w:b w:val="0"/>
          <w:i/>
        </w:rPr>
        <w:t>"Is this athlete's body ready to perform?"</w:t>
      </w:r>
    </w:p>
    <w:p>
      <w:pPr>
        <w:spacing w:after="120"/>
      </w:pPr>
      <w:r>
        <w:rPr>
          <w:rFonts w:ascii="Calibri" w:hAnsi="Calibri"/>
          <w:b w:val="0"/>
          <w:i w:val="0"/>
        </w:rPr>
        <w:t>Spike collects raw sensor data continuously and publishes one daily summary per athlete — end-of-day averages for HRV, resting HR, sleep score, and ACWR. These daily statistics are what flow into the readiness score delivered to COMPASS. Baseline establishment and longitudinal normalisation are handled entirely by Spike. COMPASS consumes the output score — no internal wearable baseline is required.</w:t>
      </w:r>
    </w:p>
    <w:p>
      <w:pPr/>
      <w:r>
        <w:rPr>
          <w:rFonts w:ascii="Calibri" w:hAnsi="Calibri"/>
          <w:b w:val="0"/>
          <w:i w:val="0"/>
        </w:rPr>
        <w:t>VS</w:t>
      </w:r>
    </w:p>
    <w:p>
      <w:pPr>
        <w:pStyle w:val="Heading3"/>
      </w:pPr>
      <w:r>
        <w:t>Thermography via NUR sensor</w:t>
      </w:r>
    </w:p>
    <w:p>
      <w:pPr>
        <w:pStyle w:val="ListBullet"/>
      </w:pPr>
      <w:r>
        <w:rPr>
          <w:rFonts w:ascii="Calibri" w:hAnsi="Calibri"/>
          <w:b w:val="0"/>
          <w:i w:val="0"/>
        </w:rPr>
        <w:t>Contralateral asymmetry index</w:t>
      </w:r>
    </w:p>
    <w:p>
      <w:pPr>
        <w:pStyle w:val="ListBullet"/>
      </w:pPr>
      <w:r>
        <w:rPr>
          <w:rFonts w:ascii="Calibri" w:hAnsi="Calibri"/>
          <w:b w:val="0"/>
          <w:i w:val="0"/>
        </w:rPr>
        <w:t>Asymmetry trend over time</w:t>
      </w:r>
    </w:p>
    <w:p>
      <w:pPr>
        <w:pStyle w:val="ListBullet"/>
      </w:pPr>
      <w:r>
        <w:rPr>
          <w:rFonts w:ascii="Calibri" w:hAnsi="Calibri"/>
          <w:b w:val="0"/>
          <w:i w:val="0"/>
        </w:rPr>
        <w:t>Focal vs diffuse patterns</w:t>
      </w:r>
    </w:p>
    <w:p>
      <w:pPr>
        <w:pStyle w:val="ListBullet"/>
      </w:pPr>
      <w:r>
        <w:rPr>
          <w:rFonts w:ascii="Calibri" w:hAnsi="Calibri"/>
          <w:b w:val="0"/>
          <w:i w:val="0"/>
        </w:rPr>
        <w:t>Regional tissue stress</w:t>
      </w:r>
    </w:p>
    <w:p>
      <w:pPr>
        <w:spacing w:after="120"/>
      </w:pPr>
      <w:r>
        <w:rPr>
          <w:rFonts w:ascii="Calibri" w:hAnsi="Calibri"/>
          <w:b w:val="0"/>
          <w:i w:val="0"/>
        </w:rPr>
        <w:t xml:space="preserve">Answers: </w:t>
      </w:r>
      <w:r>
        <w:rPr>
          <w:rFonts w:ascii="Calibri" w:hAnsi="Calibri"/>
          <w:b w:val="0"/>
          <w:i/>
        </w:rPr>
        <w:t>"Is there a developing problem in this specific body region?"</w:t>
      </w:r>
    </w:p>
    <w:p>
      <w:pPr>
        <w:spacing w:after="120"/>
      </w:pPr>
      <w:r>
        <w:rPr>
          <w:rFonts w:ascii="Calibri" w:hAnsi="Calibri"/>
          <w:b w:val="0"/>
          <w:i w:val="0"/>
        </w:rPr>
        <w:t>Thermal baselines are athlete-specific and established directly within COMPASS across an initial series of scans. This is the only signal requiring internal baseline management.</w:t>
      </w:r>
    </w:p>
    <w:p>
      <w:pPr>
        <w:spacing w:after="120"/>
      </w:pPr>
      <w:r>
        <w:rPr>
          <w:rFonts w:ascii="Calibri" w:hAnsi="Calibri"/>
          <w:b/>
          <w:i w:val="0"/>
        </w:rPr>
        <w:t>The Founding Insight:</w:t>
      </w:r>
      <w:r>
        <w:rPr>
          <w:rFonts w:ascii="Calibri" w:hAnsi="Calibri"/>
          <w:b w:val="0"/>
          <w:i w:val="0"/>
        </w:rPr>
        <w:t xml:space="preserve"> These two questions are not the same question. A wearable cannot tell you that the right hamstring is inflamed. A thermogram cannot tell you whether the athlete slept well. The power of combining them is not that they overlap — it is that they do not.</w:t>
      </w:r>
    </w:p>
    <w:p>
      <w:pPr/>
      <w:r>
        <w:rPr>
          <w:rFonts w:ascii="Calibri" w:hAnsi="Calibri"/>
          <w:b w:val="0"/>
          <w:i w:val="0"/>
        </w:rPr>
        <w:t>Theoretical Foundation</w:t>
      </w:r>
    </w:p>
    <w:p>
      <w:pPr>
        <w:spacing w:after="120"/>
      </w:pPr>
      <w:r>
        <w:rPr>
          <w:rFonts w:ascii="Calibri" w:hAnsi="Calibri"/>
          <w:b w:val="0"/>
          <w:i w:val="0"/>
        </w:rPr>
        <w:t>Kalkhoven, Watsford &amp; Impellizzeri (2021) demonstrated that training load measures cannot provide a quantitative indication of whether particular load progressions will increase or decrease injury risk at the tissue level — making the case for a mechanistic, tissue-specific layer above and beyond systemic load monitoring. COMPASS operationalises that argument directly: the Systemic Readiness Score captures the internal load domain (HRV, sleep, ACWR), while the Thermal Asymmetry Index adds the tissue-specific spatial resolution that no systemic metric can reach.</w:t>
      </w:r>
    </w:p>
    <w:p>
      <w:pPr>
        <w:spacing w:after="120"/>
      </w:pPr>
      <w:r>
        <w:rPr>
          <w:rFonts w:ascii="Calibri" w:hAnsi="Calibri"/>
          <w:b w:val="0"/>
          <w:i w:val="0"/>
        </w:rPr>
        <w:t xml:space="preserve">Kalkhoven JT, Watsford ML, Impellizzeri FM. </w:t>
      </w:r>
      <w:r>
        <w:rPr>
          <w:rFonts w:ascii="Calibri" w:hAnsi="Calibri"/>
          <w:b w:val="0"/>
          <w:i/>
        </w:rPr>
        <w:t>A critique of the use and misuse of training load in team sports: towards a fuller understanding of the relationship between external and internal load.</w:t>
      </w:r>
      <w:r>
        <w:rPr>
          <w:rFonts w:ascii="Calibri" w:hAnsi="Calibri"/>
          <w:b w:val="0"/>
          <w:i w:val="0"/>
        </w:rPr>
        <w:t xml:space="preserve"> Sports Med. 2021;51(3):469–479. </w:t>
      </w:r>
      <w:r>
        <w:rPr>
          <w:rFonts w:ascii="Calibri" w:hAnsi="Calibri"/>
          <w:b w:val="0"/>
          <w:i w:val="0"/>
        </w:rPr>
        <w:t>PMC7534945 ↗</w:t>
      </w:r>
    </w:p>
    <w:p>
      <w:pPr/>
      <w:r>
        <w:rPr>
          <w:rFonts w:ascii="Calibri" w:hAnsi="Calibri"/>
          <w:b w:val="0"/>
          <w:i w:val="0"/>
        </w:rPr>
        <w:t>Section 02</w:t>
      </w:r>
    </w:p>
    <w:p>
      <w:pPr>
        <w:pStyle w:val="Heading1"/>
      </w:pPr>
      <w:r>
        <w:t>The COMPASS Framework</w:t>
      </w:r>
    </w:p>
    <w:p>
      <w:pPr>
        <w:spacing w:after="120"/>
      </w:pPr>
      <w:r>
        <w:rPr>
          <w:rFonts w:ascii="Calibri" w:hAnsi="Calibri"/>
          <w:b w:val="0"/>
          <w:i w:val="0"/>
        </w:rPr>
        <w:t>Plotting Systemic Readiness against Maximum Thermal Asymmetry creates a two-dimensional space in which every athlete occupies one of four clinically distinct zones — each carrying a genuinely different meaning and requiring a genuinely different clinical response.</w:t>
      </w:r>
    </w:p>
    <w:p>
      <w:pPr/>
      <w:r>
        <w:rPr>
          <w:rFonts w:ascii="Calibri" w:hAnsi="Calibri"/>
          <w:b w:val="0"/>
          <w:i w:val="0"/>
        </w:rPr>
        <w:t>IOC Load Consensus — Capacity Gap Model</w:t>
      </w:r>
    </w:p>
    <w:p>
      <w:pPr>
        <w:spacing w:after="120"/>
      </w:pPr>
      <w:r>
        <w:rPr>
          <w:rFonts w:ascii="Calibri" w:hAnsi="Calibri"/>
          <w:b w:val="0"/>
          <w:i w:val="0"/>
        </w:rPr>
        <w:t xml:space="preserve">The IOC Consensus on load management (Soligard et al. 2016, </w:t>
      </w:r>
      <w:r>
        <w:rPr>
          <w:rFonts w:ascii="Calibri" w:hAnsi="Calibri"/>
          <w:b w:val="0"/>
          <w:i/>
        </w:rPr>
        <w:t>BJSM</w:t>
      </w:r>
      <w:r>
        <w:rPr>
          <w:rFonts w:ascii="Calibri" w:hAnsi="Calibri"/>
          <w:b w:val="0"/>
          <w:i w:val="0"/>
        </w:rPr>
        <w:t xml:space="preserve">) defines injury risk as a function of the gap between an athlete's </w:t>
      </w:r>
      <w:r>
        <w:rPr>
          <w:rFonts w:ascii="Calibri" w:hAnsi="Calibri"/>
          <w:b/>
          <w:i w:val="0"/>
        </w:rPr>
        <w:t>load</w:t>
      </w:r>
      <w:r>
        <w:rPr>
          <w:rFonts w:ascii="Calibri" w:hAnsi="Calibri"/>
          <w:b w:val="0"/>
          <w:i w:val="0"/>
        </w:rPr>
        <w:t xml:space="preserve"> and their </w:t>
      </w:r>
      <w:r>
        <w:rPr>
          <w:rFonts w:ascii="Calibri" w:hAnsi="Calibri"/>
          <w:b/>
          <w:i w:val="0"/>
        </w:rPr>
        <w:t>capacity</w:t>
      </w:r>
      <w:r>
        <w:rPr>
          <w:rFonts w:ascii="Calibri" w:hAnsi="Calibri"/>
          <w:b w:val="0"/>
          <w:i w:val="0"/>
        </w:rPr>
        <w:t>: when accumulated load exceeds the athlete's capacity to absorb it, injury risk rises. COMPASS zones map directly onto this load-capacity relationship — combining systemic capacity (Readiness Score) with local tissue capacity (Thermal Asymmetry Index) to characterise the precise nature of any capacity gap present.</w:t>
      </w:r>
    </w:p>
    <w:p>
      <w:pPr>
        <w:spacing w:after="120"/>
      </w:pPr>
      <w:r>
        <w:rPr>
          <w:rFonts w:ascii="Calibri" w:hAnsi="Calibri"/>
          <w:b w:val="0"/>
          <w:i w:val="0"/>
        </w:rPr>
        <w:t xml:space="preserve">Soligard T, et al. </w:t>
      </w:r>
      <w:r>
        <w:rPr>
          <w:rFonts w:ascii="Calibri" w:hAnsi="Calibri"/>
          <w:b w:val="0"/>
          <w:i/>
        </w:rPr>
        <w:t>How much is too much? International Olympic Committee consensus statement on load in sport and risk of injury.</w:t>
      </w:r>
      <w:r>
        <w:rPr>
          <w:rFonts w:ascii="Calibri" w:hAnsi="Calibri"/>
          <w:b w:val="0"/>
          <w:i w:val="0"/>
        </w:rPr>
        <w:t xml:space="preserve"> Br J Sports Med. 2016;50(17):1030–1041.</w:t>
      </w:r>
    </w:p>
    <w:p>
      <w:pPr/>
      <w:r>
        <w:rPr>
          <w:rFonts w:ascii="Calibri" w:hAnsi="Calibri"/>
          <w:b w:val="0"/>
          <w:i w:val="0"/>
        </w:rPr>
        <w:t>✅ Safe Zone</w:t>
      </w:r>
    </w:p>
    <w:p>
      <w:pPr/>
      <w:r>
        <w:rPr>
          <w:rFonts w:ascii="Calibri" w:hAnsi="Calibri"/>
          <w:b w:val="0"/>
          <w:i w:val="0"/>
        </w:rPr>
        <w:t>76–100</w:t>
      </w:r>
    </w:p>
    <w:p>
      <w:pPr>
        <w:pStyle w:val="Heading3"/>
      </w:pPr>
      <w:r>
        <w:t>Both Signals Are Clear</w:t>
      </w:r>
    </w:p>
    <w:p>
      <w:pPr>
        <w:spacing w:after="120"/>
      </w:pPr>
      <w:r>
        <w:rPr>
          <w:rFonts w:ascii="Calibri" w:hAnsi="Calibri"/>
          <w:b w:val="0"/>
          <w:i w:val="0"/>
        </w:rPr>
        <w:t>The athlete's wearable data shows good recovery, and thermography shows no significant regional asymmetry. This is the optimal training state. Full training load is appropriate; no clinical intervention is indicated.</w:t>
      </w:r>
    </w:p>
    <w:p>
      <w:pPr>
        <w:spacing w:after="120"/>
      </w:pPr>
      <w:r>
        <w:rPr>
          <w:rFonts w:ascii="Calibri" w:hAnsi="Calibri"/>
          <w:b/>
          <w:i w:val="0"/>
        </w:rPr>
        <w:t>Capacity gap:</w:t>
      </w:r>
      <w:r>
        <w:rPr>
          <w:rFonts w:ascii="Calibri" w:hAnsi="Calibri"/>
          <w:b w:val="0"/>
          <w:i w:val="0"/>
        </w:rPr>
        <w:t xml:space="preserve"> Load ≤ capacity on both systemic and tissue axes. No gap — the athlete is absorbing training demand without residual stress accumulation.</w:t>
      </w:r>
    </w:p>
    <w:p>
      <w:pPr/>
      <w:r>
        <w:rPr>
          <w:rFonts w:ascii="Calibri" w:hAnsi="Calibri"/>
          <w:b w:val="0"/>
          <w:i w:val="0"/>
        </w:rPr>
        <w:t>HRV ↑ Normal</w:t>
      </w:r>
      <w:r>
        <w:rPr>
          <w:rFonts w:ascii="Calibri" w:hAnsi="Calibri"/>
          <w:b w:val="0"/>
          <w:i w:val="0"/>
        </w:rPr>
        <w:t>Sleep ✓ Good</w:t>
      </w:r>
      <w:r>
        <w:rPr>
          <w:rFonts w:ascii="Calibri" w:hAnsi="Calibri"/>
          <w:b w:val="0"/>
          <w:i w:val="0"/>
        </w:rPr>
        <w:t>Thermal Asymmetry ↓ Low</w:t>
      </w:r>
      <w:r>
        <w:rPr>
          <w:rFonts w:ascii="Calibri" w:hAnsi="Calibri"/>
          <w:b w:val="0"/>
          <w:i w:val="0"/>
        </w:rPr>
        <w:t>Full Training</w:t>
      </w:r>
    </w:p>
    <w:p>
      <w:pPr/>
      <w:r>
        <w:rPr>
          <w:rFonts w:ascii="Calibri" w:hAnsi="Calibri"/>
          <w:b w:val="0"/>
          <w:i w:val="0"/>
        </w:rPr>
        <w:t>⏸️ Recovery Zone</w:t>
      </w:r>
    </w:p>
    <w:p>
      <w:pPr/>
      <w:r>
        <w:rPr>
          <w:rFonts w:ascii="Calibri" w:hAnsi="Calibri"/>
          <w:b w:val="0"/>
          <w:i w:val="0"/>
        </w:rPr>
        <w:t>51–75</w:t>
      </w:r>
    </w:p>
    <w:p>
      <w:pPr>
        <w:pStyle w:val="Heading3"/>
      </w:pPr>
      <w:r>
        <w:t>Tired Body, Fine Tissue</w:t>
      </w:r>
    </w:p>
    <w:p>
      <w:pPr>
        <w:spacing w:after="120"/>
      </w:pPr>
      <w:r>
        <w:rPr>
          <w:rFonts w:ascii="Calibri" w:hAnsi="Calibri"/>
          <w:b w:val="0"/>
          <w:i w:val="0"/>
        </w:rPr>
        <w:t>Wearable readiness is suppressed — HRV is down, sleep quality was poor, or load has been accumulating — but thermography shows no localised tissue stress. Clinical response: load management. No region-specific physiotherapy concern.</w:t>
      </w:r>
    </w:p>
    <w:p>
      <w:pPr>
        <w:spacing w:after="120"/>
      </w:pPr>
      <w:r>
        <w:rPr>
          <w:rFonts w:ascii="Calibri" w:hAnsi="Calibri"/>
          <w:b/>
          <w:i w:val="0"/>
        </w:rPr>
        <w:t>Capacity gap:</w:t>
      </w:r>
      <w:r>
        <w:rPr>
          <w:rFonts w:ascii="Calibri" w:hAnsi="Calibri"/>
          <w:b w:val="0"/>
          <w:i w:val="0"/>
        </w:rPr>
        <w:t xml:space="preserve"> Systemic capacity is diminished. Load has eroded the whole-body margin — reduce volume to restore the gap before tissue stress compounds it.</w:t>
      </w:r>
    </w:p>
    <w:p>
      <w:pPr/>
      <w:r>
        <w:rPr>
          <w:rFonts w:ascii="Calibri" w:hAnsi="Calibri"/>
          <w:b w:val="0"/>
          <w:i w:val="0"/>
        </w:rPr>
        <w:t>HRV ↓ Low</w:t>
      </w:r>
      <w:r>
        <w:rPr>
          <w:rFonts w:ascii="Calibri" w:hAnsi="Calibri"/>
          <w:b w:val="0"/>
          <w:i w:val="0"/>
        </w:rPr>
        <w:t>Sleep ✗ Poor</w:t>
      </w:r>
      <w:r>
        <w:rPr>
          <w:rFonts w:ascii="Calibri" w:hAnsi="Calibri"/>
          <w:b w:val="0"/>
          <w:i w:val="0"/>
        </w:rPr>
        <w:t>Thermal Asymmetry ↓ Clear</w:t>
      </w:r>
      <w:r>
        <w:rPr>
          <w:rFonts w:ascii="Calibri" w:hAnsi="Calibri"/>
          <w:b w:val="0"/>
          <w:i w:val="0"/>
        </w:rPr>
        <w:t>Reduce Volume</w:t>
      </w:r>
    </w:p>
    <w:p>
      <w:pPr/>
      <w:r>
        <w:rPr>
          <w:rFonts w:ascii="Calibri" w:hAnsi="Calibri"/>
          <w:b w:val="0"/>
          <w:i w:val="0"/>
        </w:rPr>
        <w:t>⚠️ Deceptive Readiness Zone</w:t>
      </w:r>
    </w:p>
    <w:p>
      <w:pPr/>
      <w:r>
        <w:rPr>
          <w:rFonts w:ascii="Calibri" w:hAnsi="Calibri"/>
          <w:b w:val="0"/>
          <w:i w:val="0"/>
        </w:rPr>
        <w:t>26–50</w:t>
      </w:r>
    </w:p>
    <w:p>
      <w:pPr>
        <w:pStyle w:val="Heading3"/>
      </w:pPr>
      <w:r>
        <w:t>The Most Important Zone</w:t>
      </w:r>
    </w:p>
    <w:p>
      <w:pPr>
        <w:spacing w:after="120"/>
      </w:pPr>
      <w:r>
        <w:rPr>
          <w:rFonts w:ascii="Calibri" w:hAnsi="Calibri"/>
          <w:b w:val="0"/>
          <w:i w:val="0"/>
        </w:rPr>
        <w:t>Systemic readiness is good — the athlete feels excellent and is motivated to train hard. But thermography flags elevated asymmetry in a specific region, indicating that local tissue stress is building. No wearable-only system can detect this.</w:t>
      </w:r>
    </w:p>
    <w:p>
      <w:pPr>
        <w:spacing w:after="120"/>
      </w:pPr>
      <w:r>
        <w:rPr>
          <w:rFonts w:ascii="Calibri" w:hAnsi="Calibri"/>
          <w:b/>
          <w:i w:val="0"/>
        </w:rPr>
        <w:t>Capacity gap:</w:t>
      </w:r>
      <w:r>
        <w:rPr>
          <w:rFonts w:ascii="Calibri" w:hAnsi="Calibri"/>
          <w:b w:val="0"/>
          <w:i w:val="0"/>
        </w:rPr>
        <w:t xml:space="preserve"> Systemic capacity appears intact, but local tissue capacity is exceeded at the regional level. The gap is hidden — invisible to any systemic metric, detectable only by thermography.</w:t>
      </w:r>
    </w:p>
    <w:p>
      <w:pPr/>
      <w:r>
        <w:rPr>
          <w:rFonts w:ascii="Calibri" w:hAnsi="Calibri"/>
          <w:b w:val="0"/>
          <w:i w:val="0"/>
        </w:rPr>
        <w:t>HRV ↑ Good</w:t>
      </w:r>
      <w:r>
        <w:rPr>
          <w:rFonts w:ascii="Calibri" w:hAnsi="Calibri"/>
          <w:b w:val="0"/>
          <w:i w:val="0"/>
        </w:rPr>
        <w:t>Sleep ✓ Good</w:t>
      </w:r>
      <w:r>
        <w:rPr>
          <w:rFonts w:ascii="Calibri" w:hAnsi="Calibri"/>
          <w:b w:val="0"/>
          <w:i w:val="0"/>
        </w:rPr>
        <w:t>Thermal Asymmetry ↑ Elevated</w:t>
      </w:r>
      <w:r>
        <w:rPr>
          <w:rFonts w:ascii="Calibri" w:hAnsi="Calibri"/>
          <w:b w:val="0"/>
          <w:i w:val="0"/>
        </w:rPr>
        <w:t>Modified Loading</w:t>
      </w:r>
    </w:p>
    <w:p>
      <w:pPr/>
      <w:r>
        <w:rPr>
          <w:rFonts w:ascii="Calibri" w:hAnsi="Calibri"/>
          <w:b w:val="0"/>
          <w:i w:val="0"/>
        </w:rPr>
        <w:t>🛑 Danger Zone</w:t>
      </w:r>
    </w:p>
    <w:p>
      <w:pPr/>
      <w:r>
        <w:rPr>
          <w:rFonts w:ascii="Calibri" w:hAnsi="Calibri"/>
          <w:b w:val="0"/>
          <w:i w:val="0"/>
        </w:rPr>
        <w:t>0–25</w:t>
      </w:r>
    </w:p>
    <w:p>
      <w:pPr>
        <w:pStyle w:val="Heading3"/>
      </w:pPr>
      <w:r>
        <w:t>Both Signals Alarming</w:t>
      </w:r>
    </w:p>
    <w:p>
      <w:pPr>
        <w:spacing w:after="120"/>
      </w:pPr>
      <w:r>
        <w:rPr>
          <w:rFonts w:ascii="Calibri" w:hAnsi="Calibri"/>
          <w:b w:val="0"/>
          <w:i w:val="0"/>
        </w:rPr>
        <w:t>Systemic readiness is low and thermal asymmetry is elevated simultaneously. The body is both globally fatigued and locally stressed. Mandatory clinical intervention: load reduction is non-negotiable; physiotherapy assessment required.</w:t>
      </w:r>
    </w:p>
    <w:p>
      <w:pPr>
        <w:spacing w:after="120"/>
      </w:pPr>
      <w:r>
        <w:rPr>
          <w:rFonts w:ascii="Calibri" w:hAnsi="Calibri"/>
          <w:b/>
          <w:i w:val="0"/>
        </w:rPr>
        <w:t>Capacity gap:</w:t>
      </w:r>
      <w:r>
        <w:rPr>
          <w:rFonts w:ascii="Calibri" w:hAnsi="Calibri"/>
          <w:b w:val="0"/>
          <w:i w:val="0"/>
        </w:rPr>
        <w:t xml:space="preserve"> Load exceeds both systemic and local tissue capacity simultaneously. A critical dual-axis gap — continued training at this state makes injury statistically near-certain.</w:t>
      </w:r>
    </w:p>
    <w:p>
      <w:pPr/>
      <w:r>
        <w:rPr>
          <w:rFonts w:ascii="Calibri" w:hAnsi="Calibri"/>
          <w:b w:val="0"/>
          <w:i w:val="0"/>
        </w:rPr>
        <w:t>HRV ↓↓ Critical</w:t>
      </w:r>
      <w:r>
        <w:rPr>
          <w:rFonts w:ascii="Calibri" w:hAnsi="Calibri"/>
          <w:b w:val="0"/>
          <w:i w:val="0"/>
        </w:rPr>
        <w:t>ACWR ↑↑ High</w:t>
      </w:r>
      <w:r>
        <w:rPr>
          <w:rFonts w:ascii="Calibri" w:hAnsi="Calibri"/>
          <w:b w:val="0"/>
          <w:i w:val="0"/>
        </w:rPr>
        <w:t>Thermal Asymmetry ↑↑ Elevated</w:t>
      </w:r>
      <w:r>
        <w:rPr>
          <w:rFonts w:ascii="Calibri" w:hAnsi="Calibri"/>
          <w:b w:val="0"/>
          <w:i w:val="0"/>
        </w:rPr>
        <w:t>Clinical Review</w:t>
      </w:r>
    </w:p>
    <w:p>
      <w:pPr>
        <w:spacing w:after="120"/>
      </w:pPr>
      <w:r>
        <w:rPr>
          <w:rFonts w:ascii="Calibri" w:hAnsi="Calibri"/>
          <w:b/>
          <w:i w:val="0"/>
        </w:rPr>
        <w:t>Why the Deceptive Readiness Zone matters most:</w:t>
      </w:r>
      <w:r>
        <w:rPr>
          <w:rFonts w:ascii="Calibri" w:hAnsi="Calibri"/>
          <w:b w:val="0"/>
          <w:i w:val="0"/>
        </w:rPr>
        <w:t xml:space="preserve"> Injuries rarely happen to athletes who feel terrible. They happen most often to athletes who feel great, train hard, and cross a threshold that their tissue had been approaching invisibly for days or weeks. This zone is where thermography's early-warning capability saves careers.</w:t>
      </w:r>
    </w:p>
    <w:p>
      <w:pPr>
        <w:spacing w:after="120"/>
      </w:pPr>
      <w:r>
        <w:rPr>
          <w:rFonts w:ascii="Calibri" w:hAnsi="Calibri"/>
          <w:b/>
          <w:i w:val="0"/>
        </w:rPr>
        <w:t>The COMPASS score: a continuous variable, not just a zone label.</w:t>
      </w:r>
      <w:r>
        <w:rPr>
          <w:rFonts w:ascii="Calibri" w:hAnsi="Calibri"/>
          <w:b w:val="0"/>
          <w:i w:val="0"/>
        </w:rPr>
        <w:t xml:space="preserve"> Every athlete receives a score from 0–100. Zone boundaries are clinical thresholds within that scale — where an athlete sits </w:t>
      </w:r>
      <w:r>
        <w:rPr>
          <w:rFonts w:ascii="Calibri" w:hAnsi="Calibri"/>
          <w:b w:val="0"/>
          <w:i/>
        </w:rPr>
        <w:t>inside</w:t>
      </w:r>
      <w:r>
        <w:rPr>
          <w:rFonts w:ascii="Calibri" w:hAnsi="Calibri"/>
          <w:b w:val="0"/>
          <w:i w:val="0"/>
        </w:rPr>
        <w:t xml:space="preserve"> their zone carries independent meaning, and score trends within a zone signal risk before any zone transition occurs.</w:t>
      </w:r>
    </w:p>
    <w:p>
      <w:pPr/>
      <w:r>
        <w:rPr>
          <w:rFonts w:ascii="Calibri" w:hAnsi="Calibri"/>
          <w:b w:val="0"/>
          <w:i w:val="0"/>
        </w:rPr>
        <w:t>DANGER</w:t>
      </w:r>
      <w:r>
        <w:rPr>
          <w:rFonts w:ascii="Calibri" w:hAnsi="Calibri"/>
          <w:b w:val="0"/>
          <w:i w:val="0"/>
        </w:rPr>
        <w:t>0–25</w:t>
      </w:r>
    </w:p>
    <w:p>
      <w:pPr/>
      <w:r>
        <w:rPr>
          <w:rFonts w:ascii="Calibri" w:hAnsi="Calibri"/>
          <w:b w:val="0"/>
          <w:i w:val="0"/>
        </w:rPr>
        <w:t>DECEPTIVE</w:t>
      </w:r>
      <w:r>
        <w:rPr>
          <w:rFonts w:ascii="Calibri" w:hAnsi="Calibri"/>
          <w:b w:val="0"/>
          <w:i w:val="0"/>
        </w:rPr>
        <w:t>26–50</w:t>
      </w:r>
    </w:p>
    <w:p>
      <w:pPr/>
      <w:r>
        <w:rPr>
          <w:rFonts w:ascii="Calibri" w:hAnsi="Calibri"/>
          <w:b w:val="0"/>
          <w:i w:val="0"/>
        </w:rPr>
        <w:t>RECOVERY</w:t>
      </w:r>
      <w:r>
        <w:rPr>
          <w:rFonts w:ascii="Calibri" w:hAnsi="Calibri"/>
          <w:b w:val="0"/>
          <w:i w:val="0"/>
        </w:rPr>
        <w:t>51–75</w:t>
      </w:r>
    </w:p>
    <w:p>
      <w:pPr/>
      <w:r>
        <w:rPr>
          <w:rFonts w:ascii="Calibri" w:hAnsi="Calibri"/>
          <w:b w:val="0"/>
          <w:i w:val="0"/>
        </w:rPr>
        <w:t>SAFE</w:t>
      </w:r>
      <w:r>
        <w:rPr>
          <w:rFonts w:ascii="Calibri" w:hAnsi="Calibri"/>
          <w:b w:val="0"/>
          <w:i w:val="0"/>
        </w:rPr>
        <w:t>76–100</w:t>
      </w:r>
    </w:p>
    <w:p>
      <w:pPr/>
      <w:r>
        <w:rPr>
          <w:rFonts w:ascii="Calibri" w:hAnsi="Calibri"/>
          <w:b w:val="0"/>
          <w:i w:val="0"/>
        </w:rPr>
        <w:t>0</w:t>
      </w:r>
      <w:r>
        <w:rPr>
          <w:rFonts w:ascii="Calibri" w:hAnsi="Calibri"/>
          <w:b w:val="0"/>
          <w:i w:val="0"/>
        </w:rPr>
        <w:t>26</w:t>
      </w:r>
      <w:r>
        <w:rPr>
          <w:rFonts w:ascii="Calibri" w:hAnsi="Calibri"/>
          <w:b w:val="0"/>
          <w:i w:val="0"/>
        </w:rPr>
        <w:t>51</w:t>
      </w:r>
      <w:r>
        <w:rPr>
          <w:rFonts w:ascii="Calibri" w:hAnsi="Calibri"/>
          <w:b w:val="0"/>
          <w:i w:val="0"/>
        </w:rPr>
        <w:t>76</w:t>
      </w:r>
      <w:r>
        <w:rPr>
          <w:rFonts w:ascii="Calibri" w:hAnsi="Calibri"/>
          <w:b w:val="0"/>
          <w:i w:val="0"/>
        </w:rPr>
        <w:t>100</w:t>
      </w:r>
    </w:p>
    <w:p>
      <w:pPr/>
      <w:r>
        <w:rPr>
          <w:rFonts w:ascii="Calibri" w:hAnsi="Calibri"/>
          <w:b w:val="0"/>
          <w:i w:val="0"/>
        </w:rPr>
        <w:t>POSITION WITHIN ZONE</w:t>
      </w:r>
    </w:p>
    <w:p>
      <w:pPr/>
      <w:r>
        <w:rPr>
          <w:rFonts w:ascii="Calibri" w:hAnsi="Calibri"/>
          <w:b w:val="0"/>
          <w:i w:val="0"/>
        </w:rPr>
        <w:t>Score 72 (Recovery ceiling) is near-safe. Score 52 (Recovery floor) borders Danger. Same zone label — very different clinical risk.</w:t>
      </w:r>
    </w:p>
    <w:p>
      <w:pPr/>
      <w:r>
        <w:rPr>
          <w:rFonts w:ascii="Calibri" w:hAnsi="Calibri"/>
          <w:b w:val="0"/>
          <w:i w:val="0"/>
        </w:rPr>
        <w:t>TREND DETECTION</w:t>
      </w:r>
    </w:p>
    <w:p>
      <w:pPr/>
      <w:r>
        <w:rPr>
          <w:rFonts w:ascii="Calibri" w:hAnsi="Calibri"/>
          <w:b w:val="0"/>
          <w:i w:val="0"/>
        </w:rPr>
        <w:t>A score drifting 45 → 30 within the Deceptive zone signals accelerating risk before any zone transition occurs.</w:t>
      </w:r>
    </w:p>
    <w:p>
      <w:pPr/>
      <w:r>
        <w:t>Zone Scatter Chart</w:t>
      </w:r>
    </w:p>
    <w:p>
      <w:pPr>
        <w:spacing w:before="120" w:after="120"/>
      </w:pPr>
      <w:r>
        <w:rPr>
          <w:rFonts w:ascii="Calibri" w:hAnsi="Calibri"/>
          <w:b/>
          <w:i/>
        </w:rPr>
        <w:t>[Chart: COMPASS Framework — Interactive Quadrant Visualisation]</w:t>
      </w:r>
    </w:p>
    <w:p>
      <w:pPr/>
      <w:r>
        <w:rPr>
          <w:rFonts w:ascii="Calibri" w:hAnsi="Calibri"/>
          <w:b w:val="0"/>
          <w:i w:val="0"/>
        </w:rPr>
        <w:t>Section 03</w:t>
      </w:r>
    </w:p>
    <w:p>
      <w:pPr>
        <w:pStyle w:val="Heading1"/>
      </w:pPr>
      <w:r>
        <w:t>The Framework Pipeline</w:t>
      </w:r>
    </w:p>
    <w:p>
      <w:pPr>
        <w:spacing w:after="120"/>
      </w:pPr>
      <w:r>
        <w:rPr>
          <w:rFonts w:ascii="Calibri" w:hAnsi="Calibri"/>
          <w:b w:val="0"/>
          <w:i w:val="0"/>
        </w:rPr>
        <w:t xml:space="preserve">A high-level view of the full COMPASS pipeline — from raw sensor inputs to practitioner outputs. All scoring equations are collected in </w:t>
      </w:r>
      <w:r>
        <w:rPr>
          <w:rFonts w:ascii="Calibri" w:hAnsi="Calibri"/>
          <w:b w:val="0"/>
          <w:i w:val="0"/>
        </w:rPr>
        <w:t>§ 3.1</w:t>
      </w:r>
      <w:r>
        <w:rPr>
          <w:rFonts w:ascii="Calibri" w:hAnsi="Calibri"/>
          <w:b w:val="0"/>
          <w:i w:val="0"/>
        </w:rPr>
        <w:t xml:space="preserve"> immediately after the diagram.</w:t>
      </w:r>
    </w:p>
    <w:p>
      <w:pPr/>
      <w:r>
        <w:t>Visual Pipeline</w:t>
      </w:r>
    </w:p>
    <w:p>
      <w:pPr/>
      <w:r>
        <w:rPr>
          <w:rFonts w:ascii="Calibri" w:hAnsi="Calibri"/>
        </w:rPr>
        <w:t>Stage A</w:t>
      </w:r>
    </w:p>
    <w:p>
      <w:pPr/>
      <w:r>
        <w:rPr>
          <w:rFonts w:ascii="Calibri" w:hAnsi="Calibri"/>
          <w:b w:val="0"/>
          <w:i w:val="0"/>
        </w:rPr>
        <w:t>Stage A — Raw Signal Inputs</w:t>
      </w:r>
    </w:p>
    <w:p>
      <w:pPr/>
      <w:r>
        <w:rPr>
          <w:rFonts w:ascii="Calibri" w:hAnsi="Calibri"/>
          <w:b w:val="0"/>
          <w:i w:val="0"/>
        </w:rPr>
        <w:t>Spike Wearable — Daily Data</w:t>
      </w:r>
    </w:p>
    <w:p>
      <w:pPr/>
      <w:r>
        <w:rPr>
          <w:rFonts w:ascii="Calibri" w:hAnsi="Calibri"/>
          <w:b w:val="0"/>
          <w:i w:val="0"/>
        </w:rPr>
        <w:t>Each day, Spike publishes one daily summary per athlete: average HRV, resting HR, sleep quality score, and ACWR. These daily statistics are forwarded to the Spike API, which returns a single pre-normalised readiness score.</w:t>
      </w:r>
    </w:p>
    <w:p>
      <w:pPr/>
      <w:r>
        <w:rPr>
          <w:rFonts w:ascii="Calibri" w:hAnsi="Calibri"/>
          <w:b w:val="0"/>
          <w:i w:val="0"/>
        </w:rPr>
        <w:t>Thermography Camera</w:t>
      </w:r>
    </w:p>
    <w:p>
      <w:pPr/>
      <w:r>
        <w:rPr>
          <w:rFonts w:ascii="Calibri" w:hAnsi="Calibri"/>
          <w:b w:val="0"/>
          <w:i w:val="0"/>
        </w:rPr>
        <w:t>Bilateral IR scan of contralateral body regions. Returns left/right temperature deltas per scanned zone.</w:t>
      </w:r>
    </w:p>
    <w:p>
      <w:pPr/>
      <w:r>
        <w:rPr>
          <w:rFonts w:ascii="Calibri" w:hAnsi="Calibri"/>
        </w:rPr>
        <w:t>Stage B</w:t>
      </w:r>
    </w:p>
    <w:p>
      <w:pPr/>
      <w:r>
        <w:rPr>
          <w:rFonts w:ascii="Calibri" w:hAnsi="Calibri"/>
          <w:b w:val="0"/>
          <w:i w:val="0"/>
        </w:rPr>
        <w:t>Stage B — Signal Normalisation</w:t>
      </w:r>
    </w:p>
    <w:p>
      <w:pPr/>
      <w:r>
        <w:rPr>
          <w:rFonts w:ascii="Calibri" w:hAnsi="Calibri"/>
          <w:b w:val="0"/>
          <w:i w:val="0"/>
        </w:rPr>
        <w:t>R Score (0–100) — from Spike</w:t>
      </w:r>
    </w:p>
    <w:p>
      <w:pPr/>
      <w:r>
        <w:rPr>
          <w:rFonts w:ascii="Calibri" w:hAnsi="Calibri"/>
          <w:b w:val="0"/>
          <w:i w:val="0"/>
        </w:rPr>
        <w:t>Received directly from the Spike API once per day. Spike normalises the daily statistics (avg HRV, resting HR, sleep, ACWR) to the athlete's own baseline before returning this score. COMPASS performs no readiness modelling.</w:t>
      </w:r>
    </w:p>
    <w:p>
      <w:pPr/>
      <w:r>
        <w:rPr>
          <w:rFonts w:ascii="Calibri" w:hAnsi="Calibri"/>
          <w:b w:val="0"/>
          <w:i w:val="0"/>
        </w:rPr>
        <w:t>T Score (0–100)</w:t>
      </w:r>
    </w:p>
    <w:p>
      <w:pPr/>
      <w:r>
        <w:rPr>
          <w:rFonts w:ascii="Calibri" w:hAnsi="Calibri"/>
          <w:b w:val="0"/>
          <w:i w:val="0"/>
        </w:rPr>
        <w:t xml:space="preserve">TAI converted to a normalised thermal risk score. Higher T = more asymmetry = greater tissue stress. Two conversion methods available — see </w:t>
      </w:r>
      <w:r>
        <w:rPr>
          <w:rFonts w:ascii="Calibri" w:hAnsi="Calibri"/>
          <w:b w:val="0"/>
          <w:i w:val="0"/>
        </w:rPr>
        <w:t>§ 3.1</w:t>
      </w:r>
      <w:r>
        <w:rPr>
          <w:rFonts w:ascii="Calibri" w:hAnsi="Calibri"/>
          <w:b w:val="0"/>
          <w:i w:val="0"/>
        </w:rPr>
        <w:t>.</w:t>
      </w:r>
    </w:p>
    <w:p>
      <w:pPr/>
      <w:r>
        <w:rPr>
          <w:rFonts w:ascii="Calibri" w:hAnsi="Calibri"/>
        </w:rPr>
        <w:t>Stage C</w:t>
      </w:r>
    </w:p>
    <w:p>
      <w:pPr/>
      <w:r>
        <w:rPr>
          <w:rFonts w:ascii="Calibri" w:hAnsi="Calibri"/>
          <w:b w:val="0"/>
          <w:i w:val="0"/>
        </w:rPr>
        <w:t>Stage C — Zone Classification (2 × 2 Matrix)</w:t>
      </w:r>
    </w:p>
    <w:p>
      <w:pPr/>
      <w:r>
        <w:rPr>
          <w:rFonts w:ascii="Calibri" w:hAnsi="Calibri"/>
        </w:rPr>
        <w:t>Safe</w:t>
      </w:r>
    </w:p>
    <w:p>
      <w:pPr/>
      <w:r>
        <w:rPr>
          <w:rFonts w:ascii="Calibri" w:hAnsi="Calibri"/>
          <w:b w:val="0"/>
          <w:i w:val="0"/>
        </w:rPr>
        <w:t>Systemic ready · Thermal clear</w:t>
      </w:r>
    </w:p>
    <w:p>
      <w:pPr/>
      <w:r>
        <w:rPr>
          <w:rFonts w:ascii="Calibri" w:hAnsi="Calibri"/>
        </w:rPr>
        <w:t>Recovery</w:t>
      </w:r>
    </w:p>
    <w:p>
      <w:pPr/>
      <w:r>
        <w:rPr>
          <w:rFonts w:ascii="Calibri" w:hAnsi="Calibri"/>
          <w:b w:val="0"/>
          <w:i w:val="0"/>
        </w:rPr>
        <w:t>Systemic fatigued · Thermal clear</w:t>
      </w:r>
    </w:p>
    <w:p>
      <w:pPr/>
      <w:r>
        <w:rPr>
          <w:rFonts w:ascii="Calibri" w:hAnsi="Calibri"/>
        </w:rPr>
        <w:t>Deceptive</w:t>
      </w:r>
    </w:p>
    <w:p>
      <w:pPr/>
      <w:r>
        <w:rPr>
          <w:rFonts w:ascii="Calibri" w:hAnsi="Calibri"/>
          <w:b w:val="0"/>
          <w:i w:val="0"/>
        </w:rPr>
        <w:t>Systemic ready · Thermal inflamed</w:t>
      </w:r>
    </w:p>
    <w:p>
      <w:pPr/>
      <w:r>
        <w:rPr>
          <w:rFonts w:ascii="Calibri" w:hAnsi="Calibri"/>
        </w:rPr>
        <w:t>Danger</w:t>
      </w:r>
    </w:p>
    <w:p>
      <w:pPr/>
      <w:r>
        <w:rPr>
          <w:rFonts w:ascii="Calibri" w:hAnsi="Calibri"/>
          <w:b w:val="0"/>
          <w:i w:val="0"/>
        </w:rPr>
        <w:t>Systemic fatigued · Thermal inflamed</w:t>
      </w:r>
    </w:p>
    <w:p>
      <w:pPr/>
      <w:r>
        <w:rPr>
          <w:rFonts w:ascii="Calibri" w:hAnsi="Calibri"/>
        </w:rPr>
        <w:t>Stage D</w:t>
      </w:r>
    </w:p>
    <w:p>
      <w:pPr/>
      <w:r>
        <w:rPr>
          <w:rFonts w:ascii="Calibri" w:hAnsi="Calibri"/>
          <w:b w:val="0"/>
          <w:i w:val="0"/>
        </w:rPr>
        <w:t>Stage D — COMPASS Scoring Engine</w:t>
      </w:r>
    </w:p>
    <w:p>
      <w:pPr/>
      <w:r>
        <w:rPr>
          <w:rFonts w:ascii="Calibri" w:hAnsi="Calibri"/>
          <w:b w:val="0"/>
          <w:i w:val="0"/>
        </w:rPr>
        <w:t>COMPASS Score (0–100)</w:t>
      </w:r>
    </w:p>
    <w:p>
      <w:pPr/>
      <w:r>
        <w:rPr>
          <w:rFonts w:ascii="Calibri" w:hAnsi="Calibri"/>
          <w:b w:val="0"/>
          <w:i w:val="0"/>
        </w:rPr>
        <w:t xml:space="preserve">R and T are each measured as a normalised distance from the zone boundary, then blended with zone-specific weights. Safe and Recovery zones weight both signals equally; Deceptive and Danger zones weight thermal at 70% — reflecting that tissue stress is the more reliable injury signal when the two conflict. Full equations in </w:t>
      </w:r>
      <w:r>
        <w:rPr>
          <w:rFonts w:ascii="Calibri" w:hAnsi="Calibri"/>
          <w:b w:val="0"/>
          <w:i w:val="0"/>
        </w:rPr>
        <w:t>§ 3.1</w:t>
      </w:r>
      <w:r>
        <w:rPr>
          <w:rFonts w:ascii="Calibri" w:hAnsi="Calibri"/>
          <w:b w:val="0"/>
          <w:i w:val="0"/>
        </w:rPr>
        <w:t>.</w:t>
      </w:r>
    </w:p>
    <w:p>
      <w:pPr/>
      <w:r>
        <w:rPr>
          <w:rFonts w:ascii="Calibri" w:hAnsi="Calibri"/>
        </w:rPr>
        <w:t>Stage E</w:t>
      </w:r>
    </w:p>
    <w:p>
      <w:pPr/>
      <w:r>
        <w:rPr>
          <w:rFonts w:ascii="Calibri" w:hAnsi="Calibri"/>
          <w:b w:val="0"/>
          <w:i w:val="0"/>
        </w:rPr>
        <w:t>Stage E — Output Zones</w:t>
      </w:r>
    </w:p>
    <w:p>
      <w:pPr/>
      <w:r>
        <w:rPr>
          <w:rFonts w:ascii="Calibri" w:hAnsi="Calibri"/>
          <w:b w:val="0"/>
          <w:i w:val="0"/>
        </w:rPr>
        <w:t>Safe</w:t>
      </w:r>
    </w:p>
    <w:p>
      <w:pPr/>
      <w:r>
        <w:rPr>
          <w:rFonts w:ascii="Calibri" w:hAnsi="Calibri"/>
          <w:b w:val="0"/>
          <w:i w:val="0"/>
        </w:rPr>
        <w:t>76 – 100</w:t>
      </w:r>
    </w:p>
    <w:p>
      <w:pPr/>
      <w:r>
        <w:rPr>
          <w:rFonts w:ascii="Calibri" w:hAnsi="Calibri"/>
          <w:b w:val="0"/>
          <w:i w:val="0"/>
        </w:rPr>
        <w:t>Recovery</w:t>
      </w:r>
    </w:p>
    <w:p>
      <w:pPr/>
      <w:r>
        <w:rPr>
          <w:rFonts w:ascii="Calibri" w:hAnsi="Calibri"/>
          <w:b w:val="0"/>
          <w:i w:val="0"/>
        </w:rPr>
        <w:t>51 – 75</w:t>
      </w:r>
    </w:p>
    <w:p>
      <w:pPr/>
      <w:r>
        <w:rPr>
          <w:rFonts w:ascii="Calibri" w:hAnsi="Calibri"/>
          <w:b w:val="0"/>
          <w:i w:val="0"/>
        </w:rPr>
        <w:t>Deceptive</w:t>
      </w:r>
    </w:p>
    <w:p>
      <w:pPr/>
      <w:r>
        <w:rPr>
          <w:rFonts w:ascii="Calibri" w:hAnsi="Calibri"/>
          <w:b w:val="0"/>
          <w:i w:val="0"/>
        </w:rPr>
        <w:t>26 – 50</w:t>
      </w:r>
    </w:p>
    <w:p>
      <w:pPr/>
      <w:r>
        <w:rPr>
          <w:rFonts w:ascii="Calibri" w:hAnsi="Calibri"/>
          <w:b w:val="0"/>
          <w:i w:val="0"/>
        </w:rPr>
        <w:t>Danger</w:t>
      </w:r>
    </w:p>
    <w:p>
      <w:pPr/>
      <w:r>
        <w:rPr>
          <w:rFonts w:ascii="Calibri" w:hAnsi="Calibri"/>
          <w:b w:val="0"/>
          <w:i w:val="0"/>
        </w:rPr>
        <w:t>0 – 25</w:t>
      </w:r>
    </w:p>
    <w:p>
      <w:pPr/>
      <w:r>
        <w:rPr>
          <w:rFonts w:ascii="Calibri" w:hAnsi="Calibri"/>
        </w:rPr>
        <w:t>Stage F</w:t>
      </w:r>
    </w:p>
    <w:p>
      <w:pPr/>
      <w:r>
        <w:rPr>
          <w:rFonts w:ascii="Calibri" w:hAnsi="Calibri"/>
          <w:b w:val="0"/>
          <w:i w:val="0"/>
        </w:rPr>
        <w:t>Stage F — AI Reasoning Engine</w:t>
      </w:r>
    </w:p>
    <w:p>
      <w:pPr/>
      <w:r>
        <w:rPr>
          <w:rFonts w:ascii="Calibri" w:hAnsi="Calibri"/>
          <w:b w:val="0"/>
          <w:i w:val="0"/>
        </w:rPr>
        <w:t xml:space="preserve">Multimodal Reasoning Engine </w:t>
      </w:r>
      <w:r>
        <w:rPr>
          <w:rFonts w:ascii="Calibri" w:hAnsi="Calibri"/>
          <w:b w:val="0"/>
          <w:i w:val="0"/>
        </w:rPr>
        <w:t>· AI Layer · Read-only</w:t>
      </w:r>
    </w:p>
    <w:p>
      <w:pPr/>
      <w:r>
        <w:rPr>
          <w:rFonts w:ascii="Calibri" w:hAnsi="Calibri"/>
          <w:b w:val="0"/>
          <w:i w:val="0"/>
        </w:rPr>
        <w:t>Receives the fully computed COMPASS assessment as a read-only input. Cannot alter scores, zone assignments, or thresholds. Sole function: explain and recommend based on the deterministic output from Stage E.</w:t>
      </w:r>
    </w:p>
    <w:p>
      <w:pPr/>
      <w:r>
        <w:rPr>
          <w:rFonts w:ascii="Calibri" w:hAnsi="Calibri"/>
        </w:rPr>
        <w:t>Stage G</w:t>
      </w:r>
    </w:p>
    <w:p>
      <w:pPr/>
      <w:r>
        <w:rPr>
          <w:rFonts w:ascii="Calibri" w:hAnsi="Calibri"/>
          <w:b w:val="0"/>
          <w:i w:val="0"/>
        </w:rPr>
        <w:t>Stage G — Practitioner Outputs</w:t>
      </w:r>
    </w:p>
    <w:p>
      <w:pPr/>
      <w:r>
        <w:rPr>
          <w:rFonts w:ascii="Calibri" w:hAnsi="Calibri"/>
          <w:b w:val="0"/>
          <w:i w:val="0"/>
        </w:rPr>
        <w:t>Verbose Explanation</w:t>
      </w:r>
    </w:p>
    <w:p>
      <w:pPr/>
      <w:r>
        <w:rPr>
          <w:rFonts w:ascii="Calibri" w:hAnsi="Calibri"/>
          <w:b w:val="0"/>
          <w:i w:val="0"/>
        </w:rPr>
        <w:t>Auditable reasoning chain for every assessment — named signals, zone rationale, and severity context.</w:t>
      </w:r>
    </w:p>
    <w:p>
      <w:pPr/>
      <w:r>
        <w:rPr>
          <w:rFonts w:ascii="Calibri" w:hAnsi="Calibri"/>
          <w:b w:val="0"/>
          <w:i w:val="0"/>
        </w:rPr>
        <w:t>Intervention Plan</w:t>
      </w:r>
    </w:p>
    <w:p>
      <w:pPr/>
      <w:r>
        <w:rPr>
          <w:rFonts w:ascii="Calibri" w:hAnsi="Calibri"/>
          <w:b w:val="0"/>
          <w:i w:val="0"/>
        </w:rPr>
        <w:t>Phase 1 Acute · Phase 2 Progressive · Threshold-gated progression criteria.</w:t>
      </w:r>
    </w:p>
    <w:p>
      <w:pPr/>
      <w:r>
        <w:rPr>
          <w:rFonts w:ascii="Calibri" w:hAnsi="Calibri"/>
          <w:b w:val="0"/>
          <w:i w:val="0"/>
        </w:rPr>
        <w:t>Reassessment Triggers</w:t>
      </w:r>
    </w:p>
    <w:p>
      <w:pPr/>
      <w:r>
        <w:rPr>
          <w:rFonts w:ascii="Calibri" w:hAnsi="Calibri"/>
          <w:b w:val="0"/>
          <w:i w:val="0"/>
        </w:rPr>
        <w:t>Named signal thresholds · Rule-based escalation · Next scan cadence.</w:t>
      </w:r>
    </w:p>
    <w:p>
      <w:pPr/>
      <w:r>
        <w:t>/sc-pipeline</w:t>
      </w:r>
    </w:p>
    <w:p>
      <w:pPr/>
      <w:r>
        <w:t>── 3.1.1 Scoring Equations ──</w:t>
      </w:r>
    </w:p>
    <w:p>
      <w:pPr>
        <w:pStyle w:val="Heading3"/>
      </w:pPr>
      <w:r>
        <w:t>3.1 — Scoring Equations</w:t>
      </w:r>
    </w:p>
    <w:p>
      <w:pPr>
        <w:spacing w:after="120"/>
      </w:pPr>
      <w:r>
        <w:rPr>
          <w:rFonts w:ascii="Calibri" w:hAnsi="Calibri"/>
          <w:b w:val="0"/>
          <w:i w:val="0"/>
        </w:rPr>
        <w:t>The three calculations that underpin the pipeline — T Score conversion, zone classification thresholds, and the COMPASS score formula.</w:t>
      </w:r>
    </w:p>
    <w:p>
      <w:pPr/>
      <w:r>
        <w:rPr>
          <w:rFonts w:ascii="Calibri" w:hAnsi="Calibri"/>
        </w:rPr>
        <w:t>Eq 1: T Score</w:t>
      </w:r>
    </w:p>
    <w:p>
      <w:pPr/>
      <w:r>
        <w:rPr>
          <w:rFonts w:ascii="Calibri" w:hAnsi="Calibri"/>
          <w:b w:val="0"/>
          <w:i w:val="0"/>
        </w:rPr>
        <w:t>① T Score — TAI → Thermal Risk (0–100)</w:t>
      </w:r>
    </w:p>
    <w:p>
      <w:pPr/>
      <w:r>
        <w:rPr>
          <w:rFonts w:ascii="Calibri" w:hAnsi="Calibri"/>
          <w:b w:val="0"/>
          <w:i w:val="0"/>
        </w:rPr>
        <w:t>Population method</w:t>
      </w:r>
      <w:r>
        <w:rPr>
          <w:rFonts w:ascii="Courier New" w:hAnsi="Courier New"/>
          <w:b w:val="0"/>
          <w:i w:val="0"/>
          <w:sz w:val="18"/>
        </w:rPr>
        <w:t>T = min(100, TAI / 1.0 × 100)</w:t>
      </w:r>
    </w:p>
    <w:p>
      <w:pPr/>
      <w:r>
        <w:rPr>
          <w:rFonts w:ascii="Calibri" w:hAnsi="Calibri"/>
          <w:b w:val="0"/>
          <w:i w:val="0"/>
        </w:rPr>
        <w:t>SD baseline method</w:t>
      </w:r>
      <w:r>
        <w:rPr>
          <w:rFonts w:ascii="Courier New" w:hAnsi="Courier New"/>
          <w:b w:val="0"/>
          <w:i w:val="0"/>
          <w:sz w:val="18"/>
        </w:rPr>
        <w:t>T = min(100, TAI_SD / 3.0 × 100)</w:t>
      </w:r>
    </w:p>
    <w:p>
      <w:pPr/>
      <w:r>
        <w:rPr>
          <w:rFonts w:ascii="Calibri" w:hAnsi="Calibri"/>
          <w:b w:val="0"/>
          <w:i w:val="0"/>
        </w:rPr>
        <w:t xml:space="preserve">Where </w:t>
      </w:r>
      <w:r>
        <w:rPr>
          <w:rFonts w:ascii="Courier New" w:hAnsi="Courier New"/>
          <w:b w:val="0"/>
          <w:i w:val="0"/>
          <w:sz w:val="18"/>
        </w:rPr>
        <w:t>TAI = max(region deltas)</w:t>
      </w:r>
      <w:r>
        <w:rPr>
          <w:rFonts w:ascii="Calibri" w:hAnsi="Calibri"/>
          <w:b w:val="0"/>
          <w:i w:val="0"/>
        </w:rPr>
        <w:t xml:space="preserve"> — the largest left/right temperature difference across all scanned zones. </w:t>
      </w:r>
      <w:r>
        <w:rPr>
          <w:rFonts w:ascii="Courier New" w:hAnsi="Courier New"/>
          <w:b w:val="0"/>
          <w:i w:val="0"/>
          <w:sz w:val="18"/>
        </w:rPr>
        <w:t>TAI_SD = TAI ÷ athlete's personal baseline SD</w:t>
      </w:r>
      <w:r>
        <w:rPr>
          <w:rFonts w:ascii="Calibri" w:hAnsi="Calibri"/>
          <w:b w:val="0"/>
          <w:i w:val="0"/>
        </w:rPr>
        <w:t>. The SD baseline method is preferred for longitudinal monitoring.</w:t>
      </w:r>
    </w:p>
    <w:p>
      <w:pPr/>
      <w:r>
        <w:rPr>
          <w:rFonts w:ascii="Calibri" w:hAnsi="Calibri"/>
        </w:rPr>
        <w:t>Eq 2: Zone Classification</w:t>
      </w:r>
    </w:p>
    <w:p>
      <w:pPr/>
      <w:r>
        <w:rPr>
          <w:rFonts w:ascii="Calibri" w:hAnsi="Calibri"/>
          <w:b w:val="0"/>
          <w:i w:val="0"/>
        </w:rPr>
        <w:t>② Zone Classification — R &amp; T Thresholds</w:t>
      </w:r>
    </w:p>
    <w:p>
      <w:pPr/>
      <w:r>
        <w:rPr>
          <w:rFonts w:ascii="Calibri" w:hAnsi="Calibri"/>
          <w:b w:val="0"/>
          <w:i w:val="0"/>
        </w:rPr>
        <w:t xml:space="preserve">R ≥ 50 </w:t>
      </w:r>
      <w:r>
        <w:rPr>
          <w:rFonts w:ascii="Calibri" w:hAnsi="Calibri"/>
          <w:b/>
          <w:i w:val="0"/>
        </w:rPr>
        <w:t>and</w:t>
      </w:r>
      <w:r>
        <w:rPr>
          <w:rFonts w:ascii="Calibri" w:hAnsi="Calibri"/>
          <w:b w:val="0"/>
          <w:i w:val="0"/>
        </w:rPr>
        <w:t xml:space="preserve"> T &lt; 50 → </w:t>
      </w:r>
      <w:r>
        <w:rPr>
          <w:rFonts w:ascii="Calibri" w:hAnsi="Calibri"/>
          <w:b/>
          <w:i w:val="0"/>
        </w:rPr>
        <w:t>Safe</w:t>
      </w:r>
    </w:p>
    <w:p>
      <w:pPr/>
      <w:r>
        <w:rPr>
          <w:rFonts w:ascii="Calibri" w:hAnsi="Calibri"/>
          <w:b w:val="0"/>
          <w:i w:val="0"/>
        </w:rPr>
        <w:t xml:space="preserve">R &lt; 50 </w:t>
      </w:r>
      <w:r>
        <w:rPr>
          <w:rFonts w:ascii="Calibri" w:hAnsi="Calibri"/>
          <w:b/>
          <w:i w:val="0"/>
        </w:rPr>
        <w:t>and</w:t>
      </w:r>
      <w:r>
        <w:rPr>
          <w:rFonts w:ascii="Calibri" w:hAnsi="Calibri"/>
          <w:b w:val="0"/>
          <w:i w:val="0"/>
        </w:rPr>
        <w:t xml:space="preserve"> T &lt; 50 → </w:t>
      </w:r>
      <w:r>
        <w:rPr>
          <w:rFonts w:ascii="Calibri" w:hAnsi="Calibri"/>
          <w:b/>
          <w:i w:val="0"/>
        </w:rPr>
        <w:t>Recovery</w:t>
      </w:r>
    </w:p>
    <w:p>
      <w:pPr/>
      <w:r>
        <w:rPr>
          <w:rFonts w:ascii="Calibri" w:hAnsi="Calibri"/>
          <w:b w:val="0"/>
          <w:i w:val="0"/>
        </w:rPr>
        <w:t xml:space="preserve">R ≥ 50 </w:t>
      </w:r>
      <w:r>
        <w:rPr>
          <w:rFonts w:ascii="Calibri" w:hAnsi="Calibri"/>
          <w:b/>
          <w:i w:val="0"/>
        </w:rPr>
        <w:t>and</w:t>
      </w:r>
      <w:r>
        <w:rPr>
          <w:rFonts w:ascii="Calibri" w:hAnsi="Calibri"/>
          <w:b w:val="0"/>
          <w:i w:val="0"/>
        </w:rPr>
        <w:t xml:space="preserve"> T ≥ 50 → </w:t>
      </w:r>
      <w:r>
        <w:rPr>
          <w:rFonts w:ascii="Calibri" w:hAnsi="Calibri"/>
          <w:b/>
          <w:i w:val="0"/>
        </w:rPr>
        <w:t>Deceptive</w:t>
      </w:r>
    </w:p>
    <w:p>
      <w:pPr/>
      <w:r>
        <w:rPr>
          <w:rFonts w:ascii="Calibri" w:hAnsi="Calibri"/>
          <w:b w:val="0"/>
          <w:i w:val="0"/>
        </w:rPr>
        <w:t xml:space="preserve">R &lt; 50 </w:t>
      </w:r>
      <w:r>
        <w:rPr>
          <w:rFonts w:ascii="Calibri" w:hAnsi="Calibri"/>
          <w:b/>
          <w:i w:val="0"/>
        </w:rPr>
        <w:t>and</w:t>
      </w:r>
      <w:r>
        <w:rPr>
          <w:rFonts w:ascii="Calibri" w:hAnsi="Calibri"/>
          <w:b w:val="0"/>
          <w:i w:val="0"/>
        </w:rPr>
        <w:t xml:space="preserve"> T ≥ 50 → </w:t>
      </w:r>
      <w:r>
        <w:rPr>
          <w:rFonts w:ascii="Calibri" w:hAnsi="Calibri"/>
          <w:b/>
          <w:i w:val="0"/>
        </w:rPr>
        <w:t>Danger</w:t>
      </w:r>
    </w:p>
    <w:p>
      <w:pPr/>
      <w:r>
        <w:rPr>
          <w:rFonts w:ascii="Calibri" w:hAnsi="Calibri"/>
        </w:rPr>
        <w:t>Eq 3: COMPASS Score</w:t>
      </w:r>
    </w:p>
    <w:p>
      <w:pPr/>
      <w:r>
        <w:rPr>
          <w:rFonts w:ascii="Calibri" w:hAnsi="Calibri"/>
          <w:b w:val="0"/>
          <w:i w:val="0"/>
        </w:rPr>
        <w:t>③ COMPASS Score Formula</w:t>
      </w:r>
    </w:p>
    <w:p>
      <w:pPr/>
      <w:r>
        <w:rPr>
          <w:rFonts w:ascii="Calibri" w:hAnsi="Calibri"/>
          <w:b w:val="0"/>
          <w:i w:val="0"/>
        </w:rPr>
        <w:t>Abstract form</w:t>
      </w:r>
    </w:p>
    <w:p>
      <w:pPr/>
      <w:r>
        <w:rPr>
          <w:rFonts w:ascii="Calibri" w:hAnsi="Calibri"/>
        </w:rPr>
        <w:t>—</w:t>
      </w:r>
    </w:p>
    <w:p>
      <w:pPr/>
      <w:r>
        <w:rPr>
          <w:rFonts w:ascii="Calibri" w:hAnsi="Calibri"/>
          <w:b w:val="0"/>
          <w:i w:val="0"/>
        </w:rPr>
        <w:t>R_dist</w:t>
      </w:r>
    </w:p>
    <w:p>
      <w:pPr/>
      <w:r>
        <w:rPr>
          <w:rFonts w:ascii="Calibri" w:hAnsi="Calibri"/>
        </w:rPr>
        <w:t>and</w:t>
      </w:r>
    </w:p>
    <w:p>
      <w:pPr/>
      <w:r>
        <w:rPr>
          <w:rFonts w:ascii="Calibri" w:hAnsi="Calibri"/>
          <w:b w:val="0"/>
          <w:i w:val="0"/>
        </w:rPr>
        <w:t>T_dist</w:t>
      </w:r>
    </w:p>
    <w:p>
      <w:pPr/>
      <w:r>
        <w:rPr>
          <w:rFonts w:ascii="Calibri" w:hAnsi="Calibri"/>
        </w:rPr>
        <w:t>are each signal's normalised distance from the zone boundary (0–1):</w:t>
      </w:r>
    </w:p>
    <w:p>
      <w:pPr/>
      <w:r>
        <w:rPr>
          <w:rFonts w:ascii="Courier New" w:hAnsi="Courier New"/>
          <w:b w:val="0"/>
          <w:i w:val="0"/>
          <w:sz w:val="18"/>
        </w:rPr>
        <w:t>Safe / Recovery:   Score = floor + 24 × (0.5 × R_dist + 0.5 × T_dist)</w:t>
      </w:r>
    </w:p>
    <w:p>
      <w:pPr/>
      <w:r>
        <w:rPr>
          <w:rFonts w:ascii="Courier New" w:hAnsi="Courier New"/>
          <w:b w:val="0"/>
          <w:i w:val="0"/>
          <w:sz w:val="18"/>
        </w:rPr>
        <w:t>Deceptive / Danger: Score = floor + 24 × (0.3 × R_dist + 0.7 × T_dist)</w:t>
      </w:r>
    </w:p>
    <w:p>
      <w:pPr/>
      <w:r>
        <w:rPr>
          <w:rFonts w:ascii="Calibri" w:hAnsi="Calibri"/>
          <w:b w:val="0"/>
          <w:i w:val="0"/>
        </w:rPr>
        <w:t>Per-zone expanded form:</w:t>
      </w:r>
    </w:p>
    <w:p>
      <w:pPr/>
      <w:r>
        <w:rPr>
          <w:rFonts w:ascii="Calibri" w:hAnsi="Calibri"/>
          <w:b w:val="0"/>
          <w:i w:val="0"/>
        </w:rPr>
        <w:t>Safe (76–100)</w:t>
      </w:r>
      <w:r>
        <w:rPr>
          <w:rFonts w:ascii="Courier New" w:hAnsi="Courier New"/>
          <w:b w:val="0"/>
          <w:i w:val="0"/>
          <w:sz w:val="18"/>
        </w:rPr>
        <w:t>76 + 24 × avg( (R−50)/50 , (50−T)/50 )</w:t>
      </w:r>
    </w:p>
    <w:p>
      <w:pPr/>
      <w:r>
        <w:rPr>
          <w:rFonts w:ascii="Calibri" w:hAnsi="Calibri"/>
          <w:b w:val="0"/>
          <w:i w:val="0"/>
        </w:rPr>
        <w:t>Recovery (51–75)</w:t>
      </w:r>
      <w:r>
        <w:rPr>
          <w:rFonts w:ascii="Courier New" w:hAnsi="Courier New"/>
          <w:b w:val="0"/>
          <w:i w:val="0"/>
          <w:sz w:val="18"/>
        </w:rPr>
        <w:t>51 + 24 × avg( R/50 , (50−T)/50 )</w:t>
      </w:r>
    </w:p>
    <w:p>
      <w:pPr/>
      <w:r>
        <w:rPr>
          <w:rFonts w:ascii="Calibri" w:hAnsi="Calibri"/>
          <w:b w:val="0"/>
          <w:i w:val="0"/>
        </w:rPr>
        <w:t>Deceptive (26–50)</w:t>
      </w:r>
      <w:r>
        <w:rPr>
          <w:rFonts w:ascii="Courier New" w:hAnsi="Courier New"/>
          <w:b w:val="0"/>
          <w:i w:val="0"/>
          <w:sz w:val="18"/>
        </w:rPr>
        <w:t>26 + 24 × ( 0.3×(R−50)/50 + 0.7×(100−T)/50 )</w:t>
      </w:r>
    </w:p>
    <w:p>
      <w:pPr/>
      <w:r>
        <w:rPr>
          <w:rFonts w:ascii="Calibri" w:hAnsi="Calibri"/>
          <w:b w:val="0"/>
          <w:i w:val="0"/>
        </w:rPr>
        <w:t>Danger (0–25)</w:t>
      </w:r>
      <w:r>
        <w:rPr>
          <w:rFonts w:ascii="Courier New" w:hAnsi="Courier New"/>
          <w:b w:val="0"/>
          <w:i w:val="0"/>
          <w:sz w:val="18"/>
        </w:rPr>
        <w:t>25 × ( 0.3×R/50 + 0.7×(100−T)/50 )</w:t>
      </w:r>
    </w:p>
    <w:p>
      <w:pPr/>
      <w:r>
        <w:rPr>
          <w:rFonts w:ascii="Calibri" w:hAnsi="Calibri"/>
          <w:b w:val="0"/>
          <w:i w:val="0"/>
        </w:rPr>
        <w:t>Zone floors: Safe 76 · Recovery 51 · Deceptive 26 · Danger 1. Each zone spans 25 points.</w:t>
      </w:r>
    </w:p>
    <w:p>
      <w:pPr/>
      <w:r>
        <w:t>/scoring-equations</w:t>
      </w:r>
    </w:p>
    <w:p>
      <w:pPr/>
      <w:r>
        <w:rPr>
          <w:rFonts w:ascii="Calibri" w:hAnsi="Calibri"/>
          <w:b w:val="0"/>
          <w:i w:val="0"/>
        </w:rPr>
        <w:t>⚖️</w:t>
      </w:r>
    </w:p>
    <w:p>
      <w:pPr/>
      <w:r>
        <w:rPr>
          <w:rFonts w:ascii="Calibri" w:hAnsi="Calibri"/>
          <w:b w:val="0"/>
          <w:i w:val="0"/>
        </w:rPr>
        <w:t>Why Thermal Is Weighted 70% in Risk Zones</w:t>
      </w:r>
    </w:p>
    <w:p>
      <w:pPr>
        <w:spacing w:after="120"/>
      </w:pPr>
      <w:r>
        <w:rPr>
          <w:rFonts w:ascii="Calibri" w:hAnsi="Calibri"/>
          <w:b w:val="0"/>
          <w:i w:val="0"/>
        </w:rPr>
        <w:t xml:space="preserve">In the Deceptive and Danger zones, the thermal signal carries 70% of the within-zone score, versus 30% for readiness. This reflects the clinical asymmetry at the heart of the framework: when tissue stress is elevated, how the athlete </w:t>
      </w:r>
      <w:r>
        <w:rPr>
          <w:rFonts w:ascii="Calibri" w:hAnsi="Calibri"/>
          <w:b w:val="0"/>
          <w:i/>
        </w:rPr>
        <w:t>feels</w:t>
      </w:r>
      <w:r>
        <w:rPr>
          <w:rFonts w:ascii="Calibri" w:hAnsi="Calibri"/>
          <w:b w:val="0"/>
          <w:i w:val="0"/>
        </w:rPr>
        <w:t xml:space="preserve"> is an unreliable guide. The score is deliberately pulled down by thermal risk even when readiness is high — ensuring an athlete who feels great but has significant asymmetry cannot score in the upper half of the Deceptive band.</w:t>
      </w:r>
    </w:p>
    <w:p>
      <w:pPr/>
      <w:r>
        <w:t>Step-by-Step Walkthrough</w:t>
      </w:r>
    </w:p>
    <w:p>
      <w:pPr>
        <w:pStyle w:val="Heading2"/>
      </w:pPr>
      <w:r>
        <w:t>Step-by-Step Walkthrough</w:t>
      </w:r>
    </w:p>
    <w:p>
      <w:pPr/>
      <w:r>
        <w:rPr>
          <w:rFonts w:ascii="Calibri" w:hAnsi="Calibri"/>
          <w:b w:val="0"/>
          <w:i w:val="0"/>
        </w:rPr>
        <w:t>1</w:t>
      </w:r>
    </w:p>
    <w:p>
      <w:pPr>
        <w:pStyle w:val="Heading3"/>
      </w:pPr>
      <w:r>
        <w:t>Collect raw signals</w:t>
      </w:r>
    </w:p>
    <w:p>
      <w:pPr>
        <w:spacing w:after="120"/>
      </w:pPr>
      <w:r>
        <w:rPr>
          <w:rFonts w:ascii="Calibri" w:hAnsi="Calibri"/>
          <w:b w:val="0"/>
          <w:i w:val="0"/>
        </w:rPr>
        <w:t xml:space="preserve">Spike collects continuous sensor data and publishes one daily summary per athlete. Each day's output includes </w:t>
      </w:r>
      <w:r>
        <w:rPr>
          <w:rFonts w:ascii="Calibri" w:hAnsi="Calibri"/>
          <w:b w:val="0"/>
          <w:i w:val="0"/>
        </w:rPr>
        <w:t>avg HRV</w:t>
      </w:r>
      <w:r>
        <w:rPr>
          <w:rFonts w:ascii="Calibri" w:hAnsi="Calibri"/>
          <w:b w:val="0"/>
          <w:i w:val="0"/>
        </w:rPr>
        <w:t>resting HR</w:t>
      </w:r>
      <w:r>
        <w:rPr>
          <w:rFonts w:ascii="Calibri" w:hAnsi="Calibri"/>
          <w:b w:val="0"/>
          <w:i w:val="0"/>
        </w:rPr>
        <w:t>sleep quality</w:t>
      </w:r>
      <w:r>
        <w:rPr>
          <w:rFonts w:ascii="Calibri" w:hAnsi="Calibri"/>
          <w:b w:val="0"/>
          <w:i w:val="0"/>
        </w:rPr>
        <w:t>ACWR</w:t>
      </w:r>
      <w:r>
        <w:rPr>
          <w:rFonts w:ascii="Calibri" w:hAnsi="Calibri"/>
          <w:b w:val="0"/>
          <w:i w:val="0"/>
        </w:rPr>
        <w:t xml:space="preserve"> — these daily statistics are forwarded to the Spike API to generate the readiness score. The thermography camera captures a bilateral IR scan and returns </w:t>
      </w:r>
      <w:r>
        <w:rPr>
          <w:rFonts w:ascii="Calibri" w:hAnsi="Calibri"/>
          <w:b w:val="0"/>
          <w:i w:val="0"/>
        </w:rPr>
        <w:t>TAI</w:t>
      </w:r>
      <w:r>
        <w:rPr>
          <w:rFonts w:ascii="Calibri" w:hAnsi="Calibri"/>
          <w:b w:val="0"/>
          <w:i w:val="0"/>
        </w:rPr>
        <w:t xml:space="preserve"> — the maximum contralateral delta across all scanned regions.</w:t>
      </w:r>
    </w:p>
    <w:p>
      <w:pPr/>
      <w:r>
        <w:rPr>
          <w:rFonts w:ascii="Calibri" w:hAnsi="Calibri"/>
          <w:b w:val="0"/>
          <w:i w:val="0"/>
        </w:rPr>
        <w:t>2</w:t>
      </w:r>
    </w:p>
    <w:p>
      <w:pPr>
        <w:pStyle w:val="Heading3"/>
      </w:pPr>
      <w:r>
        <w:t>Compute R and T scores</w:t>
      </w:r>
    </w:p>
    <w:p>
      <w:pPr>
        <w:spacing w:after="120"/>
      </w:pPr>
      <w:r>
        <w:rPr>
          <w:rFonts w:ascii="Calibri" w:hAnsi="Calibri"/>
          <w:b w:val="0"/>
          <w:i w:val="0"/>
        </w:rPr>
        <w:t xml:space="preserve">The wearable API delivers a pre-normalised </w:t>
      </w:r>
      <w:r>
        <w:rPr>
          <w:rFonts w:ascii="Calibri" w:hAnsi="Calibri"/>
          <w:b w:val="0"/>
          <w:i w:val="0"/>
        </w:rPr>
        <w:t>R score (0–100)</w:t>
      </w:r>
      <w:r>
        <w:rPr>
          <w:rFonts w:ascii="Calibri" w:hAnsi="Calibri"/>
          <w:b w:val="0"/>
          <w:i w:val="0"/>
        </w:rPr>
        <w:t xml:space="preserve"> — COMPASS does not perform any readiness modelling itself. The platform converts TAI to a </w:t>
      </w:r>
      <w:r>
        <w:rPr>
          <w:rFonts w:ascii="Calibri" w:hAnsi="Calibri"/>
          <w:b w:val="0"/>
          <w:i w:val="0"/>
        </w:rPr>
        <w:t>T score (0–100)</w:t>
      </w:r>
      <w:r>
        <w:rPr>
          <w:rFonts w:ascii="Calibri" w:hAnsi="Calibri"/>
          <w:b w:val="0"/>
          <w:i w:val="0"/>
        </w:rPr>
        <w:t xml:space="preserve"> using either the population threshold method or the individual SD baseline method (preferred).</w:t>
      </w:r>
    </w:p>
    <w:p>
      <w:pPr/>
      <w:r>
        <w:rPr>
          <w:rFonts w:ascii="Calibri" w:hAnsi="Calibri"/>
          <w:b w:val="0"/>
          <w:i w:val="0"/>
        </w:rPr>
        <w:t>3</w:t>
      </w:r>
    </w:p>
    <w:p>
      <w:pPr>
        <w:pStyle w:val="Heading3"/>
      </w:pPr>
      <w:r>
        <w:t>Classify zone via 2 × 2 matrix</w:t>
      </w:r>
    </w:p>
    <w:p>
      <w:pPr>
        <w:spacing w:after="120"/>
      </w:pPr>
      <w:r>
        <w:rPr>
          <w:rFonts w:ascii="Calibri" w:hAnsi="Calibri"/>
          <w:b w:val="0"/>
          <w:i w:val="0"/>
        </w:rPr>
        <w:t xml:space="preserve">R and T are each thresholded at 50. The combination of above/below determines which of the four zones applies: </w:t>
      </w:r>
      <w:r>
        <w:rPr>
          <w:rFonts w:ascii="Courier New" w:hAnsi="Courier New"/>
          <w:b w:val="0"/>
          <w:i w:val="0"/>
          <w:sz w:val="18"/>
        </w:rPr>
        <w:t>R ≥ 50, T &lt; 50</w:t>
      </w:r>
      <w:r>
        <w:rPr>
          <w:rFonts w:ascii="Calibri" w:hAnsi="Calibri"/>
          <w:b w:val="0"/>
          <w:i w:val="0"/>
        </w:rPr>
        <w:t xml:space="preserve"> → Safe; </w:t>
      </w:r>
      <w:r>
        <w:rPr>
          <w:rFonts w:ascii="Courier New" w:hAnsi="Courier New"/>
          <w:b w:val="0"/>
          <w:i w:val="0"/>
          <w:sz w:val="18"/>
        </w:rPr>
        <w:t>R &lt; 50, T &lt; 50</w:t>
      </w:r>
      <w:r>
        <w:rPr>
          <w:rFonts w:ascii="Calibri" w:hAnsi="Calibri"/>
          <w:b w:val="0"/>
          <w:i w:val="0"/>
        </w:rPr>
        <w:t xml:space="preserve"> → Recovery; </w:t>
      </w:r>
      <w:r>
        <w:rPr>
          <w:rFonts w:ascii="Courier New" w:hAnsi="Courier New"/>
          <w:b w:val="0"/>
          <w:i w:val="0"/>
          <w:sz w:val="18"/>
        </w:rPr>
        <w:t>R ≥ 50, T ≥ 50</w:t>
      </w:r>
      <w:r>
        <w:rPr>
          <w:rFonts w:ascii="Calibri" w:hAnsi="Calibri"/>
          <w:b w:val="0"/>
          <w:i w:val="0"/>
        </w:rPr>
        <w:t xml:space="preserve"> → </w:t>
      </w:r>
      <w:r>
        <w:rPr>
          <w:rFonts w:ascii="Calibri" w:hAnsi="Calibri"/>
          <w:b w:val="0"/>
          <w:i w:val="0"/>
        </w:rPr>
        <w:t>Deceptive</w:t>
      </w:r>
      <w:r>
        <w:rPr>
          <w:rFonts w:ascii="Calibri" w:hAnsi="Calibri"/>
          <w:b w:val="0"/>
          <w:i w:val="0"/>
        </w:rPr>
        <w:t xml:space="preserve">; </w:t>
      </w:r>
      <w:r>
        <w:rPr>
          <w:rFonts w:ascii="Courier New" w:hAnsi="Courier New"/>
          <w:b w:val="0"/>
          <w:i w:val="0"/>
          <w:sz w:val="18"/>
        </w:rPr>
        <w:t>R &lt; 50, T ≥ 50</w:t>
      </w:r>
      <w:r>
        <w:rPr>
          <w:rFonts w:ascii="Calibri" w:hAnsi="Calibri"/>
          <w:b w:val="0"/>
          <w:i w:val="0"/>
        </w:rPr>
        <w:t xml:space="preserve"> → </w:t>
      </w:r>
      <w:r>
        <w:rPr>
          <w:rFonts w:ascii="Calibri" w:hAnsi="Calibri"/>
          <w:b w:val="0"/>
          <w:i w:val="0"/>
        </w:rPr>
        <w:t>Danger</w:t>
      </w:r>
      <w:r>
        <w:rPr>
          <w:rFonts w:ascii="Calibri" w:hAnsi="Calibri"/>
          <w:b w:val="0"/>
          <w:i w:val="0"/>
        </w:rPr>
        <w:t>.</w:t>
      </w:r>
    </w:p>
    <w:p>
      <w:pPr/>
      <w:r>
        <w:rPr>
          <w:rFonts w:ascii="Calibri" w:hAnsi="Calibri"/>
          <w:b w:val="0"/>
          <w:i w:val="0"/>
        </w:rPr>
        <w:t>4</w:t>
      </w:r>
    </w:p>
    <w:p>
      <w:pPr>
        <w:pStyle w:val="Heading3"/>
      </w:pPr>
      <w:r>
        <w:t>Apply zone-specific weighting</w:t>
      </w:r>
    </w:p>
    <w:p>
      <w:pPr>
        <w:spacing w:after="120"/>
      </w:pPr>
      <w:r>
        <w:rPr>
          <w:rFonts w:ascii="Calibri" w:hAnsi="Calibri"/>
          <w:b w:val="0"/>
          <w:i w:val="0"/>
        </w:rPr>
        <w:t>In Safe and Recovery zones the R and T contributions are equal (50/50). In Deceptive and Danger zones the thermal signal carries 70% of the within-zone score — reflecting the clinical reality that tissue stress is a more reliable injury predictor than perceived readiness when both signals conflict.</w:t>
      </w:r>
    </w:p>
    <w:p>
      <w:pPr/>
      <w:r>
        <w:rPr>
          <w:rFonts w:ascii="Calibri" w:hAnsi="Calibri"/>
          <w:b w:val="0"/>
          <w:i w:val="0"/>
        </w:rPr>
        <w:t>5</w:t>
      </w:r>
    </w:p>
    <w:p>
      <w:pPr>
        <w:pStyle w:val="Heading3"/>
      </w:pPr>
      <w:r>
        <w:t>Calculate final COMPASS score</w:t>
      </w:r>
    </w:p>
    <w:p>
      <w:pPr>
        <w:spacing w:after="120"/>
      </w:pPr>
      <w:r>
        <w:rPr>
          <w:rFonts w:ascii="Calibri" w:hAnsi="Calibri"/>
          <w:b w:val="0"/>
          <w:i w:val="0"/>
        </w:rPr>
        <w:t>Each zone spans 25 points (floor to floor + 24). The weighted distances of R and T from their respective zone boundaries determine where within that 25-point band the athlete sits. The result is a single integer from 0–100 that encodes both zone identity and within-zone severity.</w:t>
      </w:r>
    </w:p>
    <w:p>
      <w:pPr>
        <w:spacing w:after="120"/>
      </w:pPr>
      <w:r>
        <w:rPr>
          <w:rFonts w:ascii="Calibri" w:hAnsi="Calibri"/>
          <w:b w:val="0"/>
          <w:i w:val="0"/>
        </w:rPr>
        <w:t xml:space="preserve">Steps 1–5 produce the COMPASS score and zone assignment. The pipeline then continues through an AI reasoning layer (Stage F) to practitioner outputs (Stage G) — detailed in </w:t>
      </w:r>
      <w:r>
        <w:rPr>
          <w:rFonts w:ascii="Calibri" w:hAnsi="Calibri"/>
          <w:b w:val="0"/>
          <w:i w:val="0"/>
        </w:rPr>
        <w:t>Section 07</w:t>
      </w:r>
      <w:r>
        <w:rPr>
          <w:rFonts w:ascii="Calibri" w:hAnsi="Calibri"/>
          <w:b w:val="0"/>
          <w:i w:val="0"/>
        </w:rPr>
        <w:t xml:space="preserve">. The full equations behind Steps 2–4 are in </w:t>
      </w:r>
      <w:r>
        <w:rPr>
          <w:rFonts w:ascii="Calibri" w:hAnsi="Calibri"/>
          <w:b w:val="0"/>
          <w:i w:val="0"/>
        </w:rPr>
        <w:t>§ 3.1</w:t>
      </w:r>
      <w:r>
        <w:rPr>
          <w:rFonts w:ascii="Calibri" w:hAnsi="Calibri"/>
          <w:b w:val="0"/>
          <w:i w:val="0"/>
        </w:rPr>
        <w:t>.</w:t>
      </w:r>
    </w:p>
    <w:p>
      <w:pPr/>
      <w:r>
        <w:t>/sc-steps</w:t>
      </w:r>
    </w:p>
    <w:p>
      <w:pPr/>
      <w:r>
        <w:t>Worked Example</w:t>
      </w:r>
    </w:p>
    <w:p>
      <w:pPr/>
      <w:r>
        <w:rPr>
          <w:rFonts w:ascii="Calibri" w:hAnsi="Calibri"/>
          <w:b w:val="0"/>
          <w:i w:val="0"/>
        </w:rPr>
        <w:t>Worked Example — Danger Zone</w:t>
      </w:r>
    </w:p>
    <w:p>
      <w:pPr/>
      <w:r>
        <w:rPr>
          <w:rFonts w:ascii="Calibri" w:hAnsi="Calibri"/>
          <w:b w:val="0"/>
          <w:i w:val="0"/>
        </w:rPr>
        <w:t>Raw inputs</w:t>
      </w:r>
    </w:p>
    <w:p>
      <w:pPr/>
      <w:r>
        <w:rPr>
          <w:rFonts w:ascii="Calibri" w:hAnsi="Calibri"/>
          <w:b w:val="0"/>
          <w:i w:val="0"/>
        </w:rPr>
        <w:t>HRV −16% from baseline · Sleep 74% · Resting HR +5 bpm · ACWR 1.28</w:t>
      </w:r>
    </w:p>
    <w:p>
      <w:pPr/>
      <w:r>
        <w:rPr>
          <w:rFonts w:ascii="Calibri" w:hAnsi="Calibri"/>
          <w:b w:val="0"/>
          <w:i w:val="0"/>
        </w:rPr>
        <w:t>R Score</w:t>
      </w:r>
    </w:p>
    <w:p>
      <w:pPr/>
      <w:r>
        <w:rPr>
          <w:rFonts w:ascii="Calibri" w:hAnsi="Calibri"/>
          <w:b w:val="0"/>
          <w:i w:val="0"/>
        </w:rPr>
        <w:t xml:space="preserve">Wearable API returns </w:t>
      </w:r>
      <w:r>
        <w:rPr>
          <w:rFonts w:ascii="Courier New" w:hAnsi="Courier New"/>
          <w:b w:val="0"/>
          <w:i w:val="0"/>
          <w:sz w:val="18"/>
        </w:rPr>
        <w:t>R = 45</w:t>
      </w:r>
      <w:r>
        <w:rPr>
          <w:rFonts w:ascii="Calibri" w:hAnsi="Calibri"/>
          <w:b w:val="0"/>
          <w:i w:val="0"/>
        </w:rPr>
        <w:t xml:space="preserve"> (below 50 → systemic fatigue confirmed)</w:t>
      </w:r>
    </w:p>
    <w:p>
      <w:pPr/>
      <w:r>
        <w:rPr>
          <w:rFonts w:ascii="Calibri" w:hAnsi="Calibri"/>
          <w:b w:val="0"/>
          <w:i w:val="0"/>
        </w:rPr>
        <w:t>Thermal scan</w:t>
      </w:r>
    </w:p>
    <w:p>
      <w:pPr/>
      <w:r>
        <w:rPr>
          <w:rFonts w:ascii="Calibri" w:hAnsi="Calibri"/>
          <w:b w:val="0"/>
          <w:i w:val="0"/>
        </w:rPr>
        <w:t xml:space="preserve">Hamstring delta </w:t>
      </w:r>
      <w:r>
        <w:rPr>
          <w:rFonts w:ascii="Courier New" w:hAnsi="Courier New"/>
          <w:b w:val="0"/>
          <w:i w:val="0"/>
          <w:sz w:val="18"/>
        </w:rPr>
        <w:t>0.70 °C</w:t>
      </w:r>
      <w:r>
        <w:rPr>
          <w:rFonts w:ascii="Calibri" w:hAnsi="Calibri"/>
          <w:b w:val="0"/>
          <w:i w:val="0"/>
        </w:rPr>
        <w:t xml:space="preserve"> · Athlete's personal SD = </w:t>
      </w:r>
      <w:r>
        <w:rPr>
          <w:rFonts w:ascii="Courier New" w:hAnsi="Courier New"/>
          <w:b w:val="0"/>
          <w:i w:val="0"/>
          <w:sz w:val="18"/>
        </w:rPr>
        <w:t>0.27 °C</w:t>
      </w:r>
      <w:r>
        <w:rPr>
          <w:rFonts w:ascii="Calibri" w:hAnsi="Calibri"/>
          <w:b w:val="0"/>
          <w:i w:val="0"/>
        </w:rPr>
        <w:t xml:space="preserve"> · TAI_SD = </w:t>
      </w:r>
      <w:r>
        <w:rPr>
          <w:rFonts w:ascii="Courier New" w:hAnsi="Courier New"/>
          <w:b w:val="0"/>
          <w:i w:val="0"/>
          <w:sz w:val="18"/>
        </w:rPr>
        <w:t>0.70 / 0.27 = 2.59 SD</w:t>
      </w:r>
    </w:p>
    <w:p>
      <w:pPr/>
      <w:r>
        <w:rPr>
          <w:rFonts w:ascii="Calibri" w:hAnsi="Calibri"/>
          <w:b w:val="0"/>
          <w:i w:val="0"/>
        </w:rPr>
        <w:t>T Score</w:t>
      </w:r>
    </w:p>
    <w:p>
      <w:pPr/>
      <w:r>
        <w:rPr>
          <w:rFonts w:ascii="Courier New" w:hAnsi="Courier New"/>
          <w:b w:val="0"/>
          <w:i w:val="0"/>
          <w:sz w:val="18"/>
        </w:rPr>
        <w:t>T = min(100, 2.59 / 3.0 × 100) = min(100, 86.3) = 86</w:t>
      </w:r>
      <w:r>
        <w:rPr>
          <w:rFonts w:ascii="Calibri" w:hAnsi="Calibri"/>
          <w:b w:val="0"/>
          <w:i w:val="0"/>
        </w:rPr>
        <w:t xml:space="preserve"> (above 50 → significant thermal asymmetry)</w:t>
      </w:r>
    </w:p>
    <w:p>
      <w:pPr/>
      <w:r>
        <w:rPr>
          <w:rFonts w:ascii="Calibri" w:hAnsi="Calibri"/>
          <w:b w:val="0"/>
          <w:i w:val="0"/>
        </w:rPr>
        <w:t>Zone</w:t>
      </w:r>
    </w:p>
    <w:p>
      <w:pPr/>
      <w:r>
        <w:rPr>
          <w:rFonts w:ascii="Courier New" w:hAnsi="Courier New"/>
          <w:b w:val="0"/>
          <w:i w:val="0"/>
          <w:sz w:val="18"/>
        </w:rPr>
        <w:t>R = 45 &lt; 50</w:t>
      </w:r>
      <w:r>
        <w:rPr>
          <w:rFonts w:ascii="Calibri" w:hAnsi="Calibri"/>
          <w:b w:val="0"/>
          <w:i w:val="0"/>
        </w:rPr>
        <w:t xml:space="preserve"> AND </w:t>
      </w:r>
      <w:r>
        <w:rPr>
          <w:rFonts w:ascii="Courier New" w:hAnsi="Courier New"/>
          <w:b w:val="0"/>
          <w:i w:val="0"/>
          <w:sz w:val="18"/>
        </w:rPr>
        <w:t>T = 86 ≥ 50</w:t>
      </w:r>
      <w:r>
        <w:rPr>
          <w:rFonts w:ascii="Calibri" w:hAnsi="Calibri"/>
          <w:b w:val="0"/>
          <w:i w:val="0"/>
        </w:rPr>
        <w:t xml:space="preserve"> → </w:t>
      </w:r>
      <w:r>
        <w:rPr>
          <w:rFonts w:ascii="Calibri" w:hAnsi="Calibri"/>
          <w:b/>
          <w:i w:val="0"/>
        </w:rPr>
        <w:t>Danger Zone</w:t>
      </w:r>
      <w:r>
        <w:rPr>
          <w:rFonts w:ascii="Calibri" w:hAnsi="Calibri"/>
          <w:b w:val="0"/>
          <w:i w:val="0"/>
        </w:rPr>
        <w:t xml:space="preserve"> · Floor = 1 · Band width = 24</w:t>
      </w:r>
    </w:p>
    <w:p>
      <w:pPr/>
      <w:r>
        <w:rPr>
          <w:rFonts w:ascii="Calibri" w:hAnsi="Calibri"/>
          <w:b w:val="0"/>
          <w:i w:val="0"/>
        </w:rPr>
        <w:t>Distances</w:t>
      </w:r>
    </w:p>
    <w:p>
      <w:pPr/>
      <w:r>
        <w:rPr>
          <w:rFonts w:ascii="Calibri" w:hAnsi="Calibri"/>
          <w:b w:val="0"/>
          <w:i w:val="0"/>
        </w:rPr>
        <w:t xml:space="preserve"> R distance from boundary: </w:t>
      </w:r>
      <w:r>
        <w:rPr>
          <w:rFonts w:ascii="Courier New" w:hAnsi="Courier New"/>
          <w:b w:val="0"/>
          <w:i w:val="0"/>
          <w:sz w:val="18"/>
        </w:rPr>
        <w:t>(50 − 45) / 50 = 0.10</w:t>
      </w:r>
      <w:r>
        <w:br/>
      </w:r>
      <w:r>
        <w:rPr>
          <w:rFonts w:ascii="Calibri" w:hAnsi="Calibri"/>
          <w:b w:val="0"/>
          <w:i w:val="0"/>
        </w:rPr>
        <w:t xml:space="preserve"> T distance from boundary: </w:t>
      </w:r>
      <w:r>
        <w:rPr>
          <w:rFonts w:ascii="Courier New" w:hAnsi="Courier New"/>
          <w:b w:val="0"/>
          <w:i w:val="0"/>
          <w:sz w:val="18"/>
        </w:rPr>
        <w:t>(86 − 50) / 50 = 0.72</w:t>
      </w:r>
    </w:p>
    <w:p>
      <w:pPr/>
      <w:r>
        <w:rPr>
          <w:rFonts w:ascii="Calibri" w:hAnsi="Calibri"/>
          <w:b w:val="0"/>
          <w:i w:val="0"/>
        </w:rPr>
        <w:t>Formula</w:t>
      </w:r>
    </w:p>
    <w:p>
      <w:pPr/>
      <w:r>
        <w:rPr>
          <w:rFonts w:ascii="Courier New" w:hAnsi="Courier New"/>
          <w:b w:val="0"/>
          <w:i w:val="0"/>
          <w:sz w:val="18"/>
        </w:rPr>
        <w:t>Score = 1 + 24 × (0.3 × 0.10 + 0.7 × 0.72)</w:t>
      </w:r>
      <w:r>
        <w:br/>
      </w:r>
      <w:r>
        <w:rPr>
          <w:rFonts w:ascii="Courier New" w:hAnsi="Courier New"/>
          <w:b w:val="0"/>
          <w:i w:val="0"/>
          <w:sz w:val="18"/>
        </w:rPr>
        <w:t>= 1 + 24 × (0.030 + 0.504)</w:t>
      </w:r>
      <w:r>
        <w:br/>
      </w:r>
      <w:r>
        <w:rPr>
          <w:rFonts w:ascii="Courier New" w:hAnsi="Courier New"/>
          <w:b w:val="0"/>
          <w:i w:val="0"/>
          <w:sz w:val="18"/>
        </w:rPr>
        <w:t>= 1 + 24 × 0.534</w:t>
      </w:r>
      <w:r>
        <w:br/>
      </w:r>
      <w:r>
        <w:rPr>
          <w:rFonts w:ascii="Courier New" w:hAnsi="Courier New"/>
          <w:b w:val="0"/>
          <w:i w:val="0"/>
          <w:sz w:val="18"/>
        </w:rPr>
        <w:t>= 1 + 12.82 ≈ 13</w:t>
      </w:r>
    </w:p>
    <w:p>
      <w:pPr/>
      <w:r>
        <w:rPr>
          <w:rFonts w:ascii="Calibri" w:hAnsi="Calibri"/>
          <w:b w:val="0"/>
          <w:i w:val="0"/>
        </w:rPr>
        <w:t>13</w:t>
      </w:r>
    </w:p>
    <w:p>
      <w:pPr/>
      <w:r>
        <w:rPr>
          <w:rFonts w:ascii="Calibri" w:hAnsi="Calibri"/>
          <w:b/>
          <w:i w:val="0"/>
        </w:rPr>
        <w:t>Danger Zone</w:t>
      </w:r>
      <w:r>
        <w:rPr>
          <w:rFonts w:ascii="Calibri" w:hAnsi="Calibri"/>
          <w:b w:val="0"/>
          <w:i w:val="0"/>
        </w:rPr>
        <w:t xml:space="preserve"> — Score 13 / 100</w:t>
      </w:r>
      <w:r>
        <w:br/>
      </w:r>
      <w:r>
        <w:rPr>
          <w:rFonts w:ascii="Calibri" w:hAnsi="Calibri"/>
          <w:b w:val="0"/>
          <w:i w:val="0"/>
        </w:rPr>
        <w:t xml:space="preserve"> Systemic fatigue confirmed by wearable (R = 45). Hamstring asymmetry at 2.59 SD above personal baseline pulls the score deep into the Danger band. </w:t>
      </w:r>
      <w:r>
        <w:rPr>
          <w:rFonts w:ascii="Calibri" w:hAnsi="Calibri"/>
          <w:b/>
          <w:i w:val="0"/>
        </w:rPr>
        <w:t>Mandatory clinical intervention required.</w:t>
      </w:r>
    </w:p>
    <w:p>
      <w:pPr/>
      <w:r>
        <w:t>/we-wrap</w:t>
      </w:r>
    </w:p>
    <w:p>
      <w:pPr/>
      <w:r>
        <w:rPr>
          <w:rFonts w:ascii="Calibri" w:hAnsi="Calibri"/>
          <w:b w:val="0"/>
          <w:i w:val="0"/>
        </w:rPr>
        <w:t>Section 04</w:t>
      </w:r>
    </w:p>
    <w:p>
      <w:pPr>
        <w:pStyle w:val="Heading1"/>
      </w:pPr>
      <w:r>
        <w:t>The Role of Personalisation</w:t>
      </w:r>
    </w:p>
    <w:p>
      <w:pPr>
        <w:spacing w:after="120"/>
      </w:pPr>
      <w:r>
        <w:rPr>
          <w:rFonts w:ascii="Calibri" w:hAnsi="Calibri"/>
          <w:b w:val="0"/>
          <w:i w:val="0"/>
        </w:rPr>
        <w:t xml:space="preserve">The readiness axis requires no baseline work from COMPASS — that is handled entirely by the wearable API provider. Personalisation within COMPASS is therefore focused exclusively on the thermal axis: establishing each athlete's individual thermal baseline so that asymmetry thresholds reflect what is elevated </w:t>
      </w:r>
      <w:r>
        <w:rPr>
          <w:rFonts w:ascii="Calibri" w:hAnsi="Calibri"/>
          <w:b w:val="0"/>
          <w:i/>
        </w:rPr>
        <w:t>for them</w:t>
      </w:r>
      <w:r>
        <w:rPr>
          <w:rFonts w:ascii="Calibri" w:hAnsi="Calibri"/>
          <w:b w:val="0"/>
          <w:i w:val="0"/>
        </w:rPr>
        <w:t>, not for the population.</w:t>
      </w:r>
    </w:p>
    <w:p>
      <w:pPr/>
      <w:r>
        <w:rPr>
          <w:rFonts w:ascii="Calibri" w:hAnsi="Calibri"/>
          <w:b w:val="0"/>
          <w:i w:val="0"/>
        </w:rPr>
        <w:t>⌚</w:t>
      </w:r>
    </w:p>
    <w:p>
      <w:pPr/>
      <w:r>
        <w:rPr>
          <w:rFonts w:ascii="Calibri" w:hAnsi="Calibri"/>
          <w:b w:val="0"/>
          <w:i w:val="0"/>
        </w:rPr>
        <w:t>Wearable Readiness: Zero Baseline Burden — Powered by Daily Spike Data</w:t>
      </w:r>
    </w:p>
    <w:p>
      <w:pPr>
        <w:spacing w:after="120"/>
      </w:pPr>
      <w:r>
        <w:rPr>
          <w:rFonts w:ascii="Calibri" w:hAnsi="Calibri"/>
          <w:b w:val="0"/>
          <w:i w:val="0"/>
        </w:rPr>
        <w:t>COMPASS receives a pre-computed, baseline-adjusted readiness score (0–100) directly from the Spike API. Spike collects raw sensor data continuously and publishes one daily summary per athlete — end-of-day averages for HRV, resting HR, sleep quality, and ACWR. These daily statistics are processed entirely by Spike: individual normalisation, HRV trend analysis, sleep scoring, and ACWR calculation all happen upstream. COMPASS consumes the output — no wearable data storage, baseline accumulation, or longitudinal modelling is required on the platform side.</w:t>
      </w:r>
    </w:p>
    <w:p>
      <w:pPr>
        <w:pStyle w:val="Heading2"/>
      </w:pPr>
      <w:r>
        <w:t>Thermal Baseline Establishment</w:t>
      </w:r>
    </w:p>
    <w:p>
      <w:pPr>
        <w:spacing w:after="120"/>
      </w:pPr>
      <w:r>
        <w:rPr>
          <w:rFonts w:ascii="Calibri" w:hAnsi="Calibri"/>
          <w:b w:val="0"/>
          <w:i w:val="0"/>
        </w:rPr>
        <w:t xml:space="preserve">Thermography baselines must be built within COMPASS because they are institution- and equipment-specific. A meaningful personal thermal baseline requires a minimum series of scans captured under consistent conditions — see </w:t>
      </w:r>
      <w:r>
        <w:rPr>
          <w:rFonts w:ascii="Calibri" w:hAnsi="Calibri"/>
          <w:b w:val="0"/>
          <w:i w:val="0"/>
        </w:rPr>
        <w:t>Section 08 (Standardised Scan Protocol)</w:t>
      </w:r>
      <w:r>
        <w:rPr>
          <w:rFonts w:ascii="Calibri" w:hAnsi="Calibri"/>
          <w:b w:val="0"/>
          <w:i w:val="0"/>
        </w:rPr>
        <w:t xml:space="preserve"> for the full specification.</w:t>
      </w:r>
    </w:p>
    <w:p>
      <w:pPr/>
      <w:r>
        <w:rPr>
          <w:rFonts w:ascii="Calibri" w:hAnsi="Calibri"/>
          <w:b w:val="0"/>
          <w:i w:val="0"/>
        </w:rPr>
        <w:t>4–6</w:t>
      </w:r>
    </w:p>
    <w:p>
      <w:pPr/>
      <w:r>
        <w:rPr>
          <w:rFonts w:ascii="Calibri" w:hAnsi="Calibri"/>
          <w:b w:val="0"/>
          <w:i w:val="0"/>
        </w:rPr>
        <w:t>Thermography Sessions</w:t>
      </w:r>
      <w:r>
        <w:br/>
      </w:r>
      <w:r>
        <w:rPr>
          <w:rFonts w:ascii="Calibri" w:hAnsi="Calibri"/>
          <w:b w:val="0"/>
          <w:i w:val="0"/>
        </w:rPr>
        <w:t>to Establish Baseline</w:t>
      </w:r>
    </w:p>
    <w:p>
      <w:pPr/>
      <w:r>
        <w:rPr>
          <w:rFonts w:ascii="Calibri" w:hAnsi="Calibri"/>
          <w:b w:val="0"/>
          <w:i w:val="0"/>
        </w:rPr>
        <w:t>1.5 SD</w:t>
      </w:r>
    </w:p>
    <w:p>
      <w:pPr/>
      <w:r>
        <w:rPr>
          <w:rFonts w:ascii="Calibri" w:hAnsi="Calibri"/>
          <w:b w:val="0"/>
          <w:i w:val="0"/>
        </w:rPr>
        <w:t>Thermal Asymmetry Alert</w:t>
      </w:r>
      <w:r>
        <w:br/>
      </w:r>
      <w:r>
        <w:rPr>
          <w:rFonts w:ascii="Calibri" w:hAnsi="Calibri"/>
          <w:b w:val="0"/>
          <w:i w:val="0"/>
        </w:rPr>
        <w:t>Threshold (vs. personal mean)</w:t>
      </w:r>
    </w:p>
    <w:p>
      <w:pPr/>
      <w:r>
        <w:rPr>
          <w:rFonts w:ascii="Calibri" w:hAnsi="Calibri"/>
          <w:b w:val="0"/>
          <w:i w:val="0"/>
        </w:rPr>
        <w:t>~3 wks</w:t>
      </w:r>
    </w:p>
    <w:p>
      <w:pPr/>
      <w:r>
        <w:rPr>
          <w:rFonts w:ascii="Calibri" w:hAnsi="Calibri"/>
          <w:b w:val="0"/>
          <w:i w:val="0"/>
        </w:rPr>
        <w:t>Typical Onboarding Window</w:t>
      </w:r>
      <w:r>
        <w:br/>
      </w:r>
      <w:r>
        <w:rPr>
          <w:rFonts w:ascii="Calibri" w:hAnsi="Calibri"/>
          <w:b w:val="0"/>
          <w:i w:val="0"/>
        </w:rPr>
        <w:t>(weekly scanning cadence)</w:t>
      </w:r>
    </w:p>
    <w:p>
      <w:pPr/>
      <w:r>
        <w:rPr>
          <w:rFonts w:ascii="Calibri" w:hAnsi="Calibri"/>
          <w:b w:val="0"/>
          <w:i w:val="0"/>
        </w:rPr>
        <w:t>👥</w:t>
      </w:r>
    </w:p>
    <w:p>
      <w:pPr/>
      <w:r>
        <w:rPr>
          <w:rFonts w:ascii="Calibri" w:hAnsi="Calibri"/>
          <w:b w:val="0"/>
          <w:i w:val="0"/>
        </w:rPr>
        <w:t>Population Baseline Active Until Personal Baseline Is Established</w:t>
      </w:r>
    </w:p>
    <w:p>
      <w:pPr>
        <w:spacing w:after="120"/>
      </w:pPr>
      <w:r>
        <w:rPr>
          <w:rFonts w:ascii="Calibri" w:hAnsi="Calibri"/>
          <w:b w:val="0"/>
          <w:i w:val="0"/>
        </w:rPr>
        <w:t xml:space="preserve">Before 6 thermal scans are completed, COMPASS falls back to population-derived asymmetry thresholds rather than withholding a classification entirely. All outputs during this window are visibly flagged as </w:t>
      </w:r>
      <w:r>
        <w:rPr>
          <w:rFonts w:ascii="Calibri" w:hAnsi="Calibri"/>
          <w:b w:val="0"/>
          <w:i/>
        </w:rPr>
        <w:t>"Population baseline — personal threshold not yet established."</w:t>
      </w:r>
      <w:r>
        <w:rPr>
          <w:rFonts w:ascii="Calibri" w:hAnsi="Calibri"/>
          <w:b w:val="0"/>
          <w:i w:val="0"/>
        </w:rPr>
        <w:t xml:space="preserve"> Once the 6th scan is processed, thresholds switch automatically to the athlete's personal values and the flag is removed.</w:t>
      </w:r>
    </w:p>
    <w:p>
      <w:pPr/>
      <w:r>
        <w:t>Personalisation chart</w:t>
      </w:r>
    </w:p>
    <w:p>
      <w:pPr>
        <w:spacing w:before="120" w:after="120"/>
      </w:pPr>
      <w:r>
        <w:rPr>
          <w:rFonts w:ascii="Calibri" w:hAnsi="Calibri"/>
          <w:b/>
          <w:i/>
        </w:rPr>
        <w:t>[Chart: Thermal Baseline Confidence — Scan Accumulation Model]</w:t>
      </w:r>
    </w:p>
    <w:p>
      <w:pPr/>
      <w:r>
        <w:rPr>
          <w:rFonts w:ascii="Calibri" w:hAnsi="Calibri"/>
          <w:b w:val="0"/>
          <w:i w:val="0"/>
        </w:rPr>
        <w:t>Section 05A</w:t>
      </w:r>
    </w:p>
    <w:p>
      <w:pPr>
        <w:pStyle w:val="Heading1"/>
      </w:pPr>
      <w:r>
        <w:t>Population-Based Asymmetry Classification</w:t>
      </w:r>
    </w:p>
    <w:p>
      <w:pPr>
        <w:spacing w:after="120"/>
      </w:pPr>
      <w:r>
        <w:rPr>
          <w:rFonts w:ascii="Calibri" w:hAnsi="Calibri"/>
          <w:b w:val="0"/>
          <w:i w:val="0"/>
        </w:rPr>
        <w:t>Applied when no individual thermal baseline has been established (fewer than 6 thermal scans). Thresholds are anchored to normative datasets of healthy athletes, using absolute temperature differences (°C) between contralateral body regions.</w:t>
      </w:r>
    </w:p>
    <w:p>
      <w:pPr/>
      <w:r>
        <w:rPr>
          <w:rFonts w:ascii="Calibri" w:hAnsi="Calibri"/>
          <w:b w:val="0"/>
          <w:i w:val="0"/>
        </w:rPr>
        <w:t>👥</w:t>
      </w:r>
    </w:p>
    <w:p>
      <w:pPr/>
      <w:r>
        <w:rPr>
          <w:rFonts w:ascii="Calibri" w:hAnsi="Calibri"/>
          <w:b w:val="0"/>
          <w:i w:val="0"/>
        </w:rPr>
        <w:t>When This Framework Applies</w:t>
      </w:r>
    </w:p>
    <w:p>
      <w:pPr>
        <w:spacing w:after="120"/>
      </w:pPr>
      <w:r>
        <w:rPr>
          <w:rFonts w:ascii="Calibri" w:hAnsi="Calibri"/>
          <w:b w:val="0"/>
          <w:i w:val="0"/>
        </w:rPr>
        <w:t xml:space="preserve">Use population thresholds during the athlete onboarding window — before 6 thermal scans have been completed. All outputs are flagged as </w:t>
      </w:r>
      <w:r>
        <w:rPr>
          <w:rFonts w:ascii="Calibri" w:hAnsi="Calibri"/>
          <w:b w:val="0"/>
          <w:i/>
        </w:rPr>
        <w:t>"Population baseline active."</w:t>
      </w:r>
      <w:r>
        <w:rPr>
          <w:rFonts w:ascii="Calibri" w:hAnsi="Calibri"/>
          <w:b w:val="0"/>
          <w:i w:val="0"/>
        </w:rPr>
        <w:t xml:space="preserve"> Once 6 scans are accumulated, the system transitions automatically to the SD-based individual model (Section 05B).</w:t>
      </w:r>
    </w:p>
    <w:p>
      <w:pPr/>
      <w:r>
        <w:rPr>
          <w:rFonts w:ascii="Calibri" w:hAnsi="Calibri"/>
          <w:b w:val="0"/>
          <w:i w:val="0"/>
        </w:rPr>
        <w:t>✅ No Finding</w:t>
      </w:r>
    </w:p>
    <w:p>
      <w:pPr/>
      <w:r>
        <w:rPr>
          <w:rFonts w:ascii="Calibri" w:hAnsi="Calibri"/>
          <w:b w:val="0"/>
          <w:i w:val="0"/>
        </w:rPr>
        <w:t>&lt; 0.3°C</w:t>
      </w:r>
    </w:p>
    <w:p>
      <w:pPr>
        <w:pStyle w:val="Heading3"/>
      </w:pPr>
      <w:r>
        <w:t>Within Normative Range</w:t>
      </w:r>
    </w:p>
    <w:p>
      <w:pPr>
        <w:spacing w:after="120"/>
      </w:pPr>
      <w:r>
        <w:rPr>
          <w:rFonts w:ascii="Calibri" w:hAnsi="Calibri"/>
          <w:b w:val="0"/>
          <w:i w:val="0"/>
        </w:rPr>
        <w:t>Bilateral thermal homeostasis maintained. No physiological imbalance detected. Consistent with the population mean of 0.004 ± 0.66°C across 950 healthy athletes (ThermoHuman 2022).</w:t>
      </w:r>
    </w:p>
    <w:p>
      <w:pPr/>
      <w:r>
        <w:rPr>
          <w:rFonts w:ascii="Calibri" w:hAnsi="Calibri"/>
          <w:b w:val="0"/>
          <w:i w:val="0"/>
        </w:rPr>
        <w:t>Full Training</w:t>
      </w:r>
      <w:r>
        <w:rPr>
          <w:rFonts w:ascii="Calibri" w:hAnsi="Calibri"/>
          <w:b w:val="0"/>
          <w:i w:val="0"/>
        </w:rPr>
        <w:t>Weekly Scan</w:t>
      </w:r>
      <w:r>
        <w:rPr>
          <w:rFonts w:ascii="Calibri" w:hAnsi="Calibri"/>
          <w:b w:val="0"/>
          <w:i w:val="0"/>
        </w:rPr>
        <w:t>No Intervention</w:t>
      </w:r>
    </w:p>
    <w:p>
      <w:pPr/>
      <w:r>
        <w:rPr>
          <w:rFonts w:ascii="Calibri" w:hAnsi="Calibri"/>
          <w:b w:val="0"/>
          <w:i w:val="0"/>
        </w:rPr>
        <w:t>🟡 Moderate</w:t>
      </w:r>
    </w:p>
    <w:p>
      <w:pPr/>
      <w:r>
        <w:rPr>
          <w:rFonts w:ascii="Calibri" w:hAnsi="Calibri"/>
          <w:b w:val="0"/>
          <w:i w:val="0"/>
        </w:rPr>
        <w:t>0.30–0.49°C</w:t>
      </w:r>
    </w:p>
    <w:p>
      <w:pPr>
        <w:pStyle w:val="Heading3"/>
      </w:pPr>
      <w:r>
        <w:t>Elevated Above Normative Threshold</w:t>
      </w:r>
    </w:p>
    <w:p>
      <w:pPr>
        <w:spacing w:after="120"/>
      </w:pPr>
      <w:r>
        <w:rPr>
          <w:rFonts w:ascii="Calibri" w:hAnsi="Calibri"/>
          <w:b w:val="0"/>
          <w:i w:val="0"/>
        </w:rPr>
        <w:t>Above the 0.3°C monitoring boundary. A developing imbalance may be present. Below the prevention threshold but warrants contextualisation with training load and ACWR (Marins et al. 2014).</w:t>
      </w:r>
    </w:p>
    <w:p>
      <w:pPr/>
      <w:r>
        <w:rPr>
          <w:rFonts w:ascii="Calibri" w:hAnsi="Calibri"/>
          <w:b w:val="0"/>
          <w:i w:val="0"/>
        </w:rPr>
        <w:t>Monitor Closely</w:t>
      </w:r>
      <w:r>
        <w:rPr>
          <w:rFonts w:ascii="Calibri" w:hAnsi="Calibri"/>
          <w:b w:val="0"/>
          <w:i w:val="0"/>
        </w:rPr>
        <w:t>Contextualise ACWR</w:t>
      </w:r>
      <w:r>
        <w:rPr>
          <w:rFonts w:ascii="Calibri" w:hAnsi="Calibri"/>
          <w:b w:val="0"/>
          <w:i w:val="0"/>
        </w:rPr>
        <w:t>Flag for Review</w:t>
      </w:r>
    </w:p>
    <w:p>
      <w:pPr/>
      <w:r>
        <w:rPr>
          <w:rFonts w:ascii="Calibri" w:hAnsi="Calibri"/>
          <w:b w:val="0"/>
          <w:i w:val="0"/>
        </w:rPr>
        <w:t>🟠 High</w:t>
      </w:r>
    </w:p>
    <w:p>
      <w:pPr/>
      <w:r>
        <w:rPr>
          <w:rFonts w:ascii="Calibri" w:hAnsi="Calibri"/>
          <w:b w:val="0"/>
          <w:i w:val="0"/>
        </w:rPr>
        <w:t>0.50–0.99°C</w:t>
      </w:r>
    </w:p>
    <w:p>
      <w:pPr>
        <w:pStyle w:val="Heading3"/>
      </w:pPr>
      <w:r>
        <w:t>Clinically Significant — Prevention Protocol</w:t>
      </w:r>
    </w:p>
    <w:p>
      <w:pPr>
        <w:spacing w:after="120"/>
      </w:pPr>
      <w:r>
        <w:rPr>
          <w:rFonts w:ascii="Calibri" w:hAnsi="Calibri"/>
          <w:b w:val="0"/>
          <w:i w:val="0"/>
        </w:rPr>
        <w:t>Exceeds the threshold at which Gómez-Carmona et al. (2020) identified 83% of subsequent soft tissue injuries before symptom onset — an average 8.2 days early. Athlete may be fully asymptomatic.</w:t>
      </w:r>
    </w:p>
    <w:p>
      <w:pPr/>
      <w:r>
        <w:rPr>
          <w:rFonts w:ascii="Calibri" w:hAnsi="Calibri"/>
          <w:b w:val="0"/>
          <w:i w:val="0"/>
        </w:rPr>
        <w:t>Prevention Protocol</w:t>
      </w:r>
      <w:r>
        <w:rPr>
          <w:rFonts w:ascii="Calibri" w:hAnsi="Calibri"/>
          <w:b w:val="0"/>
          <w:i w:val="0"/>
        </w:rPr>
        <w:t>Modified Load</w:t>
      </w:r>
      <w:r>
        <w:rPr>
          <w:rFonts w:ascii="Calibri" w:hAnsi="Calibri"/>
          <w:b w:val="0"/>
          <w:i w:val="0"/>
        </w:rPr>
        <w:t>Physio Assessment</w:t>
      </w:r>
      <w:r>
        <w:rPr>
          <w:rFonts w:ascii="Calibri" w:hAnsi="Calibri"/>
          <w:b w:val="0"/>
          <w:i w:val="0"/>
        </w:rPr>
        <w:t>Scan ↑ 3–4 days</w:t>
      </w:r>
    </w:p>
    <w:p>
      <w:pPr/>
      <w:r>
        <w:rPr>
          <w:rFonts w:ascii="Calibri" w:hAnsi="Calibri"/>
          <w:b w:val="0"/>
          <w:i w:val="0"/>
        </w:rPr>
        <w:t>🔴 Severe</w:t>
      </w:r>
    </w:p>
    <w:p>
      <w:pPr/>
      <w:r>
        <w:rPr>
          <w:rFonts w:ascii="Calibri" w:hAnsi="Calibri"/>
          <w:b w:val="0"/>
          <w:i w:val="0"/>
        </w:rPr>
        <w:t>≥ 1.0°C</w:t>
      </w:r>
    </w:p>
    <w:p>
      <w:pPr>
        <w:pStyle w:val="Heading3"/>
      </w:pPr>
      <w:r>
        <w:t>High Injury Risk — Mandatory Clinical Review</w:t>
      </w:r>
    </w:p>
    <w:p>
      <w:pPr>
        <w:spacing w:after="120"/>
      </w:pPr>
      <w:r>
        <w:rPr>
          <w:rFonts w:ascii="Calibri" w:hAnsi="Calibri"/>
          <w:b w:val="0"/>
          <w:i w:val="0"/>
        </w:rPr>
        <w:t>Marked physiological disruption in the affected region. Probability of subclinical or active tissue injury is high. Clinical attention required regardless of subjective symptoms or wearable readiness scores.</w:t>
      </w:r>
    </w:p>
    <w:p>
      <w:pPr/>
      <w:r>
        <w:rPr>
          <w:rFonts w:ascii="Calibri" w:hAnsi="Calibri"/>
          <w:b w:val="0"/>
          <w:i w:val="0"/>
        </w:rPr>
        <w:t>Clinical Review</w:t>
      </w:r>
      <w:r>
        <w:rPr>
          <w:rFonts w:ascii="Calibri" w:hAnsi="Calibri"/>
          <w:b w:val="0"/>
          <w:i w:val="0"/>
        </w:rPr>
        <w:t>Load Reduction</w:t>
      </w:r>
      <w:r>
        <w:rPr>
          <w:rFonts w:ascii="Calibri" w:hAnsi="Calibri"/>
          <w:b w:val="0"/>
          <w:i w:val="0"/>
        </w:rPr>
        <w:t>Physio + Medical</w:t>
      </w:r>
      <w:r>
        <w:rPr>
          <w:rFonts w:ascii="Calibri" w:hAnsi="Calibri"/>
          <w:b w:val="0"/>
          <w:i w:val="0"/>
        </w:rPr>
        <w:t>Re-scan ≤ 3 days</w:t>
      </w:r>
    </w:p>
    <w:p>
      <w:pPr>
        <w:pStyle w:val="Heading2"/>
      </w:pPr>
      <w:r>
        <w:t>Evidence Reference — Population Thresholds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Pr>
                <w:rFonts w:ascii="Calibri" w:hAnsi="Calibri"/>
                <w:b/>
                <w:i w:val="0"/>
              </w:rPr>
              <w:t>Tier</w:t>
            </w:r>
          </w:p>
        </w:tc>
        <w:tc>
          <w:tcPr>
            <w:tcW w:type="dxa" w:w="1872"/>
          </w:tcPr>
          <w:p>
            <w:pPr>
              <w:spacing w:after="40"/>
            </w:pPr>
            <w:r>
              <w:rPr>
                <w:rFonts w:ascii="Calibri" w:hAnsi="Calibri"/>
                <w:b/>
                <w:i w:val="0"/>
              </w:rPr>
              <w:t>Threshold</w:t>
            </w:r>
          </w:p>
        </w:tc>
        <w:tc>
          <w:tcPr>
            <w:tcW w:type="dxa" w:w="1872"/>
          </w:tcPr>
          <w:p>
            <w:pPr>
              <w:spacing w:after="40"/>
            </w:pPr>
            <w:r>
              <w:rPr>
                <w:rFonts w:ascii="Calibri" w:hAnsi="Calibri"/>
                <w:b/>
                <w:i w:val="0"/>
              </w:rPr>
              <w:t>Key Evidence</w:t>
            </w:r>
          </w:p>
        </w:tc>
        <w:tc>
          <w:tcPr>
            <w:tcW w:type="dxa" w:w="1872"/>
          </w:tcPr>
          <w:p>
            <w:pPr>
              <w:spacing w:after="40"/>
            </w:pPr>
            <w:r>
              <w:rPr>
                <w:rFonts w:ascii="Calibri" w:hAnsi="Calibri"/>
                <w:b/>
                <w:i w:val="0"/>
              </w:rPr>
              <w:t>Clinical Meaning</w:t>
            </w:r>
          </w:p>
        </w:tc>
        <w:tc>
          <w:tcPr>
            <w:tcW w:type="dxa" w:w="1872"/>
          </w:tcPr>
          <w:p>
            <w:pPr>
              <w:spacing w:after="40"/>
            </w:pPr>
            <w:r>
              <w:rPr>
                <w:rFonts w:ascii="Calibri" w:hAnsi="Calibri"/>
                <w:b/>
                <w:i w:val="0"/>
              </w:rPr>
              <w:t>COMPASS Action</w:t>
            </w:r>
          </w:p>
        </w:tc>
      </w:tr>
      <w:tr>
        <w:tc>
          <w:tcPr>
            <w:tcW w:type="dxa" w:w="1872"/>
          </w:tcPr>
          <w:p>
            <w:pPr>
              <w:spacing w:after="40"/>
            </w:pPr>
            <w:r>
              <w:rPr>
                <w:rFonts w:ascii="Calibri" w:hAnsi="Calibri"/>
                <w:b/>
                <w:i w:val="0"/>
              </w:rPr>
              <w:t>No Finding</w:t>
            </w:r>
          </w:p>
        </w:tc>
        <w:tc>
          <w:tcPr>
            <w:tcW w:type="dxa" w:w="1872"/>
          </w:tcPr>
          <w:p>
            <w:pPr>
              <w:spacing w:after="40"/>
            </w:pPr>
            <w:r>
              <w:rPr>
                <w:rFonts w:ascii="Calibri" w:hAnsi="Calibri"/>
                <w:b/>
                <w:i w:val="0"/>
              </w:rPr>
              <w:t>&lt; 0.3°C</w:t>
            </w:r>
          </w:p>
        </w:tc>
        <w:tc>
          <w:tcPr>
            <w:tcW w:type="dxa" w:w="1872"/>
          </w:tcPr>
          <w:p>
            <w:pPr>
              <w:spacing w:after="40"/>
            </w:pPr>
            <w:r>
              <w:rPr>
                <w:rFonts w:ascii="Calibri" w:hAnsi="Calibri"/>
                <w:b w:val="0"/>
                <w:i w:val="0"/>
              </w:rPr>
              <w:t xml:space="preserve">ThermoHuman (2022): 950-athlete normative dataset; population mean 0.004 ± 0.66°C confirms bilateral thermal homeostasis. Stable muscle regions fall below 0.3°C in absence of injury or influence factors. Uematsu et al. (1988): asymptomatic ceiling ≤ 0.38°C from 90 controls. </w:t>
            </w:r>
            <w:r>
              <w:rPr>
                <w:rFonts w:ascii="Calibri" w:hAnsi="Calibri"/>
                <w:b w:val="0"/>
                <w:i w:val="0"/>
              </w:rPr>
              <w:t>[↗ Appendix 1.7, 1.8]</w:t>
            </w:r>
          </w:p>
        </w:tc>
        <w:tc>
          <w:tcPr>
            <w:tcW w:type="dxa" w:w="1872"/>
          </w:tcPr>
          <w:p>
            <w:pPr>
              <w:spacing w:after="40"/>
            </w:pPr>
            <w:r>
              <w:rPr>
                <w:rFonts w:ascii="Calibri" w:hAnsi="Calibri"/>
                <w:b w:val="0"/>
                <w:i w:val="0"/>
              </w:rPr>
              <w:t>Bilateral symmetry maintained. No physiological imbalance detected.</w:t>
            </w:r>
          </w:p>
        </w:tc>
        <w:tc>
          <w:tcPr>
            <w:tcW w:type="dxa" w:w="1872"/>
          </w:tcPr>
          <w:p>
            <w:pPr>
              <w:spacing w:after="40"/>
            </w:pPr>
            <w:r>
              <w:rPr>
                <w:rFonts w:ascii="Calibri" w:hAnsi="Calibri"/>
                <w:b w:val="0"/>
                <w:i w:val="0"/>
              </w:rPr>
              <w:t>No intervention. Continue weekly scan cadence.</w:t>
            </w:r>
          </w:p>
        </w:tc>
      </w:tr>
      <w:tr>
        <w:tc>
          <w:tcPr>
            <w:tcW w:type="dxa" w:w="1872"/>
          </w:tcPr>
          <w:p>
            <w:pPr>
              <w:spacing w:after="40"/>
            </w:pPr>
            <w:r>
              <w:rPr>
                <w:rFonts w:ascii="Calibri" w:hAnsi="Calibri"/>
                <w:b/>
                <w:i w:val="0"/>
              </w:rPr>
              <w:t>Moderate</w:t>
            </w:r>
          </w:p>
        </w:tc>
        <w:tc>
          <w:tcPr>
            <w:tcW w:type="dxa" w:w="1872"/>
          </w:tcPr>
          <w:p>
            <w:pPr>
              <w:spacing w:after="40"/>
            </w:pPr>
            <w:r>
              <w:rPr>
                <w:rFonts w:ascii="Calibri" w:hAnsi="Calibri"/>
                <w:b/>
                <w:i w:val="0"/>
              </w:rPr>
              <w:t>0.30–0.49°C</w:t>
            </w:r>
          </w:p>
        </w:tc>
        <w:tc>
          <w:tcPr>
            <w:tcW w:type="dxa" w:w="1872"/>
          </w:tcPr>
          <w:p>
            <w:pPr>
              <w:spacing w:after="40"/>
            </w:pPr>
            <w:r>
              <w:rPr>
                <w:rFonts w:ascii="Calibri" w:hAnsi="Calibri"/>
                <w:b w:val="0"/>
                <w:i w:val="0"/>
              </w:rPr>
              <w:t xml:space="preserve">ThermoHuman (2022): 0.3°C is the lower alert boundary of the asymmetry classification system. Marins et al. (2014): asymmetry ≥ 0.3°C warrants clinical attention; values approaching 0.4°C indicate elevated risk in major muscle groups. </w:t>
            </w:r>
            <w:r>
              <w:rPr>
                <w:rFonts w:ascii="Calibri" w:hAnsi="Calibri"/>
                <w:b w:val="0"/>
                <w:i w:val="0"/>
              </w:rPr>
              <w:t>[↗ Appendix 1.9]</w:t>
            </w:r>
          </w:p>
        </w:tc>
        <w:tc>
          <w:tcPr>
            <w:tcW w:type="dxa" w:w="1872"/>
          </w:tcPr>
          <w:p>
            <w:pPr>
              <w:spacing w:after="40"/>
            </w:pPr>
            <w:r>
              <w:rPr>
                <w:rFonts w:ascii="Calibri" w:hAnsi="Calibri"/>
                <w:b w:val="0"/>
                <w:i w:val="0"/>
              </w:rPr>
              <w:t>Elevated above normative threshold. Developing imbalance possible. Context-dependent — training load and history are critical co-factors.</w:t>
            </w:r>
          </w:p>
        </w:tc>
        <w:tc>
          <w:tcPr>
            <w:tcW w:type="dxa" w:w="1872"/>
          </w:tcPr>
          <w:p>
            <w:pPr>
              <w:spacing w:after="40"/>
            </w:pPr>
            <w:r>
              <w:rPr>
                <w:rFonts w:ascii="Calibri" w:hAnsi="Calibri"/>
                <w:b w:val="0"/>
                <w:i w:val="0"/>
              </w:rPr>
              <w:t>Increase monitoring frequency. Contextualise with ACWR and recent training load. Flag for physiotherapy review at next scan.</w:t>
            </w:r>
          </w:p>
        </w:tc>
      </w:tr>
      <w:tr>
        <w:tc>
          <w:tcPr>
            <w:tcW w:type="dxa" w:w="1872"/>
          </w:tcPr>
          <w:p>
            <w:pPr>
              <w:spacing w:after="40"/>
            </w:pPr>
            <w:r>
              <w:rPr>
                <w:rFonts w:ascii="Calibri" w:hAnsi="Calibri"/>
                <w:b/>
                <w:i w:val="0"/>
              </w:rPr>
              <w:t>High</w:t>
            </w:r>
          </w:p>
        </w:tc>
        <w:tc>
          <w:tcPr>
            <w:tcW w:type="dxa" w:w="1872"/>
          </w:tcPr>
          <w:p>
            <w:pPr>
              <w:spacing w:after="40"/>
            </w:pPr>
            <w:r>
              <w:rPr>
                <w:rFonts w:ascii="Calibri" w:hAnsi="Calibri"/>
                <w:b/>
                <w:i w:val="0"/>
              </w:rPr>
              <w:t>0.50–0.99°C</w:t>
            </w:r>
          </w:p>
        </w:tc>
        <w:tc>
          <w:tcPr>
            <w:tcW w:type="dxa" w:w="1872"/>
          </w:tcPr>
          <w:p>
            <w:pPr>
              <w:spacing w:after="40"/>
            </w:pPr>
            <w:r>
              <w:rPr>
                <w:rFonts w:ascii="Calibri" w:hAnsi="Calibri"/>
                <w:b w:val="0"/>
                <w:i w:val="0"/>
              </w:rPr>
              <w:t xml:space="preserve">Gómez-Carmona et al. (2020): &gt;0.5°C identified 83% of subsequent soft tissue injuries before symptoms, avg. 8.2 days early (n=24 professional players). Arnaiz-Lastras et al. (2019): prevention protocol at ≥ 0.4°C reduced injuries 64% (11→4). ThermoHuman: ≥ 0.6°C flags for complementary treatment. </w:t>
            </w:r>
            <w:r>
              <w:rPr>
                <w:rFonts w:ascii="Calibri" w:hAnsi="Calibri"/>
                <w:b w:val="0"/>
                <w:i w:val="0"/>
              </w:rPr>
              <w:t>[↗ Appendix 1.2, 1.6]</w:t>
            </w:r>
          </w:p>
        </w:tc>
        <w:tc>
          <w:tcPr>
            <w:tcW w:type="dxa" w:w="1872"/>
          </w:tcPr>
          <w:p>
            <w:pPr>
              <w:spacing w:after="40"/>
            </w:pPr>
            <w:r>
              <w:rPr>
                <w:rFonts w:ascii="Calibri" w:hAnsi="Calibri"/>
                <w:b w:val="0"/>
                <w:i w:val="0"/>
              </w:rPr>
              <w:t>Clinically significant. Strong predictive signal for imminent soft tissue injury. Athlete likely fully asymptomatic — this is the Deceptive Readiness risk.</w:t>
            </w:r>
          </w:p>
        </w:tc>
        <w:tc>
          <w:tcPr>
            <w:tcW w:type="dxa" w:w="1872"/>
          </w:tcPr>
          <w:p>
            <w:pPr>
              <w:spacing w:after="40"/>
            </w:pPr>
            <w:r>
              <w:rPr>
                <w:rFonts w:ascii="Calibri" w:hAnsi="Calibri"/>
                <w:b w:val="0"/>
                <w:i w:val="0"/>
              </w:rPr>
              <w:t>Prevention protocol active. Modify training load for affected region. Physiotherapist soft tissue assessment. Increase scan frequency to every 3–4 days.</w:t>
            </w:r>
          </w:p>
        </w:tc>
      </w:tr>
      <w:tr>
        <w:tc>
          <w:tcPr>
            <w:tcW w:type="dxa" w:w="1872"/>
          </w:tcPr>
          <w:p>
            <w:pPr>
              <w:spacing w:after="40"/>
            </w:pPr>
            <w:r>
              <w:rPr>
                <w:rFonts w:ascii="Calibri" w:hAnsi="Calibri"/>
                <w:b/>
                <w:i w:val="0"/>
              </w:rPr>
              <w:t>Severe</w:t>
            </w:r>
          </w:p>
        </w:tc>
        <w:tc>
          <w:tcPr>
            <w:tcW w:type="dxa" w:w="1872"/>
          </w:tcPr>
          <w:p>
            <w:pPr>
              <w:spacing w:after="40"/>
            </w:pPr>
            <w:r>
              <w:rPr>
                <w:rFonts w:ascii="Calibri" w:hAnsi="Calibri"/>
                <w:b/>
                <w:i w:val="0"/>
              </w:rPr>
              <w:t>≥ 1.0°C</w:t>
            </w:r>
          </w:p>
        </w:tc>
        <w:tc>
          <w:tcPr>
            <w:tcW w:type="dxa" w:w="1872"/>
          </w:tcPr>
          <w:p>
            <w:pPr>
              <w:spacing w:after="40"/>
            </w:pPr>
            <w:r>
              <w:rPr>
                <w:rFonts w:ascii="Calibri" w:hAnsi="Calibri"/>
                <w:b w:val="0"/>
                <w:i w:val="0"/>
              </w:rPr>
              <w:t xml:space="preserve">Schiavon et al. (2021): meta-analysis sensitivity 0.81, specificity 0.74, AUC 0.83. Costa et al. (2019): hamstring/knee asymmetry significantly elevated pre-injury vs. controls (p &lt; 0.01, Cohen's d = 0.87). IRT clinical consensus: &gt;0.7°C = abnormal; 1.0–1.5°C = high risk zone. </w:t>
            </w:r>
            <w:r>
              <w:rPr>
                <w:rFonts w:ascii="Calibri" w:hAnsi="Calibri"/>
                <w:b w:val="0"/>
                <w:i w:val="0"/>
              </w:rPr>
              <w:t>[↗ Appendix 1.2]</w:t>
            </w:r>
          </w:p>
        </w:tc>
        <w:tc>
          <w:tcPr>
            <w:tcW w:type="dxa" w:w="1872"/>
          </w:tcPr>
          <w:p>
            <w:pPr>
              <w:spacing w:after="40"/>
            </w:pPr>
            <w:r>
              <w:rPr>
                <w:rFonts w:ascii="Calibri" w:hAnsi="Calibri"/>
                <w:b w:val="0"/>
                <w:i w:val="0"/>
              </w:rPr>
              <w:t>High injury risk. Marked physiological disruption. Mandatory clinical attention regardless of subjective symptoms or wearable readiness.</w:t>
            </w:r>
          </w:p>
        </w:tc>
        <w:tc>
          <w:tcPr>
            <w:tcW w:type="dxa" w:w="1872"/>
          </w:tcPr>
          <w:p>
            <w:pPr>
              <w:spacing w:after="40"/>
            </w:pPr>
            <w:r>
              <w:rPr>
                <w:rFonts w:ascii="Calibri" w:hAnsi="Calibri"/>
                <w:b w:val="0"/>
                <w:i w:val="0"/>
              </w:rPr>
              <w:t>Mandatory clinical review. Significant load reduction or rest. Targeted physiotherapy and medical assessment of flagged region. Re-scan within 3 days.</w:t>
            </w:r>
          </w:p>
        </w:tc>
      </w:tr>
    </w:tbl>
    <w:p/>
    <w:p>
      <w:pPr>
        <w:spacing w:after="120"/>
      </w:pPr>
      <w:r>
        <w:rPr>
          <w:rFonts w:ascii="Calibri" w:hAnsi="Calibri"/>
          <w:b/>
          <w:i w:val="0"/>
        </w:rPr>
        <w:t>Regional Variability Note:</w:t>
      </w:r>
      <w:r>
        <w:rPr>
          <w:rFonts w:ascii="Calibri" w:hAnsi="Calibri"/>
          <w:b w:val="0"/>
          <w:i w:val="0"/>
        </w:rPr>
        <w:t xml:space="preserve"> These thresholds apply primarily to stable major muscle groups (hamstrings, quadriceps, calves, lumbar). Distal and small regions exhibit higher natural variability — heel (±3.73°C SD), wrist (±0.72°C SD) — and require adjusted interpretation before asymmetry is flagged as clinically significant.</w:t>
      </w:r>
    </w:p>
    <w:p>
      <w:pPr/>
      <w:r>
        <w:rPr>
          <w:rFonts w:ascii="Calibri" w:hAnsi="Calibri"/>
          <w:b w:val="0"/>
          <w:i w:val="0"/>
        </w:rPr>
        <w:t>Section 05B</w:t>
      </w:r>
    </w:p>
    <w:p>
      <w:pPr>
        <w:pStyle w:val="Heading1"/>
      </w:pPr>
      <w:r>
        <w:t>Individual Baseline SD Classification</w:t>
      </w:r>
    </w:p>
    <w:p>
      <w:pPr>
        <w:spacing w:after="120"/>
      </w:pPr>
      <w:r>
        <w:rPr>
          <w:rFonts w:ascii="Calibri" w:hAnsi="Calibri"/>
          <w:b w:val="0"/>
          <w:i w:val="0"/>
        </w:rPr>
        <w:t xml:space="preserve">Applied once an athlete's personal thermal baseline is established (6 or more scans under </w:t>
      </w:r>
      <w:r>
        <w:rPr>
          <w:rFonts w:ascii="Calibri" w:hAnsi="Calibri"/>
          <w:b w:val="0"/>
          <w:i w:val="0"/>
        </w:rPr>
        <w:t>standardised conditions (Section 08)</w:t>
      </w:r>
      <w:r>
        <w:rPr>
          <w:rFonts w:ascii="Calibri" w:hAnsi="Calibri"/>
          <w:b w:val="0"/>
          <w:i w:val="0"/>
        </w:rPr>
        <w:t>). Each body region acquires a personal mean and SD from scan history. Subsequent readings are classified relative to this individual norm — a materially more sensitive and specific reference frame than population thresholds alone.</w:t>
      </w:r>
    </w:p>
    <w:p>
      <w:pPr/>
      <w:r>
        <w:rPr>
          <w:rFonts w:ascii="Calibri" w:hAnsi="Calibri"/>
          <w:b w:val="0"/>
          <w:i w:val="0"/>
        </w:rPr>
        <w:t>🎯</w:t>
      </w:r>
    </w:p>
    <w:p>
      <w:pPr/>
      <w:r>
        <w:rPr>
          <w:rFonts w:ascii="Calibri" w:hAnsi="Calibri"/>
          <w:b w:val="0"/>
          <w:i w:val="0"/>
        </w:rPr>
        <w:t>Why Individual SD Outperforms Population °C Thresholds</w:t>
      </w:r>
    </w:p>
    <w:p>
      <w:pPr>
        <w:spacing w:after="120"/>
      </w:pPr>
      <w:r>
        <w:rPr>
          <w:rFonts w:ascii="Calibri" w:hAnsi="Calibri"/>
          <w:b w:val="0"/>
          <w:i w:val="0"/>
        </w:rPr>
        <w:t>Individual-referenced models outperform population norms across all sports monitoring biomarkers (Saw et al. 2016). Machine learning models trained on personal baselines achieve AUC 0.84 vs. 0.61 for group-norm models (Claudino et al. 2024). The COMPASS 1.5 SD alert threshold corresponds to approximately 0.4°C for major muscle groups — directly aligning with the Arnaiz-Lastras (2019) prevention protocol threshold, confirming both frameworks draw the boundary at the same underlying physiological signal.</w:t>
      </w:r>
    </w:p>
    <w:p>
      <w:pPr/>
      <w:r>
        <w:rPr>
          <w:rFonts w:ascii="Calibri" w:hAnsi="Calibri"/>
          <w:b w:val="0"/>
          <w:i w:val="0"/>
        </w:rPr>
        <w:t>✅ No Finding</w:t>
      </w:r>
    </w:p>
    <w:p>
      <w:pPr/>
      <w:r>
        <w:rPr>
          <w:rFonts w:ascii="Calibri" w:hAnsi="Calibri"/>
          <w:b w:val="0"/>
          <w:i w:val="0"/>
        </w:rPr>
        <w:t>&lt; 1.0 SD</w:t>
      </w:r>
    </w:p>
    <w:p>
      <w:pPr>
        <w:pStyle w:val="Heading3"/>
      </w:pPr>
      <w:r>
        <w:t>Within Individual Normal Range</w:t>
      </w:r>
    </w:p>
    <w:p>
      <w:pPr>
        <w:spacing w:after="120"/>
      </w:pPr>
      <w:r>
        <w:rPr>
          <w:rFonts w:ascii="Calibri" w:hAnsi="Calibri"/>
          <w:b w:val="0"/>
          <w:i w:val="0"/>
        </w:rPr>
        <w:t>Asymmetry reflects normal day-to-day biological variation. No clinically meaningful departure from the athlete's personal thermal norm. Equivalent to approximately &lt; 0.27°C for major muscle groups.</w:t>
      </w:r>
    </w:p>
    <w:p>
      <w:pPr/>
      <w:r>
        <w:rPr>
          <w:rFonts w:ascii="Calibri" w:hAnsi="Calibri"/>
          <w:b w:val="0"/>
          <w:i w:val="0"/>
        </w:rPr>
        <w:t>Full Training</w:t>
      </w:r>
      <w:r>
        <w:rPr>
          <w:rFonts w:ascii="Calibri" w:hAnsi="Calibri"/>
          <w:b w:val="0"/>
          <w:i w:val="0"/>
        </w:rPr>
        <w:t>Weekly Scan</w:t>
      </w:r>
      <w:r>
        <w:rPr>
          <w:rFonts w:ascii="Calibri" w:hAnsi="Calibri"/>
          <w:b w:val="0"/>
          <w:i w:val="0"/>
        </w:rPr>
        <w:t>No Intervention</w:t>
      </w:r>
    </w:p>
    <w:p>
      <w:pPr/>
      <w:r>
        <w:rPr>
          <w:rFonts w:ascii="Calibri" w:hAnsi="Calibri"/>
          <w:b w:val="0"/>
          <w:i w:val="0"/>
        </w:rPr>
        <w:t>🟡 Moderate</w:t>
      </w:r>
    </w:p>
    <w:p>
      <w:pPr/>
      <w:r>
        <w:rPr>
          <w:rFonts w:ascii="Calibri" w:hAnsi="Calibri"/>
          <w:b w:val="0"/>
          <w:i w:val="0"/>
        </w:rPr>
        <w:t>1.0–1.49 SD</w:t>
      </w:r>
    </w:p>
    <w:p>
      <w:pPr>
        <w:pStyle w:val="Heading3"/>
      </w:pPr>
      <w:r>
        <w:t>Meaningful Departure From Personal Baseline</w:t>
      </w:r>
    </w:p>
    <w:p>
      <w:pPr>
        <w:spacing w:after="120"/>
      </w:pPr>
      <w:r>
        <w:rPr>
          <w:rFonts w:ascii="Calibri" w:hAnsi="Calibri"/>
          <w:b w:val="0"/>
          <w:i w:val="0"/>
        </w:rPr>
        <w:t>The athlete's thermal pattern has shifted beyond normal daily variability. Not yet a prevention trigger in isolation, but flags a change in tissue state requiring contextualisation. ≈ 0.27–0.40°C.</w:t>
      </w:r>
    </w:p>
    <w:p>
      <w:pPr/>
      <w:r>
        <w:rPr>
          <w:rFonts w:ascii="Calibri" w:hAnsi="Calibri"/>
          <w:b w:val="0"/>
          <w:i w:val="0"/>
        </w:rPr>
        <w:t>Monitor Closely</w:t>
      </w:r>
      <w:r>
        <w:rPr>
          <w:rFonts w:ascii="Calibri" w:hAnsi="Calibri"/>
          <w:b w:val="0"/>
          <w:i w:val="0"/>
        </w:rPr>
        <w:t>Contextualise ACWR</w:t>
      </w:r>
      <w:r>
        <w:rPr>
          <w:rFonts w:ascii="Calibri" w:hAnsi="Calibri"/>
          <w:b w:val="0"/>
          <w:i w:val="0"/>
        </w:rPr>
        <w:t>Increase Scan Frequency</w:t>
      </w:r>
    </w:p>
    <w:p>
      <w:pPr/>
      <w:r>
        <w:rPr>
          <w:rFonts w:ascii="Calibri" w:hAnsi="Calibri"/>
          <w:b w:val="0"/>
          <w:i w:val="0"/>
        </w:rPr>
        <w:t>🟠 High</w:t>
      </w:r>
    </w:p>
    <w:p>
      <w:pPr/>
      <w:r>
        <w:rPr>
          <w:rFonts w:ascii="Calibri" w:hAnsi="Calibri"/>
          <w:b w:val="0"/>
          <w:i w:val="0"/>
        </w:rPr>
        <w:t>1.5–1.99 SD</w:t>
      </w:r>
    </w:p>
    <w:p>
      <w:pPr>
        <w:pStyle w:val="Heading3"/>
      </w:pPr>
      <w:r>
        <w:t>COMPASS Alert Threshold</w:t>
      </w:r>
    </w:p>
    <w:p>
      <w:pPr>
        <w:spacing w:after="120"/>
      </w:pPr>
      <w:r>
        <w:rPr>
          <w:rFonts w:ascii="Calibri" w:hAnsi="Calibri"/>
          <w:b w:val="0"/>
          <w:i w:val="0"/>
        </w:rPr>
        <w:t>The framework's primary prevention trigger. Clinically important departure from personal norm. Local tissue stress building — athlete likely fully asymptomatic. ≈ 0.41–0.54°C. Maps directly to COMPASS T ≥ 50.</w:t>
      </w:r>
    </w:p>
    <w:p>
      <w:pPr/>
      <w:r>
        <w:rPr>
          <w:rFonts w:ascii="Calibri" w:hAnsi="Calibri"/>
          <w:b w:val="0"/>
          <w:i w:val="0"/>
        </w:rPr>
        <w:t>Prevention Protocol</w:t>
      </w:r>
      <w:r>
        <w:rPr>
          <w:rFonts w:ascii="Calibri" w:hAnsi="Calibri"/>
          <w:b w:val="0"/>
          <w:i w:val="0"/>
        </w:rPr>
        <w:t>Modified Load</w:t>
      </w:r>
      <w:r>
        <w:rPr>
          <w:rFonts w:ascii="Calibri" w:hAnsi="Calibri"/>
          <w:b w:val="0"/>
          <w:i w:val="0"/>
        </w:rPr>
        <w:t>Physio Assessment</w:t>
      </w:r>
      <w:r>
        <w:rPr>
          <w:rFonts w:ascii="Calibri" w:hAnsi="Calibri"/>
          <w:b w:val="0"/>
          <w:i w:val="0"/>
        </w:rPr>
        <w:t>Scan ↑ 3–4 days</w:t>
      </w:r>
    </w:p>
    <w:p>
      <w:pPr/>
      <w:r>
        <w:rPr>
          <w:rFonts w:ascii="Calibri" w:hAnsi="Calibri"/>
          <w:b w:val="0"/>
          <w:i w:val="0"/>
        </w:rPr>
        <w:t>🔴 Severe</w:t>
      </w:r>
    </w:p>
    <w:p>
      <w:pPr/>
      <w:r>
        <w:rPr>
          <w:rFonts w:ascii="Calibri" w:hAnsi="Calibri"/>
          <w:b w:val="0"/>
          <w:i w:val="0"/>
        </w:rPr>
        <w:t>≥ 2.0 SD</w:t>
      </w:r>
    </w:p>
    <w:p>
      <w:pPr>
        <w:pStyle w:val="Heading3"/>
      </w:pPr>
      <w:r>
        <w:t>Extreme Deviation — High-Confidence Injury Signal</w:t>
      </w:r>
    </w:p>
    <w:p>
      <w:pPr>
        <w:spacing w:after="120"/>
      </w:pPr>
      <w:r>
        <w:rPr>
          <w:rFonts w:ascii="Calibri" w:hAnsi="Calibri"/>
          <w:b w:val="0"/>
          <w:i w:val="0"/>
        </w:rPr>
        <w:t>The athlete's thermal pattern has departed dramatically from personal norm. PPV reaches 94.7% for pathology at high SD thresholds (Uematsu 1988). ≈ ≥ 0.55°C. Maps to COMPASS Danger Zone.</w:t>
      </w:r>
    </w:p>
    <w:p>
      <w:pPr/>
      <w:r>
        <w:rPr>
          <w:rFonts w:ascii="Calibri" w:hAnsi="Calibri"/>
          <w:b w:val="0"/>
          <w:i w:val="0"/>
        </w:rPr>
        <w:t>Clinical Review</w:t>
      </w:r>
      <w:r>
        <w:rPr>
          <w:rFonts w:ascii="Calibri" w:hAnsi="Calibri"/>
          <w:b w:val="0"/>
          <w:i w:val="0"/>
        </w:rPr>
        <w:t>Load Reduction</w:t>
      </w:r>
      <w:r>
        <w:rPr>
          <w:rFonts w:ascii="Calibri" w:hAnsi="Calibri"/>
          <w:b w:val="0"/>
          <w:i w:val="0"/>
        </w:rPr>
        <w:t>Physio + Medical</w:t>
      </w:r>
      <w:r>
        <w:rPr>
          <w:rFonts w:ascii="Calibri" w:hAnsi="Calibri"/>
          <w:b w:val="0"/>
          <w:i w:val="0"/>
        </w:rPr>
        <w:t>Re-scan ≤ 3 days</w:t>
      </w:r>
    </w:p>
    <w:p>
      <w:pPr>
        <w:pStyle w:val="Heading2"/>
      </w:pPr>
      <w:r>
        <w:t>Evidence Reference — SD-Based Thresholds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Pr>
                <w:rFonts w:ascii="Calibri" w:hAnsi="Calibri"/>
                <w:b/>
                <w:i w:val="0"/>
              </w:rPr>
              <w:t>Tier</w:t>
            </w:r>
          </w:p>
        </w:tc>
        <w:tc>
          <w:tcPr>
            <w:tcW w:type="dxa" w:w="1872"/>
          </w:tcPr>
          <w:p>
            <w:pPr>
              <w:spacing w:after="40"/>
            </w:pPr>
            <w:r>
              <w:rPr>
                <w:rFonts w:ascii="Calibri" w:hAnsi="Calibri"/>
                <w:b/>
                <w:i w:val="0"/>
              </w:rPr>
              <w:t>SD Threshold</w:t>
            </w:r>
          </w:p>
        </w:tc>
        <w:tc>
          <w:tcPr>
            <w:tcW w:type="dxa" w:w="1872"/>
          </w:tcPr>
          <w:p>
            <w:pPr>
              <w:spacing w:after="40"/>
            </w:pPr>
            <w:r>
              <w:rPr>
                <w:rFonts w:ascii="Calibri" w:hAnsi="Calibri"/>
                <w:b/>
                <w:i w:val="0"/>
              </w:rPr>
              <w:t>Approx. °C †</w:t>
            </w:r>
          </w:p>
        </w:tc>
        <w:tc>
          <w:tcPr>
            <w:tcW w:type="dxa" w:w="1872"/>
          </w:tcPr>
          <w:p>
            <w:pPr>
              <w:spacing w:after="40"/>
            </w:pPr>
            <w:r>
              <w:rPr>
                <w:rFonts w:ascii="Calibri" w:hAnsi="Calibri"/>
                <w:b/>
                <w:i w:val="0"/>
              </w:rPr>
              <w:t>Key Evidence</w:t>
            </w:r>
          </w:p>
        </w:tc>
        <w:tc>
          <w:tcPr>
            <w:tcW w:type="dxa" w:w="1872"/>
          </w:tcPr>
          <w:p>
            <w:pPr>
              <w:spacing w:after="40"/>
            </w:pPr>
            <w:r>
              <w:rPr>
                <w:rFonts w:ascii="Calibri" w:hAnsi="Calibri"/>
                <w:b/>
                <w:i w:val="0"/>
              </w:rPr>
              <w:t>COMPASS Action</w:t>
            </w:r>
          </w:p>
        </w:tc>
      </w:tr>
      <w:tr>
        <w:tc>
          <w:tcPr>
            <w:tcW w:type="dxa" w:w="1872"/>
          </w:tcPr>
          <w:p>
            <w:pPr>
              <w:spacing w:after="40"/>
            </w:pPr>
            <w:r>
              <w:rPr>
                <w:rFonts w:ascii="Calibri" w:hAnsi="Calibri"/>
                <w:b/>
                <w:i w:val="0"/>
              </w:rPr>
              <w:t>No Finding</w:t>
            </w:r>
          </w:p>
        </w:tc>
        <w:tc>
          <w:tcPr>
            <w:tcW w:type="dxa" w:w="1872"/>
          </w:tcPr>
          <w:p>
            <w:pPr>
              <w:spacing w:after="40"/>
            </w:pPr>
            <w:r>
              <w:rPr>
                <w:rFonts w:ascii="Calibri" w:hAnsi="Calibri"/>
                <w:b/>
                <w:i w:val="0"/>
              </w:rPr>
              <w:t>&lt; 1.0 SD</w:t>
            </w:r>
          </w:p>
        </w:tc>
        <w:tc>
          <w:tcPr>
            <w:tcW w:type="dxa" w:w="1872"/>
          </w:tcPr>
          <w:p>
            <w:pPr>
              <w:spacing w:after="40"/>
            </w:pPr>
            <w:r>
              <w:rPr>
                <w:rFonts w:ascii="Calibri" w:hAnsi="Calibri"/>
                <w:b w:val="0"/>
                <w:i w:val="0"/>
              </w:rPr>
              <w:t>&lt; 0.27°C</w:t>
            </w:r>
          </w:p>
        </w:tc>
        <w:tc>
          <w:tcPr>
            <w:tcW w:type="dxa" w:w="1872"/>
          </w:tcPr>
          <w:p>
            <w:pPr>
              <w:spacing w:after="40"/>
            </w:pPr>
            <w:r>
              <w:rPr>
                <w:rFonts w:ascii="Calibri" w:hAnsi="Calibri"/>
                <w:b w:val="0"/>
                <w:i w:val="0"/>
              </w:rPr>
              <w:t xml:space="preserve">Uematsu et al. (1988): below 1 SD from the normal mean of homologous regions, PPV for pathology remained low. Saw et al. (2016): variability below 1 SD represents normal training-related fluctuation across HRV, sleep, and wellness biomarkers. </w:t>
            </w:r>
            <w:r>
              <w:rPr>
                <w:rFonts w:ascii="Calibri" w:hAnsi="Calibri"/>
                <w:b w:val="0"/>
                <w:i w:val="0"/>
              </w:rPr>
              <w:t>[↗ Appendix 1.5, 1.8]</w:t>
            </w:r>
          </w:p>
        </w:tc>
        <w:tc>
          <w:tcPr>
            <w:tcW w:type="dxa" w:w="1872"/>
          </w:tcPr>
          <w:p>
            <w:pPr>
              <w:spacing w:after="40"/>
            </w:pPr>
            <w:r>
              <w:rPr>
                <w:rFonts w:ascii="Calibri" w:hAnsi="Calibri"/>
                <w:b w:val="0"/>
                <w:i w:val="0"/>
              </w:rPr>
              <w:t>No intervention. Continue weekly scan cadence.</w:t>
            </w:r>
          </w:p>
        </w:tc>
      </w:tr>
      <w:tr>
        <w:tc>
          <w:tcPr>
            <w:tcW w:type="dxa" w:w="1872"/>
          </w:tcPr>
          <w:p>
            <w:pPr>
              <w:spacing w:after="40"/>
            </w:pPr>
            <w:r>
              <w:rPr>
                <w:rFonts w:ascii="Calibri" w:hAnsi="Calibri"/>
                <w:b/>
                <w:i w:val="0"/>
              </w:rPr>
              <w:t>Moderate</w:t>
            </w:r>
          </w:p>
        </w:tc>
        <w:tc>
          <w:tcPr>
            <w:tcW w:type="dxa" w:w="1872"/>
          </w:tcPr>
          <w:p>
            <w:pPr>
              <w:spacing w:after="40"/>
            </w:pPr>
            <w:r>
              <w:rPr>
                <w:rFonts w:ascii="Calibri" w:hAnsi="Calibri"/>
                <w:b/>
                <w:i w:val="0"/>
              </w:rPr>
              <w:t>1.0–1.49 SD</w:t>
            </w:r>
          </w:p>
        </w:tc>
        <w:tc>
          <w:tcPr>
            <w:tcW w:type="dxa" w:w="1872"/>
          </w:tcPr>
          <w:p>
            <w:pPr>
              <w:spacing w:after="40"/>
            </w:pPr>
            <w:r>
              <w:rPr>
                <w:rFonts w:ascii="Calibri" w:hAnsi="Calibri"/>
                <w:b w:val="0"/>
                <w:i w:val="0"/>
              </w:rPr>
              <w:t>0.27–0.40°C</w:t>
            </w:r>
          </w:p>
        </w:tc>
        <w:tc>
          <w:tcPr>
            <w:tcW w:type="dxa" w:w="1872"/>
          </w:tcPr>
          <w:p>
            <w:pPr>
              <w:spacing w:after="40"/>
            </w:pPr>
            <w:r>
              <w:rPr>
                <w:rFonts w:ascii="Calibri" w:hAnsi="Calibri"/>
                <w:b w:val="0"/>
                <w:i w:val="0"/>
              </w:rPr>
              <w:t xml:space="preserve">Uematsu et al. (1988): exceeding 1 SD from the mean begins to differentiate pathological from normal states. Plews et al. (2013) HRV consensus: 1.0 SD departure = established "meaningful change" marker across sports monitoring biomarkers. </w:t>
            </w:r>
            <w:r>
              <w:rPr>
                <w:rFonts w:ascii="Calibri" w:hAnsi="Calibri"/>
                <w:b w:val="0"/>
                <w:i w:val="0"/>
              </w:rPr>
              <w:t>[↗ Appendix 1.1, 1.8]</w:t>
            </w:r>
          </w:p>
        </w:tc>
        <w:tc>
          <w:tcPr>
            <w:tcW w:type="dxa" w:w="1872"/>
          </w:tcPr>
          <w:p>
            <w:pPr>
              <w:spacing w:after="40"/>
            </w:pPr>
            <w:r>
              <w:rPr>
                <w:rFonts w:ascii="Calibri" w:hAnsi="Calibri"/>
                <w:b w:val="0"/>
                <w:i w:val="0"/>
              </w:rPr>
              <w:t>Increase monitoring vigilance. Contextualise with ACWR. Precautionary increase in scan frequency. No immediate load restriction in isolation.</w:t>
            </w:r>
          </w:p>
        </w:tc>
      </w:tr>
      <w:tr>
        <w:tc>
          <w:tcPr>
            <w:tcW w:type="dxa" w:w="1872"/>
          </w:tcPr>
          <w:p>
            <w:pPr>
              <w:spacing w:after="40"/>
            </w:pPr>
            <w:r>
              <w:rPr>
                <w:rFonts w:ascii="Calibri" w:hAnsi="Calibri"/>
                <w:b/>
                <w:i w:val="0"/>
              </w:rPr>
              <w:t>High</w:t>
            </w:r>
          </w:p>
        </w:tc>
        <w:tc>
          <w:tcPr>
            <w:tcW w:type="dxa" w:w="1872"/>
          </w:tcPr>
          <w:p>
            <w:pPr>
              <w:spacing w:after="40"/>
            </w:pPr>
            <w:r>
              <w:rPr>
                <w:rFonts w:ascii="Calibri" w:hAnsi="Calibri"/>
                <w:b/>
                <w:i w:val="0"/>
              </w:rPr>
              <w:t>1.5–1.99 SD</w:t>
            </w:r>
          </w:p>
        </w:tc>
        <w:tc>
          <w:tcPr>
            <w:tcW w:type="dxa" w:w="1872"/>
          </w:tcPr>
          <w:p>
            <w:pPr>
              <w:spacing w:after="40"/>
            </w:pPr>
            <w:r>
              <w:rPr>
                <w:rFonts w:ascii="Calibri" w:hAnsi="Calibri"/>
                <w:b w:val="0"/>
                <w:i w:val="0"/>
              </w:rPr>
              <w:t>0.41–0.54°C</w:t>
            </w:r>
          </w:p>
        </w:tc>
        <w:tc>
          <w:tcPr>
            <w:tcW w:type="dxa" w:w="1872"/>
          </w:tcPr>
          <w:p>
            <w:pPr>
              <w:spacing w:after="40"/>
            </w:pPr>
            <w:r>
              <w:rPr>
                <w:rFonts w:ascii="Calibri" w:hAnsi="Calibri"/>
                <w:b w:val="0"/>
                <w:i w:val="0"/>
              </w:rPr>
              <w:t xml:space="preserve">COMPASS Framework: 1.5 SD = primary alert trigger for physiotherapy assessment (combined with ACWR &gt; 1.3). Sports monitoring consensus: 1.5 SD = "clinically important departure." Aligns with Arnaiz-Lastras (2019) ≥ 0.4°C threshold which reduced injuries 64%. </w:t>
            </w:r>
            <w:r>
              <w:rPr>
                <w:rFonts w:ascii="Calibri" w:hAnsi="Calibri"/>
                <w:b w:val="0"/>
                <w:i w:val="0"/>
              </w:rPr>
              <w:t>[↗ Appendix 1.5, 1.6]</w:t>
            </w:r>
          </w:p>
        </w:tc>
        <w:tc>
          <w:tcPr>
            <w:tcW w:type="dxa" w:w="1872"/>
          </w:tcPr>
          <w:p>
            <w:pPr>
              <w:spacing w:after="40"/>
            </w:pPr>
            <w:r>
              <w:rPr>
                <w:rFonts w:ascii="Calibri" w:hAnsi="Calibri"/>
                <w:b w:val="0"/>
                <w:i w:val="0"/>
              </w:rPr>
              <w:t>Prevention protocol active. Modified load for affected region. Soft tissue physiotherapy assessment. Scan frequency → every 3–4 days.</w:t>
            </w:r>
          </w:p>
        </w:tc>
      </w:tr>
      <w:tr>
        <w:tc>
          <w:tcPr>
            <w:tcW w:type="dxa" w:w="1872"/>
          </w:tcPr>
          <w:p>
            <w:pPr>
              <w:spacing w:after="40"/>
            </w:pPr>
            <w:r>
              <w:rPr>
                <w:rFonts w:ascii="Calibri" w:hAnsi="Calibri"/>
                <w:b/>
                <w:i w:val="0"/>
              </w:rPr>
              <w:t>Severe</w:t>
            </w:r>
          </w:p>
        </w:tc>
        <w:tc>
          <w:tcPr>
            <w:tcW w:type="dxa" w:w="1872"/>
          </w:tcPr>
          <w:p>
            <w:pPr>
              <w:spacing w:after="40"/>
            </w:pPr>
            <w:r>
              <w:rPr>
                <w:rFonts w:ascii="Calibri" w:hAnsi="Calibri"/>
                <w:b/>
                <w:i w:val="0"/>
              </w:rPr>
              <w:t>≥ 2.0 SD</w:t>
            </w:r>
          </w:p>
        </w:tc>
        <w:tc>
          <w:tcPr>
            <w:tcW w:type="dxa" w:w="1872"/>
          </w:tcPr>
          <w:p>
            <w:pPr>
              <w:spacing w:after="40"/>
            </w:pPr>
            <w:r>
              <w:rPr>
                <w:rFonts w:ascii="Calibri" w:hAnsi="Calibri"/>
                <w:b w:val="0"/>
                <w:i w:val="0"/>
              </w:rPr>
              <w:t>≥ 0.55°C</w:t>
            </w:r>
          </w:p>
        </w:tc>
        <w:tc>
          <w:tcPr>
            <w:tcW w:type="dxa" w:w="1872"/>
          </w:tcPr>
          <w:p>
            <w:pPr>
              <w:spacing w:after="40"/>
            </w:pPr>
            <w:r>
              <w:rPr>
                <w:rFonts w:ascii="Calibri" w:hAnsi="Calibri"/>
                <w:b w:val="0"/>
                <w:i w:val="0"/>
              </w:rPr>
              <w:t xml:space="preserve">Uematsu et al. (1988) Pt. 2: exceeding 1 SD from population mean → PPV 94.7%, specificity 87.5% — a personal 2.0 SD threshold is an even higher-confidence signal. Schiavon (2021): AUC 0.83. Claudino (2024): individual baseline models AUC 0.84 vs 0.61 for group norms. </w:t>
            </w:r>
            <w:r>
              <w:rPr>
                <w:rFonts w:ascii="Calibri" w:hAnsi="Calibri"/>
                <w:b w:val="0"/>
                <w:i w:val="0"/>
              </w:rPr>
              <w:t>[↗ Appendix 1.2, 1.5, 1.8]</w:t>
            </w:r>
          </w:p>
        </w:tc>
        <w:tc>
          <w:tcPr>
            <w:tcW w:type="dxa" w:w="1872"/>
          </w:tcPr>
          <w:p>
            <w:pPr>
              <w:spacing w:after="40"/>
            </w:pPr>
            <w:r>
              <w:rPr>
                <w:rFonts w:ascii="Calibri" w:hAnsi="Calibri"/>
                <w:b w:val="0"/>
                <w:i w:val="0"/>
              </w:rPr>
              <w:t>Mandatory clinical review. Significant load reduction or rest. Targeted physiotherapy and medical assessment. Re-scan within 3 days.</w:t>
            </w:r>
          </w:p>
        </w:tc>
      </w:tr>
    </w:tbl>
    <w:p/>
    <w:p>
      <w:pPr/>
      <w:r>
        <w:rPr>
          <w:rFonts w:ascii="Calibri" w:hAnsi="Calibri"/>
          <w:b w:val="0"/>
          <w:i w:val="0"/>
        </w:rPr>
        <w:t>📐</w:t>
      </w:r>
    </w:p>
    <w:p>
      <w:pPr/>
      <w:r>
        <w:rPr>
          <w:rFonts w:ascii="Calibri" w:hAnsi="Calibri"/>
          <w:b w:val="0"/>
          <w:i w:val="0"/>
        </w:rPr>
        <w:t>† Approximate °C Equivalents</w:t>
      </w:r>
    </w:p>
    <w:p>
      <w:pPr>
        <w:spacing w:after="120"/>
      </w:pPr>
      <w:r>
        <w:rPr>
          <w:rFonts w:ascii="Calibri" w:hAnsi="Calibri"/>
          <w:b w:val="0"/>
          <w:i w:val="0"/>
        </w:rPr>
        <w:t>Calculated using the typical SD for major stable muscle regions (≈ 0.27°C, consistent with ThermoHuman normative data: vastus medialis 0.003 ± 0.27°C, chest 0.008 ± 0.24°C). Each athlete's personal SD may differ — those with higher individual variability will have correspondingly higher °C values at each SD tier. The SD classification is always the authoritative reference; °C equivalents are provided as a guide only.</w:t>
      </w:r>
    </w:p>
    <w:p>
      <w:pPr>
        <w:pStyle w:val="Heading2"/>
      </w:pPr>
      <w:r>
        <w:t>Framework Alignment — How the Two Scales Correspond</w:t>
      </w:r>
    </w:p>
    <w:p>
      <w:pPr>
        <w:spacing w:after="120"/>
      </w:pPr>
      <w:r>
        <w:rPr>
          <w:rFonts w:ascii="Calibri" w:hAnsi="Calibri"/>
          <w:b w:val="0"/>
          <w:i w:val="0"/>
        </w:rPr>
        <w:t>At the 6-scan transition point, population and SD classifications should broadly agree. The two frameworks are calibrated to produce consistent clinical decisions.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Pr>
                <w:rFonts w:ascii="Calibri" w:hAnsi="Calibri"/>
                <w:b/>
                <w:i w:val="0"/>
              </w:rPr>
              <w:t>Tier</w:t>
            </w:r>
          </w:p>
        </w:tc>
        <w:tc>
          <w:tcPr>
            <w:tcW w:type="dxa" w:w="1872"/>
          </w:tcPr>
          <w:p>
            <w:pPr>
              <w:spacing w:after="40"/>
            </w:pPr>
            <w:r>
              <w:rPr>
                <w:rFonts w:ascii="Calibri" w:hAnsi="Calibri"/>
                <w:b/>
                <w:i w:val="0"/>
              </w:rPr>
              <w:t>Population (°C)</w:t>
            </w:r>
          </w:p>
        </w:tc>
        <w:tc>
          <w:tcPr>
            <w:tcW w:type="dxa" w:w="1872"/>
          </w:tcPr>
          <w:p>
            <w:pPr>
              <w:spacing w:after="40"/>
            </w:pPr>
            <w:r>
              <w:rPr>
                <w:rFonts w:ascii="Calibri" w:hAnsi="Calibri"/>
                <w:b/>
                <w:i w:val="0"/>
              </w:rPr>
              <w:t>Individual SD</w:t>
            </w:r>
          </w:p>
        </w:tc>
        <w:tc>
          <w:tcPr>
            <w:tcW w:type="dxa" w:w="1872"/>
          </w:tcPr>
          <w:p>
            <w:pPr>
              <w:spacing w:after="40"/>
            </w:pPr>
            <w:r>
              <w:rPr>
                <w:rFonts w:ascii="Calibri" w:hAnsi="Calibri"/>
                <w:b/>
                <w:i w:val="0"/>
              </w:rPr>
              <w:t>Calibration Note</w:t>
            </w:r>
          </w:p>
        </w:tc>
        <w:tc>
          <w:tcPr>
            <w:tcW w:type="dxa" w:w="1872"/>
          </w:tcPr>
          <w:p>
            <w:pPr>
              <w:spacing w:after="40"/>
            </w:pPr>
            <w:r>
              <w:rPr>
                <w:rFonts w:ascii="Calibri" w:hAnsi="Calibri"/>
                <w:b/>
                <w:i w:val="0"/>
              </w:rPr>
              <w:t>COMPASS T Score</w:t>
            </w:r>
          </w:p>
        </w:tc>
      </w:tr>
      <w:tr>
        <w:tc>
          <w:tcPr>
            <w:tcW w:type="dxa" w:w="1872"/>
          </w:tcPr>
          <w:p>
            <w:pPr>
              <w:spacing w:after="40"/>
            </w:pPr>
            <w:r>
              <w:rPr>
                <w:rFonts w:ascii="Calibri" w:hAnsi="Calibri"/>
                <w:b/>
                <w:i w:val="0"/>
              </w:rPr>
              <w:t>No Finding</w:t>
            </w:r>
          </w:p>
        </w:tc>
        <w:tc>
          <w:tcPr>
            <w:tcW w:type="dxa" w:w="1872"/>
          </w:tcPr>
          <w:p>
            <w:pPr>
              <w:spacing w:after="40"/>
            </w:pPr>
            <w:r>
              <w:rPr>
                <w:rFonts w:ascii="Calibri" w:hAnsi="Calibri"/>
                <w:b w:val="0"/>
                <w:i w:val="0"/>
              </w:rPr>
              <w:t>&lt; 0.3°C</w:t>
            </w:r>
          </w:p>
        </w:tc>
        <w:tc>
          <w:tcPr>
            <w:tcW w:type="dxa" w:w="1872"/>
          </w:tcPr>
          <w:p>
            <w:pPr>
              <w:spacing w:after="40"/>
            </w:pPr>
            <w:r>
              <w:rPr>
                <w:rFonts w:ascii="Calibri" w:hAnsi="Calibri"/>
                <w:b w:val="0"/>
                <w:i w:val="0"/>
              </w:rPr>
              <w:t>&lt; 1.0 SD</w:t>
            </w:r>
          </w:p>
        </w:tc>
        <w:tc>
          <w:tcPr>
            <w:tcW w:type="dxa" w:w="1872"/>
          </w:tcPr>
          <w:p>
            <w:pPr>
              <w:spacing w:after="40"/>
            </w:pPr>
            <w:r>
              <w:rPr>
                <w:rFonts w:ascii="Calibri" w:hAnsi="Calibri"/>
                <w:b w:val="0"/>
                <w:i w:val="0"/>
              </w:rPr>
              <w:t xml:space="preserve">0.3°C ≈ 1.1 SD at population level. Strong agreement between frameworks at the lower boundary. </w:t>
            </w:r>
            <w:r>
              <w:rPr>
                <w:rFonts w:ascii="Calibri" w:hAnsi="Calibri"/>
                <w:b w:val="0"/>
                <w:i w:val="0"/>
              </w:rPr>
              <w:t>[↗ Uematsu 1988; ThermoHuman 2022]</w:t>
            </w:r>
          </w:p>
        </w:tc>
        <w:tc>
          <w:tcPr>
            <w:tcW w:type="dxa" w:w="1872"/>
          </w:tcPr>
          <w:p>
            <w:pPr>
              <w:spacing w:after="40"/>
            </w:pPr>
            <w:r>
              <w:rPr>
                <w:rFonts w:ascii="Calibri" w:hAnsi="Calibri"/>
                <w:b w:val="0"/>
                <w:i w:val="0"/>
              </w:rPr>
              <w:t>T &lt; 50 (Low Asymmetry)</w:t>
            </w:r>
          </w:p>
        </w:tc>
      </w:tr>
      <w:tr>
        <w:tc>
          <w:tcPr>
            <w:tcW w:type="dxa" w:w="1872"/>
          </w:tcPr>
          <w:p>
            <w:pPr>
              <w:spacing w:after="40"/>
            </w:pPr>
            <w:r>
              <w:rPr>
                <w:rFonts w:ascii="Calibri" w:hAnsi="Calibri"/>
                <w:b/>
                <w:i w:val="0"/>
              </w:rPr>
              <w:t>Moderate</w:t>
            </w:r>
          </w:p>
        </w:tc>
        <w:tc>
          <w:tcPr>
            <w:tcW w:type="dxa" w:w="1872"/>
          </w:tcPr>
          <w:p>
            <w:pPr>
              <w:spacing w:after="40"/>
            </w:pPr>
            <w:r>
              <w:rPr>
                <w:rFonts w:ascii="Calibri" w:hAnsi="Calibri"/>
                <w:b w:val="0"/>
                <w:i w:val="0"/>
              </w:rPr>
              <w:t>0.30–0.49°C</w:t>
            </w:r>
          </w:p>
        </w:tc>
        <w:tc>
          <w:tcPr>
            <w:tcW w:type="dxa" w:w="1872"/>
          </w:tcPr>
          <w:p>
            <w:pPr>
              <w:spacing w:after="40"/>
            </w:pPr>
            <w:r>
              <w:rPr>
                <w:rFonts w:ascii="Calibri" w:hAnsi="Calibri"/>
                <w:b w:val="0"/>
                <w:i w:val="0"/>
              </w:rPr>
              <w:t>1.0–1.49 SD</w:t>
            </w:r>
          </w:p>
        </w:tc>
        <w:tc>
          <w:tcPr>
            <w:tcW w:type="dxa" w:w="1872"/>
          </w:tcPr>
          <w:p>
            <w:pPr>
              <w:spacing w:after="40"/>
            </w:pPr>
            <w:r>
              <w:rPr>
                <w:rFonts w:ascii="Calibri" w:hAnsi="Calibri"/>
                <w:b w:val="0"/>
                <w:i w:val="0"/>
              </w:rPr>
              <w:t xml:space="preserve">0.4°C ≈ 1.5 SD — the Arnaiz-Lastras 0.4°C prevention threshold maps directly to the COMPASS 1.5 SD alert. Both frameworks converge at this critical prevention boundary. </w:t>
            </w:r>
            <w:r>
              <w:rPr>
                <w:rFonts w:ascii="Calibri" w:hAnsi="Calibri"/>
                <w:b w:val="0"/>
                <w:i w:val="0"/>
              </w:rPr>
              <w:t>[↗ Arnaiz-Lastras 2019]</w:t>
            </w:r>
          </w:p>
        </w:tc>
        <w:tc>
          <w:tcPr>
            <w:tcW w:type="dxa" w:w="1872"/>
          </w:tcPr>
          <w:p>
            <w:pPr>
              <w:spacing w:after="40"/>
            </w:pPr>
            <w:r>
              <w:rPr>
                <w:rFonts w:ascii="Calibri" w:hAnsi="Calibri"/>
                <w:b w:val="0"/>
                <w:i w:val="0"/>
              </w:rPr>
              <w:t>T approaching 50</w:t>
            </w:r>
          </w:p>
        </w:tc>
      </w:tr>
      <w:tr>
        <w:tc>
          <w:tcPr>
            <w:tcW w:type="dxa" w:w="1872"/>
          </w:tcPr>
          <w:p>
            <w:pPr>
              <w:spacing w:after="40"/>
            </w:pPr>
            <w:r>
              <w:rPr>
                <w:rFonts w:ascii="Calibri" w:hAnsi="Calibri"/>
                <w:b/>
                <w:i w:val="0"/>
              </w:rPr>
              <w:t>High</w:t>
            </w:r>
          </w:p>
        </w:tc>
        <w:tc>
          <w:tcPr>
            <w:tcW w:type="dxa" w:w="1872"/>
          </w:tcPr>
          <w:p>
            <w:pPr>
              <w:spacing w:after="40"/>
            </w:pPr>
            <w:r>
              <w:rPr>
                <w:rFonts w:ascii="Calibri" w:hAnsi="Calibri"/>
                <w:b w:val="0"/>
                <w:i w:val="0"/>
              </w:rPr>
              <w:t>0.50–0.99°C</w:t>
            </w:r>
          </w:p>
        </w:tc>
        <w:tc>
          <w:tcPr>
            <w:tcW w:type="dxa" w:w="1872"/>
          </w:tcPr>
          <w:p>
            <w:pPr>
              <w:spacing w:after="40"/>
            </w:pPr>
            <w:r>
              <w:rPr>
                <w:rFonts w:ascii="Calibri" w:hAnsi="Calibri"/>
                <w:b w:val="0"/>
                <w:i w:val="0"/>
              </w:rPr>
              <w:t>1.5–1.99 SD</w:t>
            </w:r>
          </w:p>
        </w:tc>
        <w:tc>
          <w:tcPr>
            <w:tcW w:type="dxa" w:w="1872"/>
          </w:tcPr>
          <w:p>
            <w:pPr>
              <w:spacing w:after="40"/>
            </w:pPr>
            <w:r>
              <w:rPr>
                <w:rFonts w:ascii="Calibri" w:hAnsi="Calibri"/>
                <w:b w:val="0"/>
                <w:i w:val="0"/>
              </w:rPr>
              <w:t xml:space="preserve">0.5°C ≈ 1.85 SD. Gómez-Carmona's 0.5°C threshold falls squarely in the High/Alert SD band. Both frameworks trigger prevention protocol at this level. </w:t>
            </w:r>
            <w:r>
              <w:rPr>
                <w:rFonts w:ascii="Calibri" w:hAnsi="Calibri"/>
                <w:b w:val="0"/>
                <w:i w:val="0"/>
              </w:rPr>
              <w:t>[↗ Gómez-Carmona 2020]</w:t>
            </w:r>
          </w:p>
        </w:tc>
        <w:tc>
          <w:tcPr>
            <w:tcW w:type="dxa" w:w="1872"/>
          </w:tcPr>
          <w:p>
            <w:pPr>
              <w:spacing w:after="40"/>
            </w:pPr>
            <w:r>
              <w:rPr>
                <w:rFonts w:ascii="Calibri" w:hAnsi="Calibri"/>
                <w:b w:val="0"/>
                <w:i w:val="0"/>
              </w:rPr>
              <w:t>T ≥ 50 (Elevated)</w:t>
            </w:r>
          </w:p>
        </w:tc>
      </w:tr>
      <w:tr>
        <w:tc>
          <w:tcPr>
            <w:tcW w:type="dxa" w:w="1872"/>
          </w:tcPr>
          <w:p>
            <w:pPr>
              <w:spacing w:after="40"/>
            </w:pPr>
            <w:r>
              <w:rPr>
                <w:rFonts w:ascii="Calibri" w:hAnsi="Calibri"/>
                <w:b/>
                <w:i w:val="0"/>
              </w:rPr>
              <w:t>Severe</w:t>
            </w:r>
          </w:p>
        </w:tc>
        <w:tc>
          <w:tcPr>
            <w:tcW w:type="dxa" w:w="1872"/>
          </w:tcPr>
          <w:p>
            <w:pPr>
              <w:spacing w:after="40"/>
            </w:pPr>
            <w:r>
              <w:rPr>
                <w:rFonts w:ascii="Calibri" w:hAnsi="Calibri"/>
                <w:b w:val="0"/>
                <w:i w:val="0"/>
              </w:rPr>
              <w:t>≥ 1.0°C</w:t>
            </w:r>
          </w:p>
        </w:tc>
        <w:tc>
          <w:tcPr>
            <w:tcW w:type="dxa" w:w="1872"/>
          </w:tcPr>
          <w:p>
            <w:pPr>
              <w:spacing w:after="40"/>
            </w:pPr>
            <w:r>
              <w:rPr>
                <w:rFonts w:ascii="Calibri" w:hAnsi="Calibri"/>
                <w:b w:val="0"/>
                <w:i w:val="0"/>
              </w:rPr>
              <w:t>≥ 2.0 SD</w:t>
            </w:r>
          </w:p>
        </w:tc>
        <w:tc>
          <w:tcPr>
            <w:tcW w:type="dxa" w:w="1872"/>
          </w:tcPr>
          <w:p>
            <w:pPr>
              <w:spacing w:after="40"/>
            </w:pPr>
            <w:r>
              <w:rPr>
                <w:rFonts w:ascii="Calibri" w:hAnsi="Calibri"/>
                <w:b w:val="0"/>
                <w:i w:val="0"/>
              </w:rPr>
              <w:t xml:space="preserve">1.0°C ≈ 3.7 SD — well beyond any population or individual norm. Both frameworks demand mandatory clinical review at this level. </w:t>
            </w:r>
            <w:r>
              <w:rPr>
                <w:rFonts w:ascii="Calibri" w:hAnsi="Calibri"/>
                <w:b w:val="0"/>
                <w:i w:val="0"/>
              </w:rPr>
              <w:t>[↗ Schiavon 2021]</w:t>
            </w:r>
          </w:p>
        </w:tc>
        <w:tc>
          <w:tcPr>
            <w:tcW w:type="dxa" w:w="1872"/>
          </w:tcPr>
          <w:p>
            <w:pPr>
              <w:spacing w:after="40"/>
            </w:pPr>
            <w:r>
              <w:rPr>
                <w:rFonts w:ascii="Calibri" w:hAnsi="Calibri"/>
                <w:b w:val="0"/>
                <w:i w:val="0"/>
              </w:rPr>
              <w:t>T ≥ 50 (Elevated, Critical)</w:t>
            </w:r>
          </w:p>
        </w:tc>
      </w:tr>
    </w:tbl>
    <w:p/>
    <w:p>
      <w:pPr>
        <w:spacing w:after="120"/>
      </w:pPr>
      <w:r>
        <w:rPr>
          <w:rFonts w:ascii="Calibri" w:hAnsi="Calibri"/>
          <w:b/>
          <w:i w:val="0"/>
        </w:rPr>
        <w:t>The Key Calibration Insight:</w:t>
      </w:r>
      <w:r>
        <w:rPr>
          <w:rFonts w:ascii="Calibri" w:hAnsi="Calibri"/>
          <w:b w:val="0"/>
          <w:i w:val="0"/>
        </w:rPr>
        <w:t xml:space="preserve"> The COMPASS 1.5 SD alert threshold corresponds to approximately 0.4°C in population terms — precisely the threshold at which Arnaiz-Lastras et al. (2019) triggered prevention protocols that reduced muscle injuries by 64%. This is not coincidental: both frameworks draw the prevention boundary at the same underlying physiological signal.</w:t>
      </w:r>
    </w:p>
    <w:p>
      <w:pPr>
        <w:pStyle w:val="Heading2"/>
      </w:pPr>
      <w:r>
        <w:t>04B.1 — Thermal Risk Score (T Score) Calculation</w:t>
      </w:r>
    </w:p>
    <w:p>
      <w:pPr>
        <w:spacing w:after="120"/>
      </w:pPr>
      <w:r>
        <w:rPr>
          <w:rFonts w:ascii="Calibri" w:hAnsi="Calibri"/>
          <w:b w:val="0"/>
          <w:i w:val="0"/>
        </w:rPr>
        <w:t>The Thermal Asymmetry Index (TAI) is converted to a normalised T Score (0–100) before entering the COMPASS fusion formula. This score represents the thermal risk axis of the two-axis matrix.</w:t>
      </w:r>
    </w:p>
    <w:p>
      <w:pPr/>
      <w:r>
        <w:rPr>
          <w:rFonts w:ascii="Calibri" w:hAnsi="Calibri"/>
          <w:b w:val="0"/>
          <w:i w:val="0"/>
        </w:rPr>
        <w:t>📐</w:t>
      </w:r>
    </w:p>
    <w:p>
      <w:pPr/>
      <w:r>
        <w:rPr>
          <w:rFonts w:ascii="Calibri" w:hAnsi="Calibri"/>
          <w:b w:val="0"/>
          <w:i w:val="0"/>
        </w:rPr>
        <w:t>TAI Definition</w:t>
      </w:r>
    </w:p>
    <w:p>
      <w:pPr>
        <w:spacing w:after="120"/>
      </w:pPr>
      <w:r>
        <w:rPr>
          <w:rFonts w:ascii="Calibri" w:hAnsi="Calibri"/>
          <w:b w:val="0"/>
          <w:i w:val="0"/>
        </w:rPr>
        <w:t xml:space="preserve">The Thermal Asymmetry Index is the </w:t>
      </w:r>
      <w:r>
        <w:rPr>
          <w:rFonts w:ascii="Calibri" w:hAnsi="Calibri"/>
          <w:b w:val="0"/>
          <w:i/>
        </w:rPr>
        <w:t>maximum contralateral left-right temperature delta</w:t>
      </w:r>
      <w:r>
        <w:rPr>
          <w:rFonts w:ascii="Calibri" w:hAnsi="Calibri"/>
          <w:b w:val="0"/>
          <w:i w:val="0"/>
        </w:rPr>
        <w:t xml:space="preserve"> across all scanned body regions — i.e., the single worst-performing region drives the score. No averaging is applied; the highest asymmetry value is used as the input.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Calibri" w:hAnsi="Calibri"/>
                <w:b/>
                <w:i w:val="0"/>
              </w:rPr>
              <w:t>Phase</w:t>
            </w:r>
          </w:p>
        </w:tc>
        <w:tc>
          <w:tcPr>
            <w:tcW w:type="dxa" w:w="2340"/>
          </w:tcPr>
          <w:p>
            <w:pPr>
              <w:spacing w:after="40"/>
            </w:pPr>
            <w:r>
              <w:rPr>
                <w:rFonts w:ascii="Calibri" w:hAnsi="Calibri"/>
                <w:b/>
                <w:i w:val="0"/>
              </w:rPr>
              <w:t>Condition</w:t>
            </w:r>
          </w:p>
        </w:tc>
        <w:tc>
          <w:tcPr>
            <w:tcW w:type="dxa" w:w="2340"/>
          </w:tcPr>
          <w:p>
            <w:pPr>
              <w:spacing w:after="40"/>
            </w:pPr>
            <w:r>
              <w:rPr>
                <w:rFonts w:ascii="Calibri" w:hAnsi="Calibri"/>
                <w:b/>
                <w:i w:val="0"/>
              </w:rPr>
              <w:t>Formula</w:t>
            </w:r>
          </w:p>
        </w:tc>
        <w:tc>
          <w:tcPr>
            <w:tcW w:type="dxa" w:w="2340"/>
          </w:tcPr>
          <w:p>
            <w:pPr>
              <w:spacing w:after="40"/>
            </w:pPr>
            <w:r>
              <w:rPr>
                <w:rFonts w:ascii="Calibri" w:hAnsi="Calibri"/>
                <w:b/>
                <w:i w:val="0"/>
              </w:rPr>
              <w:t>Zone Crossing at T = 50</w:t>
            </w:r>
          </w:p>
        </w:tc>
      </w:tr>
      <w:tr>
        <w:tc>
          <w:tcPr>
            <w:tcW w:type="dxa" w:w="2340"/>
          </w:tcPr>
          <w:p>
            <w:pPr>
              <w:spacing w:after="40"/>
            </w:pPr>
            <w:r>
              <w:rPr>
                <w:rFonts w:ascii="Calibri" w:hAnsi="Calibri"/>
                <w:b/>
                <w:i w:val="0"/>
              </w:rPr>
              <w:t>Population Baseline</w:t>
            </w:r>
          </w:p>
        </w:tc>
        <w:tc>
          <w:tcPr>
            <w:tcW w:type="dxa" w:w="2340"/>
          </w:tcPr>
          <w:p>
            <w:pPr>
              <w:spacing w:after="40"/>
            </w:pPr>
            <w:r>
              <w:rPr>
                <w:rFonts w:ascii="Calibri" w:hAnsi="Calibri"/>
                <w:b w:val="0"/>
                <w:i w:val="0"/>
              </w:rPr>
              <w:t>&lt; 6 scans completed</w:t>
            </w:r>
          </w:p>
        </w:tc>
        <w:tc>
          <w:tcPr>
            <w:tcW w:type="dxa" w:w="2340"/>
          </w:tcPr>
          <w:p>
            <w:pPr>
              <w:spacing w:after="40"/>
            </w:pPr>
            <w:r>
              <w:rPr>
                <w:rFonts w:ascii="Courier New" w:hAnsi="Courier New"/>
                <w:b w:val="0"/>
                <w:i w:val="0"/>
                <w:sz w:val="18"/>
              </w:rPr>
              <w:t>T = min(100, (TAI°C / 1.0) × 100)</w:t>
            </w:r>
          </w:p>
        </w:tc>
        <w:tc>
          <w:tcPr>
            <w:tcW w:type="dxa" w:w="2340"/>
          </w:tcPr>
          <w:p>
            <w:pPr>
              <w:spacing w:after="40"/>
            </w:pPr>
            <w:r>
              <w:rPr>
                <w:rFonts w:ascii="Calibri" w:hAnsi="Calibri"/>
                <w:b w:val="0"/>
                <w:i w:val="0"/>
              </w:rPr>
              <w:t>0.5°C → T 50 · 1.0°C → T 100</w:t>
            </w:r>
          </w:p>
        </w:tc>
      </w:tr>
      <w:tr>
        <w:tc>
          <w:tcPr>
            <w:tcW w:type="dxa" w:w="2340"/>
          </w:tcPr>
          <w:p>
            <w:pPr>
              <w:spacing w:after="40"/>
            </w:pPr>
            <w:r>
              <w:rPr>
                <w:rFonts w:ascii="Calibri" w:hAnsi="Calibri"/>
                <w:b/>
                <w:i w:val="0"/>
              </w:rPr>
              <w:t>Individual SD Baseline</w:t>
            </w:r>
          </w:p>
        </w:tc>
        <w:tc>
          <w:tcPr>
            <w:tcW w:type="dxa" w:w="2340"/>
          </w:tcPr>
          <w:p>
            <w:pPr>
              <w:spacing w:after="40"/>
            </w:pPr>
            <w:r>
              <w:rPr>
                <w:rFonts w:ascii="Calibri" w:hAnsi="Calibri"/>
                <w:b w:val="0"/>
                <w:i w:val="0"/>
              </w:rPr>
              <w:t>≥ 6 scans completed</w:t>
            </w:r>
          </w:p>
        </w:tc>
        <w:tc>
          <w:tcPr>
            <w:tcW w:type="dxa" w:w="2340"/>
          </w:tcPr>
          <w:p>
            <w:pPr>
              <w:spacing w:after="40"/>
            </w:pPr>
            <w:r>
              <w:rPr>
                <w:rFonts w:ascii="Courier New" w:hAnsi="Courier New"/>
                <w:b w:val="0"/>
                <w:i w:val="0"/>
                <w:sz w:val="18"/>
              </w:rPr>
              <w:t>T = min(100, (TAISD / 3.0) × 100)</w:t>
            </w:r>
          </w:p>
        </w:tc>
        <w:tc>
          <w:tcPr>
            <w:tcW w:type="dxa" w:w="2340"/>
          </w:tcPr>
          <w:p>
            <w:pPr>
              <w:spacing w:after="40"/>
            </w:pPr>
            <w:r>
              <w:rPr>
                <w:rFonts w:ascii="Calibri" w:hAnsi="Calibri"/>
                <w:b w:val="0"/>
                <w:i w:val="0"/>
              </w:rPr>
              <w:t>1.5 SD → T 50 · 3.0 SD → T 100</w:t>
            </w:r>
          </w:p>
        </w:tc>
      </w:tr>
    </w:tbl>
    <w:p/>
    <w:p>
      <w:pPr>
        <w:spacing w:after="120"/>
      </w:pPr>
      <w:r>
        <w:rPr>
          <w:rFonts w:ascii="Calibri" w:hAnsi="Calibri"/>
          <w:b w:val="0"/>
          <w:i w:val="0"/>
        </w:rPr>
        <w:t>Both formulas produce T = 50 at the Framework Alignment table's zone-crossing point (0.5°C / 1.5 SD). The transition at scan 6 is seamless: there is no step-change in classification because both scales are calibrated to the same physiological boundary. From scan 6 onward, the individual SD baseline takes precedence; the population formula is retired for that athlete.</w:t>
      </w:r>
    </w:p>
    <w:p>
      <w:pPr/>
      <w:r>
        <w:rPr>
          <w:rFonts w:ascii="Calibri" w:hAnsi="Calibri"/>
          <w:b w:val="0"/>
          <w:i w:val="0"/>
        </w:rPr>
        <w:t>🔄</w:t>
      </w:r>
    </w:p>
    <w:p>
      <w:pPr/>
      <w:r>
        <w:rPr>
          <w:rFonts w:ascii="Calibri" w:hAnsi="Calibri"/>
          <w:b w:val="0"/>
          <w:i w:val="0"/>
        </w:rPr>
        <w:t>Transition Behaviour at Scan 6</w:t>
      </w:r>
    </w:p>
    <w:p>
      <w:pPr>
        <w:spacing w:after="120"/>
      </w:pPr>
      <w:r>
        <w:rPr>
          <w:rFonts w:ascii="Calibri" w:hAnsi="Calibri"/>
          <w:b w:val="0"/>
          <w:i w:val="0"/>
        </w:rPr>
        <w:t>At exactly scan 6, both methods are computed in parallel and the individual SD result takes precedence. For athletes whose personal SD closely matches the population average (~0.27°C), the switch produces no perceptible change in zone assignment. For athletes with atypically high or low thermal variability, the individual baseline will produce a more accurate — and typically lower — T Score.</w:t>
      </w:r>
    </w:p>
    <w:p>
      <w:pPr/>
      <w:r>
        <w:rPr>
          <w:rFonts w:ascii="Calibri" w:hAnsi="Calibri"/>
          <w:b w:val="0"/>
          <w:i w:val="0"/>
        </w:rPr>
        <w:t>Section 06</w:t>
      </w:r>
    </w:p>
    <w:p>
      <w:pPr>
        <w:pStyle w:val="Heading1"/>
      </w:pPr>
      <w:r>
        <w:t>Temporal Fusion Strategy</w:t>
      </w:r>
    </w:p>
    <w:p>
      <w:pPr>
        <w:spacing w:after="120"/>
      </w:pPr>
      <w:r>
        <w:rPr>
          <w:rFonts w:ascii="Calibri" w:hAnsi="Calibri"/>
          <w:b w:val="0"/>
          <w:i w:val="0"/>
        </w:rPr>
        <w:t>The two data streams operate on fundamentally different timescales. The framework explicitly models this asymmetry rather than engineering around it.</w:t>
      </w:r>
    </w:p>
    <w:p>
      <w:pPr>
        <w:pStyle w:val="Heading2"/>
      </w:pPr>
      <w:r>
        <w:t>6.1 Thermal Data Gaps</w:t>
      </w:r>
    </w:p>
    <w:p>
      <w:pPr>
        <w:spacing w:after="120"/>
      </w:pPr>
      <w:r>
        <w:rPr>
          <w:rFonts w:ascii="Calibri" w:hAnsi="Calibri"/>
          <w:b w:val="0"/>
          <w:i w:val="0"/>
        </w:rPr>
        <w:t xml:space="preserve">Thermography is a periodic assessment — athletes are not scanned daily. Between scans, the system operates with a </w:t>
      </w:r>
      <w:r>
        <w:rPr>
          <w:rFonts w:ascii="Calibri" w:hAnsi="Calibri"/>
          <w:b w:val="0"/>
          <w:i/>
        </w:rPr>
        <w:t>stale thermal signal</w:t>
      </w:r>
      <w:r>
        <w:rPr>
          <w:rFonts w:ascii="Calibri" w:hAnsi="Calibri"/>
          <w:b w:val="0"/>
          <w:i w:val="0"/>
        </w:rPr>
        <w:t>: the most recent scan result persists as a contextual modifier, but its clinical weight diminishes the longer it goes unrefreshed. This section defines how COMPASS handles that gap: how long a thermal reading remains usable, how its influence is progressively reduced as the gap widens, and at what point the system treats the absence of fresh data as a risk condition in its own right.</w:t>
      </w:r>
    </w:p>
    <w:p>
      <w:pPr/>
      <w:r>
        <w:rPr>
          <w:rFonts w:ascii="Calibri" w:hAnsi="Calibri"/>
          <w:b w:val="0"/>
          <w:i w:val="0"/>
        </w:rPr>
        <w:t>📐</w:t>
      </w:r>
    </w:p>
    <w:p>
      <w:pPr/>
      <w:r>
        <w:rPr>
          <w:rFonts w:ascii="Calibri" w:hAnsi="Calibri"/>
          <w:b w:val="0"/>
          <w:i w:val="0"/>
        </w:rPr>
        <w:t>Modeling Assumption — Not Literature-Derived</w:t>
      </w:r>
    </w:p>
    <w:p>
      <w:pPr>
        <w:spacing w:after="120"/>
      </w:pPr>
      <w:r>
        <w:rPr>
          <w:rFonts w:ascii="Calibri" w:hAnsi="Calibri"/>
          <w:b w:val="0"/>
          <w:i w:val="0"/>
        </w:rPr>
        <w:t>The 7-day gap tolerance is a clinical approximation based on standard exponential decay, chosen for simplicity and auditability. No peer-reviewed study directly quantifies how long a thermographic asymmetry reading remains predictively valid after capture. This parameter should be treated as institution-adjustable: clinical leads are encouraged to revise it as longitudinal outcome data accumulates within their own cohort.</w:t>
      </w:r>
    </w:p>
    <w:p>
      <w:pPr/>
      <w:r>
        <w:rPr>
          <w:rFonts w:ascii="Calibri" w:hAnsi="Calibri"/>
          <w:b w:val="0"/>
          <w:i w:val="0"/>
        </w:rPr>
        <w:t>Gap Tolerance</w:t>
      </w:r>
    </w:p>
    <w:p>
      <w:pPr/>
      <w:r>
        <w:rPr>
          <w:rFonts w:ascii="Calibri" w:hAnsi="Calibri"/>
          <w:b w:val="0"/>
          <w:i w:val="0"/>
        </w:rPr>
        <w:t>7 days</w:t>
      </w:r>
    </w:p>
    <w:p>
      <w:pPr/>
      <w:r>
        <w:rPr>
          <w:rFonts w:ascii="Calibri" w:hAnsi="Calibri"/>
          <w:b w:val="0"/>
          <w:i w:val="0"/>
        </w:rPr>
        <w:t>Modeling assumption · Adjustable by clinical leads</w:t>
      </w:r>
    </w:p>
    <w:p>
      <w:pPr/>
      <w:r>
        <w:rPr>
          <w:rFonts w:ascii="Calibri" w:hAnsi="Calibri"/>
          <w:b w:val="0"/>
          <w:i w:val="0"/>
        </w:rPr>
        <w:t>⏰</w:t>
      </w:r>
    </w:p>
    <w:p>
      <w:pPr/>
      <w:r>
        <w:rPr>
          <w:rFonts w:ascii="Calibri" w:hAnsi="Calibri"/>
          <w:b w:val="0"/>
          <w:i w:val="0"/>
        </w:rPr>
        <w:t>Gap Threshold: 7 Days — Scoring Suspended</w:t>
      </w:r>
    </w:p>
    <w:p>
      <w:pPr>
        <w:spacing w:after="120"/>
      </w:pPr>
      <w:r>
        <w:rPr>
          <w:rFonts w:ascii="Calibri" w:hAnsi="Calibri"/>
          <w:b w:val="0"/>
          <w:i w:val="0"/>
        </w:rPr>
        <w:t>Once 7 days have elapsed since the last thermography scan, the thermal signal has degraded to 50% of its original clinical weight — below the minimum threshold for reliable zone classification. At this point the system does not attempt to extrapolate from stale data: thermal risk scoring is suspended and a scan-overdue flag is raised. Operating without a valid thermal input is itself treated as an elevated-risk state, since silent tissue stress accumulation cannot be excluded.</w:t>
      </w:r>
    </w:p>
    <w:p>
      <w:pPr/>
      <w:r>
        <w:t>Decay Chart</w:t>
      </w:r>
    </w:p>
    <w:p>
      <w:pPr>
        <w:spacing w:before="120" w:after="120"/>
      </w:pPr>
      <w:r>
        <w:rPr>
          <w:rFonts w:ascii="Calibri" w:hAnsi="Calibri"/>
          <w:b/>
          <w:i/>
        </w:rPr>
        <w:t>[Chart: Thermal Signal Weight Over Time — Gap Degradation Curve Modeling Assumption]</w:t>
      </w:r>
    </w:p>
    <w:p>
      <w:pPr>
        <w:pStyle w:val="Heading2"/>
      </w:pPr>
      <w:r>
        <w:t>6.2 Handling Wearable Data Gaps</w:t>
      </w:r>
    </w:p>
    <w:p>
      <w:pPr>
        <w:spacing w:after="120"/>
      </w:pPr>
      <w:r>
        <w:rPr>
          <w:rFonts w:ascii="Calibri" w:hAnsi="Calibri"/>
          <w:b w:val="0"/>
          <w:i w:val="0"/>
        </w:rPr>
        <w:t>Spike publishes one daily summary per athlete — if a day's data is missing (device not worn, sync failure), no readiness score is available for that day. Unlike thermography (which decays gracefully), wearable data gaps require suspension — not downweighting. Yesterday's daily HRV average carries no reliable predictive weight for today's readiness.</w:t>
      </w:r>
    </w:p>
    <w:p>
      <w:pPr/>
      <w:r>
        <w:rPr>
          <w:rFonts w:ascii="Calibri" w:hAnsi="Calibri"/>
          <w:b w:val="0"/>
          <w:i w:val="0"/>
        </w:rPr>
        <w:t>✅</w:t>
      </w:r>
    </w:p>
    <w:p>
      <w:pPr/>
      <w:r>
        <w:rPr>
          <w:rFonts w:ascii="Calibri" w:hAnsi="Calibri"/>
          <w:b w:val="0"/>
          <w:i w:val="0"/>
        </w:rPr>
        <w:t>Gap 0–2 Days: Flagged Assessment</w:t>
      </w:r>
    </w:p>
    <w:p>
      <w:pPr>
        <w:spacing w:after="120"/>
      </w:pPr>
      <w:r>
        <w:rPr>
          <w:rFonts w:ascii="Calibri" w:hAnsi="Calibri"/>
          <w:b w:val="0"/>
          <w:i w:val="0"/>
        </w:rPr>
        <w:t>Zone classification proceeds using last known wearable values, visibly marked as "estimated — based on data from [date]." Practitioners receive a sync reminder but are not blocked from acting on the output.</w:t>
      </w:r>
    </w:p>
    <w:p>
      <w:pPr/>
      <w:r>
        <w:rPr>
          <w:rFonts w:ascii="Calibri" w:hAnsi="Calibri"/>
          <w:b w:val="0"/>
          <w:i w:val="0"/>
        </w:rPr>
        <w:t>🚫</w:t>
      </w:r>
    </w:p>
    <w:p>
      <w:pPr/>
      <w:r>
        <w:rPr>
          <w:rFonts w:ascii="Calibri" w:hAnsi="Calibri"/>
          <w:b w:val="0"/>
          <w:i w:val="0"/>
        </w:rPr>
        <w:t>Gap &gt;2 Days: Assessment Suspended</w:t>
      </w:r>
    </w:p>
    <w:p>
      <w:pPr>
        <w:spacing w:after="120"/>
      </w:pPr>
      <w:r>
        <w:rPr>
          <w:rFonts w:ascii="Calibri" w:hAnsi="Calibri"/>
          <w:b w:val="0"/>
          <w:i w:val="0"/>
        </w:rPr>
        <w:t>No readiness score generated. No zone classification issued. If a valid thermal prior is available, a thermal-only advisory is produced. The daily output reads: "Zone assessment unavailable — wearable sync required. Last confirmed zone: [zone] on [date]."</w:t>
      </w:r>
    </w:p>
    <w:p>
      <w:pPr>
        <w:pStyle w:val="Heading2"/>
      </w:pPr>
      <w:r>
        <w:t>6.3 Signal Availability Matrix</w:t>
      </w:r>
    </w:p>
    <w:p>
      <w:pPr>
        <w:spacing w:after="120"/>
      </w:pPr>
      <w:r>
        <w:rPr>
          <w:rFonts w:ascii="Calibri" w:hAnsi="Calibri"/>
          <w:b w:val="0"/>
          <w:i w:val="0"/>
        </w:rPr>
        <w:t>The four possible combinations of data availability each produce a different system behaviour. This matrix defines explicitly what COMPASS does — and what it does not claim — in each state, ensuring no zone classification is ever issued with more confidence than the data warrants.</w:t>
      </w:r>
    </w:p>
    <w:p>
      <w:pPr>
        <w:pStyle w:val="Heading2"/>
      </w:pPr>
      <w:r>
        <w:t>Metrics Available by Signal State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Calibri" w:hAnsi="Calibri"/>
                <w:b/>
                <w:i w:val="0"/>
              </w:rPr>
              <w:t>Assessment State</w:t>
            </w:r>
          </w:p>
        </w:tc>
        <w:tc>
          <w:tcPr>
            <w:tcW w:type="dxa" w:w="2340"/>
          </w:tcPr>
          <w:p>
            <w:pPr>
              <w:spacing w:after="40"/>
            </w:pPr>
            <w:r>
              <w:rPr>
                <w:rFonts w:ascii="Calibri" w:hAnsi="Calibri"/>
                <w:b/>
                <w:i w:val="0"/>
              </w:rPr>
              <w:t>⌚ Readiness Score</w:t>
            </w:r>
          </w:p>
        </w:tc>
        <w:tc>
          <w:tcPr>
            <w:tcW w:type="dxa" w:w="2340"/>
          </w:tcPr>
          <w:p>
            <w:pPr>
              <w:spacing w:after="40"/>
            </w:pPr>
            <w:r>
              <w:rPr>
                <w:rFonts w:ascii="Calibri" w:hAnsi="Calibri"/>
                <w:b/>
                <w:i w:val="0"/>
              </w:rPr>
              <w:t>🌡️ Thermal Score</w:t>
            </w:r>
          </w:p>
        </w:tc>
        <w:tc>
          <w:tcPr>
            <w:tcW w:type="dxa" w:w="2340"/>
          </w:tcPr>
          <w:p>
            <w:pPr>
              <w:spacing w:after="40"/>
            </w:pPr>
            <w:r>
              <w:rPr>
                <w:rFonts w:ascii="Calibri" w:hAnsi="Calibri"/>
                <w:b/>
                <w:i w:val="0"/>
              </w:rPr>
              <w:t>🧭 COMPASS Score</w:t>
            </w:r>
          </w:p>
        </w:tc>
      </w:tr>
      <w:tr>
        <w:tc>
          <w:tcPr>
            <w:tcW w:type="dxa" w:w="2340"/>
          </w:tcPr>
          <w:p>
            <w:pPr>
              <w:spacing w:after="40"/>
            </w:pPr>
            <w:r>
              <w:rPr>
                <w:rFonts w:ascii="Calibri" w:hAnsi="Calibri"/>
                <w:b w:val="0"/>
                <w:i w:val="0"/>
              </w:rPr>
              <w:t>✅</w:t>
            </w:r>
            <w:r>
              <w:rPr>
                <w:rFonts w:ascii="Calibri" w:hAnsi="Calibri"/>
                <w:b/>
                <w:i w:val="0"/>
              </w:rPr>
              <w:t>Full COMPASS Assessment</w:t>
            </w:r>
            <w:r>
              <w:br/>
            </w:r>
            <w:r>
              <w:rPr>
                <w:rFonts w:ascii="Calibri" w:hAnsi="Calibri"/>
                <w:b w:val="0"/>
                <w:i w:val="0"/>
              </w:rPr>
              <w:t>Both signals available</w:t>
            </w:r>
          </w:p>
        </w:tc>
        <w:tc>
          <w:tcPr>
            <w:tcW w:type="dxa" w:w="2340"/>
          </w:tcPr>
          <w:p>
            <w:pPr>
              <w:spacing w:after="40"/>
            </w:pPr>
            <w:r>
              <w:rPr>
                <w:rFonts w:ascii="Calibri" w:hAnsi="Calibri"/>
                <w:b w:val="0"/>
                <w:i w:val="0"/>
              </w:rPr>
              <w:t>✅ Shown</w:t>
            </w:r>
          </w:p>
        </w:tc>
        <w:tc>
          <w:tcPr>
            <w:tcW w:type="dxa" w:w="2340"/>
          </w:tcPr>
          <w:p>
            <w:pPr>
              <w:spacing w:after="40"/>
            </w:pPr>
            <w:r>
              <w:rPr>
                <w:rFonts w:ascii="Calibri" w:hAnsi="Calibri"/>
                <w:b w:val="0"/>
                <w:i w:val="0"/>
              </w:rPr>
              <w:t>✅ Shown</w:t>
            </w:r>
          </w:p>
        </w:tc>
        <w:tc>
          <w:tcPr>
            <w:tcW w:type="dxa" w:w="2340"/>
          </w:tcPr>
          <w:p>
            <w:pPr>
              <w:spacing w:after="40"/>
            </w:pPr>
            <w:r>
              <w:rPr>
                <w:rFonts w:ascii="Calibri" w:hAnsi="Calibri"/>
                <w:b w:val="0"/>
                <w:i w:val="0"/>
              </w:rPr>
              <w:t>✅ Shown</w:t>
            </w:r>
          </w:p>
        </w:tc>
      </w:tr>
      <w:tr>
        <w:tc>
          <w:tcPr>
            <w:tcW w:type="dxa" w:w="2340"/>
          </w:tcPr>
          <w:p>
            <w:pPr>
              <w:spacing w:after="40"/>
            </w:pPr>
            <w:r>
              <w:rPr>
                <w:rFonts w:ascii="Calibri" w:hAnsi="Calibri"/>
                <w:b w:val="0"/>
                <w:i w:val="0"/>
              </w:rPr>
              <w:t>🌡️</w:t>
            </w:r>
            <w:r>
              <w:rPr>
                <w:rFonts w:ascii="Calibri" w:hAnsi="Calibri"/>
                <w:b/>
                <w:i w:val="0"/>
              </w:rPr>
              <w:t>Thermal-Only Advisory</w:t>
            </w:r>
            <w:r>
              <w:br/>
            </w:r>
            <w:r>
              <w:rPr>
                <w:rFonts w:ascii="Calibri" w:hAnsi="Calibri"/>
                <w:b w:val="0"/>
                <w:i w:val="0"/>
              </w:rPr>
              <w:t>Wearable unavailable</w:t>
            </w:r>
          </w:p>
        </w:tc>
        <w:tc>
          <w:tcPr>
            <w:tcW w:type="dxa" w:w="2340"/>
          </w:tcPr>
          <w:p>
            <w:pPr>
              <w:spacing w:after="40"/>
            </w:pPr>
            <w:r>
              <w:rPr>
                <w:rFonts w:ascii="Calibri" w:hAnsi="Calibri"/>
                <w:b w:val="0"/>
                <w:i w:val="0"/>
              </w:rPr>
              <w:t>— Unavailable</w:t>
            </w:r>
          </w:p>
        </w:tc>
        <w:tc>
          <w:tcPr>
            <w:tcW w:type="dxa" w:w="2340"/>
          </w:tcPr>
          <w:p>
            <w:pPr>
              <w:spacing w:after="40"/>
            </w:pPr>
            <w:r>
              <w:rPr>
                <w:rFonts w:ascii="Calibri" w:hAnsi="Calibri"/>
                <w:b w:val="0"/>
                <w:i w:val="0"/>
              </w:rPr>
              <w:t>✅ Shown</w:t>
            </w:r>
          </w:p>
        </w:tc>
        <w:tc>
          <w:tcPr>
            <w:tcW w:type="dxa" w:w="2340"/>
          </w:tcPr>
          <w:p>
            <w:pPr>
              <w:spacing w:after="40"/>
            </w:pPr>
            <w:r>
              <w:rPr>
                <w:rFonts w:ascii="Calibri" w:hAnsi="Calibri"/>
                <w:b w:val="0"/>
                <w:i w:val="0"/>
              </w:rPr>
              <w:t>— Cannot compute</w:t>
            </w:r>
          </w:p>
        </w:tc>
      </w:tr>
      <w:tr>
        <w:tc>
          <w:tcPr>
            <w:tcW w:type="dxa" w:w="2340"/>
          </w:tcPr>
          <w:p>
            <w:pPr>
              <w:spacing w:after="40"/>
            </w:pPr>
            <w:r>
              <w:rPr>
                <w:rFonts w:ascii="Calibri" w:hAnsi="Calibri"/>
                <w:b w:val="0"/>
                <w:i w:val="0"/>
              </w:rPr>
              <w:t>⚠️</w:t>
            </w:r>
            <w:r>
              <w:rPr>
                <w:rFonts w:ascii="Calibri" w:hAnsi="Calibri"/>
                <w:b/>
                <w:i w:val="0"/>
              </w:rPr>
              <w:t>Readiness-Only Assessment</w:t>
            </w:r>
            <w:r>
              <w:br/>
            </w:r>
            <w:r>
              <w:rPr>
                <w:rFonts w:ascii="Calibri" w:hAnsi="Calibri"/>
                <w:b w:val="0"/>
                <w:i w:val="0"/>
              </w:rPr>
              <w:t>Thermography unavailable</w:t>
            </w:r>
          </w:p>
        </w:tc>
        <w:tc>
          <w:tcPr>
            <w:tcW w:type="dxa" w:w="2340"/>
          </w:tcPr>
          <w:p>
            <w:pPr>
              <w:spacing w:after="40"/>
            </w:pPr>
            <w:r>
              <w:rPr>
                <w:rFonts w:ascii="Calibri" w:hAnsi="Calibri"/>
                <w:b w:val="0"/>
                <w:i w:val="0"/>
              </w:rPr>
              <w:t>✅ Shown</w:t>
            </w:r>
          </w:p>
        </w:tc>
        <w:tc>
          <w:tcPr>
            <w:tcW w:type="dxa" w:w="2340"/>
          </w:tcPr>
          <w:p>
            <w:pPr>
              <w:spacing w:after="40"/>
            </w:pPr>
            <w:r>
              <w:rPr>
                <w:rFonts w:ascii="Calibri" w:hAnsi="Calibri"/>
                <w:b w:val="0"/>
                <w:i w:val="0"/>
              </w:rPr>
              <w:t>— Unavailable</w:t>
            </w:r>
          </w:p>
        </w:tc>
        <w:tc>
          <w:tcPr>
            <w:tcW w:type="dxa" w:w="2340"/>
          </w:tcPr>
          <w:p>
            <w:pPr>
              <w:spacing w:after="40"/>
            </w:pPr>
            <w:r>
              <w:rPr>
                <w:rFonts w:ascii="Calibri" w:hAnsi="Calibri"/>
                <w:b w:val="0"/>
                <w:i w:val="0"/>
              </w:rPr>
              <w:t>— Cannot compute</w:t>
            </w:r>
          </w:p>
        </w:tc>
      </w:tr>
      <w:tr>
        <w:tc>
          <w:tcPr>
            <w:tcW w:type="dxa" w:w="2340"/>
          </w:tcPr>
          <w:p>
            <w:pPr>
              <w:spacing w:after="40"/>
            </w:pPr>
            <w:r>
              <w:rPr>
                <w:rFonts w:ascii="Calibri" w:hAnsi="Calibri"/>
                <w:b w:val="0"/>
                <w:i w:val="0"/>
              </w:rPr>
              <w:t>🚫</w:t>
            </w:r>
            <w:r>
              <w:rPr>
                <w:rFonts w:ascii="Calibri" w:hAnsi="Calibri"/>
                <w:b/>
                <w:i w:val="0"/>
              </w:rPr>
              <w:t>No Assessment Possible</w:t>
            </w:r>
            <w:r>
              <w:br/>
            </w:r>
            <w:r>
              <w:rPr>
                <w:rFonts w:ascii="Calibri" w:hAnsi="Calibri"/>
                <w:b w:val="0"/>
                <w:i w:val="0"/>
              </w:rPr>
              <w:t>Both signals unavailable</w:t>
            </w:r>
          </w:p>
        </w:tc>
        <w:tc>
          <w:tcPr>
            <w:tcW w:type="dxa" w:w="2340"/>
          </w:tcPr>
          <w:p>
            <w:pPr>
              <w:spacing w:after="40"/>
            </w:pPr>
            <w:r>
              <w:rPr>
                <w:rFonts w:ascii="Calibri" w:hAnsi="Calibri"/>
                <w:b w:val="0"/>
                <w:i w:val="0"/>
              </w:rPr>
              <w:t>— Unavailable</w:t>
            </w:r>
          </w:p>
        </w:tc>
        <w:tc>
          <w:tcPr>
            <w:tcW w:type="dxa" w:w="2340"/>
          </w:tcPr>
          <w:p>
            <w:pPr>
              <w:spacing w:after="40"/>
            </w:pPr>
            <w:r>
              <w:rPr>
                <w:rFonts w:ascii="Calibri" w:hAnsi="Calibri"/>
                <w:b w:val="0"/>
                <w:i w:val="0"/>
              </w:rPr>
              <w:t>— Unavailable</w:t>
            </w:r>
          </w:p>
        </w:tc>
        <w:tc>
          <w:tcPr>
            <w:tcW w:type="dxa" w:w="2340"/>
          </w:tcPr>
          <w:p>
            <w:pPr>
              <w:spacing w:after="40"/>
            </w:pPr>
            <w:r>
              <w:rPr>
                <w:rFonts w:ascii="Calibri" w:hAnsi="Calibri"/>
                <w:b w:val="0"/>
                <w:i w:val="0"/>
              </w:rPr>
              <w:t>⏱ Last known only</w:t>
            </w:r>
          </w:p>
        </w:tc>
      </w:tr>
    </w:tbl>
    <w:p/>
    <w:p>
      <w:pPr>
        <w:spacing w:after="120"/>
      </w:pPr>
      <w:r>
        <w:rPr>
          <w:rFonts w:ascii="Calibri" w:hAnsi="Calibri"/>
          <w:b/>
          <w:i w:val="0"/>
        </w:rPr>
        <w:t>The Critical Asymmetry:</w:t>
      </w:r>
      <w:r>
        <w:rPr>
          <w:rFonts w:ascii="Calibri" w:hAnsi="Calibri"/>
          <w:b w:val="0"/>
          <w:i w:val="0"/>
        </w:rPr>
        <w:t xml:space="preserve"> Missing wearable data (Q3) is the more dangerous gap — not missing thermography. When wearable data is absent, the practitioner loses the ability to detect the Deceptive Readiness Zone entirely. An athlete can feel and appear ready while tissue stress builds invisibly. COMPASS explicitly labels this state rather than silently degrading to a two-zone system.</w:t>
      </w:r>
    </w:p>
    <w:p>
      <w:pPr/>
      <w:r>
        <w:rPr>
          <w:rFonts w:ascii="Calibri" w:hAnsi="Calibri"/>
          <w:b w:val="0"/>
          <w:i w:val="0"/>
        </w:rPr>
        <w:t>Section 07</w:t>
      </w:r>
    </w:p>
    <w:p>
      <w:pPr>
        <w:pStyle w:val="Heading1"/>
      </w:pPr>
      <w:r>
        <w:t>Clinical Decision Support System</w:t>
      </w:r>
    </w:p>
    <w:p>
      <w:pPr>
        <w:spacing w:after="120"/>
      </w:pPr>
      <w:r>
        <w:rPr>
          <w:rFonts w:ascii="Calibri" w:hAnsi="Calibri"/>
          <w:b w:val="0"/>
          <w:i w:val="0"/>
        </w:rPr>
        <w:t xml:space="preserve">The CDSS translates COMPASS zone classifications into practitioner-ready outputs across three time horizons, and powers the </w:t>
      </w:r>
      <w:r>
        <w:rPr>
          <w:rFonts w:ascii="Calibri" w:hAnsi="Calibri"/>
          <w:b/>
          <w:i w:val="0"/>
        </w:rPr>
        <w:t>Multimodal Reasoning Engine</w:t>
      </w:r>
      <w:r>
        <w:rPr>
          <w:rFonts w:ascii="Calibri" w:hAnsi="Calibri"/>
          <w:b w:val="0"/>
          <w:i w:val="0"/>
        </w:rPr>
        <w:t xml:space="preserve"> — an AI assistant that generates auditable explanations and tailored intervention plans for every assessment.</w:t>
      </w:r>
    </w:p>
    <w:p>
      <w:pPr/>
      <w:r>
        <w:rPr>
          <w:rFonts w:ascii="Calibri" w:hAnsi="Calibri"/>
          <w:b w:val="0"/>
          <w:i w:val="0"/>
        </w:rPr>
        <w:t>2</w:t>
      </w:r>
    </w:p>
    <w:p>
      <w:pPr/>
      <w:r>
        <w:rPr>
          <w:rFonts w:ascii="Calibri" w:hAnsi="Calibri"/>
          <w:b w:val="0"/>
          <w:i w:val="0"/>
        </w:rPr>
        <w:t>AI Outputs</w:t>
      </w:r>
      <w:r>
        <w:br/>
      </w:r>
      <w:r>
        <w:rPr>
          <w:rFonts w:ascii="Calibri" w:hAnsi="Calibri"/>
          <w:b w:val="0"/>
          <w:i w:val="0"/>
        </w:rPr>
        <w:t>Explanation + Plan</w:t>
      </w:r>
    </w:p>
    <w:p>
      <w:pPr/>
      <w:r>
        <w:rPr>
          <w:rFonts w:ascii="Calibri" w:hAnsi="Calibri"/>
          <w:b w:val="0"/>
          <w:i w:val="0"/>
        </w:rPr>
        <w:t>9+</w:t>
      </w:r>
    </w:p>
    <w:p>
      <w:pPr/>
      <w:r>
        <w:rPr>
          <w:rFonts w:ascii="Calibri" w:hAnsi="Calibri"/>
          <w:b w:val="0"/>
          <w:i w:val="0"/>
        </w:rPr>
        <w:t>Context Inputs</w:t>
      </w:r>
      <w:r>
        <w:br/>
      </w:r>
      <w:r>
        <w:rPr>
          <w:rFonts w:ascii="Calibri" w:hAnsi="Calibri"/>
          <w:b w:val="0"/>
          <w:i w:val="0"/>
        </w:rPr>
        <w:t>Signals &amp; metadata</w:t>
      </w:r>
    </w:p>
    <w:p>
      <w:pPr/>
      <w:r>
        <w:rPr>
          <w:rFonts w:ascii="Calibri" w:hAnsi="Calibri"/>
          <w:b w:val="0"/>
          <w:i w:val="0"/>
        </w:rPr>
        <w:t>4</w:t>
      </w:r>
    </w:p>
    <w:p>
      <w:pPr/>
      <w:r>
        <w:rPr>
          <w:rFonts w:ascii="Calibri" w:hAnsi="Calibri"/>
          <w:b w:val="0"/>
          <w:i w:val="0"/>
        </w:rPr>
        <w:t>Reasoning Paths</w:t>
      </w:r>
      <w:r>
        <w:br/>
      </w:r>
      <w:r>
        <w:rPr>
          <w:rFonts w:ascii="Calibri" w:hAnsi="Calibri"/>
          <w:b w:val="0"/>
          <w:i w:val="0"/>
        </w:rPr>
        <w:t>One per COMPASS zone</w:t>
      </w:r>
    </w:p>
    <w:p>
      <w:pPr/>
      <w:r>
        <w:rPr>
          <w:rFonts w:ascii="Calibri" w:hAnsi="Calibri"/>
          <w:b w:val="0"/>
          <w:i w:val="0"/>
        </w:rPr>
        <w:t>100%</w:t>
      </w:r>
    </w:p>
    <w:p>
      <w:pPr/>
      <w:r>
        <w:rPr>
          <w:rFonts w:ascii="Calibri" w:hAnsi="Calibri"/>
          <w:b w:val="0"/>
          <w:i w:val="0"/>
        </w:rPr>
        <w:t>Auditable</w:t>
      </w:r>
      <w:r>
        <w:br/>
      </w:r>
      <w:r>
        <w:rPr>
          <w:rFonts w:ascii="Calibri" w:hAnsi="Calibri"/>
          <w:b w:val="0"/>
          <w:i w:val="0"/>
        </w:rPr>
        <w:t>Named-signal traceability</w:t>
      </w:r>
    </w:p>
    <w:p>
      <w:pPr/>
      <w:r>
        <w:rPr>
          <w:rFonts w:ascii="Calibri" w:hAnsi="Calibri"/>
          <w:b w:val="0"/>
          <w:i w:val="0"/>
        </w:rPr>
        <w:t>🤖</w:t>
      </w:r>
    </w:p>
    <w:p>
      <w:pPr/>
      <w:r>
        <w:rPr>
          <w:rFonts w:ascii="Calibri" w:hAnsi="Calibri"/>
          <w:b w:val="0"/>
          <w:i w:val="0"/>
        </w:rPr>
        <w:t>Reasoning Engine Position in Pipeline</w:t>
      </w:r>
    </w:p>
    <w:p>
      <w:pPr>
        <w:spacing w:after="120"/>
      </w:pPr>
      <w:r>
        <w:rPr>
          <w:rFonts w:ascii="Calibri" w:hAnsi="Calibri"/>
          <w:b w:val="0"/>
          <w:i w:val="0"/>
        </w:rPr>
        <w:t xml:space="preserve">The Multimodal Reasoning Engine receives the fully computed </w:t>
      </w:r>
      <w:r>
        <w:rPr>
          <w:rFonts w:ascii="Courier New" w:hAnsi="Courier New"/>
          <w:b w:val="0"/>
          <w:i w:val="0"/>
          <w:sz w:val="18"/>
        </w:rPr>
        <w:t>compass_assessment</w:t>
      </w:r>
      <w:r>
        <w:rPr>
          <w:rFonts w:ascii="Calibri" w:hAnsi="Calibri"/>
          <w:b w:val="0"/>
          <w:i w:val="0"/>
        </w:rPr>
        <w:t xml:space="preserve"> object as a read-only input. It cannot alter COMPASS scores, zone assignments, or thresholds. All zone-classification logic remains deterministic and governed by Sections 02–04B. The engine's sole function is to </w:t>
      </w:r>
      <w:r>
        <w:rPr>
          <w:rFonts w:ascii="Calibri" w:hAnsi="Calibri"/>
          <w:b w:val="0"/>
          <w:i/>
        </w:rPr>
        <w:t>explain</w:t>
      </w:r>
      <w:r>
        <w:rPr>
          <w:rFonts w:ascii="Calibri" w:hAnsi="Calibri"/>
          <w:b w:val="0"/>
          <w:i w:val="0"/>
        </w:rPr>
        <w:t xml:space="preserve"> and </w:t>
      </w:r>
      <w:r>
        <w:rPr>
          <w:rFonts w:ascii="Calibri" w:hAnsi="Calibri"/>
          <w:b w:val="0"/>
          <w:i/>
        </w:rPr>
        <w:t>recommend</w:t>
      </w:r>
      <w:r>
        <w:rPr>
          <w:rFonts w:ascii="Calibri" w:hAnsi="Calibri"/>
          <w:b w:val="0"/>
          <w:i w:val="0"/>
        </w:rPr>
        <w:t xml:space="preserve"> based on that output.</w:t>
      </w:r>
    </w:p>
    <w:p>
      <w:pPr>
        <w:spacing w:after="120"/>
      </w:pPr>
      <w:r>
        <w:rPr>
          <w:rFonts w:ascii="Calibri" w:hAnsi="Calibri"/>
          <w:b w:val="0"/>
          <w:i w:val="0"/>
        </w:rPr>
        <w:t xml:space="preserve">The full COMPASS pipeline — from raw sensor inputs through zone classification to practitioner outputs — is defined once in </w:t>
      </w:r>
      <w:r>
        <w:rPr>
          <w:rFonts w:ascii="Calibri" w:hAnsi="Calibri"/>
          <w:b/>
          <w:i w:val="0"/>
        </w:rPr>
        <w:t>Section 03 — Framework Pipeline</w:t>
      </w:r>
      <w:r>
        <w:rPr>
          <w:rFonts w:ascii="Calibri" w:hAnsi="Calibri"/>
          <w:b w:val="0"/>
          <w:i w:val="0"/>
        </w:rPr>
        <w:t>. The CDSS operates as Stage F–G of that pipeline. Sections 7.1 and 7.2 detail what the reasoning engine produces for each zone.</w:t>
      </w:r>
    </w:p>
    <w:p>
      <w:pPr>
        <w:pStyle w:val="Heading2"/>
      </w:pPr>
      <w:r>
        <w:t>7.1 — Zone Action Guide</w:t>
      </w:r>
    </w:p>
    <w:p>
      <w:pPr>
        <w:spacing w:after="120"/>
      </w:pPr>
      <w:r>
        <w:rPr>
          <w:rFonts w:ascii="Calibri" w:hAnsi="Calibri"/>
          <w:b w:val="0"/>
          <w:i w:val="0"/>
        </w:rPr>
        <w:t>Each morning the system issues a zone classification and an AI-generated action plan. Each zone has a fixed traffic-light signal, a characteristic signal profile, and a corresponding intervention type.</w:t>
      </w:r>
    </w:p>
    <w:p>
      <w:pPr/>
      <w:r>
        <w:rPr>
          <w:rFonts w:ascii="Calibri" w:hAnsi="Calibri"/>
          <w:b w:val="0"/>
          <w:i w:val="0"/>
        </w:rPr>
        <w:t>Safe · 76–100</w:t>
      </w:r>
    </w:p>
    <w:p>
      <w:pPr>
        <w:pStyle w:val="Heading3"/>
      </w:pPr>
      <w:r>
        <w:t>Safe Zone</w:t>
      </w:r>
    </w:p>
    <w:p>
      <w:pPr>
        <w:spacing w:after="120"/>
      </w:pPr>
      <w:r>
        <w:rPr>
          <w:rFonts w:ascii="Calibri" w:hAnsi="Calibri"/>
          <w:b/>
          <w:i w:val="0"/>
        </w:rPr>
        <w:t>Signals:</w:t>
      </w:r>
      <w:r>
        <w:rPr>
          <w:rFonts w:ascii="Calibri" w:hAnsi="Calibri"/>
          <w:b w:val="0"/>
          <w:i w:val="0"/>
        </w:rPr>
        <w:t xml:space="preserve"> Systemic readiness clear · Thermal asymmetry clear</w:t>
      </w:r>
    </w:p>
    <w:p>
      <w:pPr>
        <w:spacing w:after="120"/>
      </w:pPr>
      <w:r>
        <w:rPr>
          <w:rFonts w:ascii="Calibri" w:hAnsi="Calibri"/>
          <w:b/>
          <w:i w:val="0"/>
        </w:rPr>
        <w:t>Plan:</w:t>
      </w:r>
      <w:r>
        <w:rPr>
          <w:rFonts w:ascii="Calibri" w:hAnsi="Calibri"/>
          <w:b w:val="0"/>
          <w:i w:val="0"/>
        </w:rPr>
        <w:t xml:space="preserve"> Maintenance + Monitoring. Full training load permitted. Engine reinforces behaviours sustaining Safe status and sets next scan cadence.</w:t>
      </w:r>
    </w:p>
    <w:p>
      <w:pPr/>
      <w:r>
        <w:rPr>
          <w:rFonts w:ascii="Calibri" w:hAnsi="Calibri"/>
          <w:b w:val="0"/>
          <w:i w:val="0"/>
        </w:rPr>
        <w:t>Scan: 7–10 days</w:t>
      </w:r>
      <w:r>
        <w:rPr>
          <w:rFonts w:ascii="Calibri" w:hAnsi="Calibri"/>
          <w:b w:val="0"/>
          <w:i w:val="0"/>
        </w:rPr>
        <w:t>Load: Unrestricted</w:t>
      </w:r>
      <w:r>
        <w:rPr>
          <w:rFonts w:ascii="Calibri" w:hAnsi="Calibri"/>
          <w:b w:val="0"/>
          <w:i w:val="0"/>
        </w:rPr>
        <w:t>Physio: Elective</w:t>
      </w:r>
    </w:p>
    <w:p>
      <w:pPr/>
      <w:r>
        <w:rPr>
          <w:rFonts w:ascii="Calibri" w:hAnsi="Calibri"/>
          <w:b w:val="0"/>
          <w:i w:val="0"/>
        </w:rPr>
        <w:t>Recovery · 51–75</w:t>
      </w:r>
    </w:p>
    <w:p>
      <w:pPr>
        <w:pStyle w:val="Heading3"/>
      </w:pPr>
      <w:r>
        <w:t>Recovery Zone</w:t>
      </w:r>
    </w:p>
    <w:p>
      <w:pPr>
        <w:spacing w:after="120"/>
      </w:pPr>
      <w:r>
        <w:rPr>
          <w:rFonts w:ascii="Calibri" w:hAnsi="Calibri"/>
          <w:b/>
          <w:i w:val="0"/>
        </w:rPr>
        <w:t>Signals:</w:t>
      </w:r>
      <w:r>
        <w:rPr>
          <w:rFonts w:ascii="Calibri" w:hAnsi="Calibri"/>
          <w:b w:val="0"/>
          <w:i w:val="0"/>
        </w:rPr>
        <w:t xml:space="preserve"> Systemic fatigued (HRV suppressed) · Thermal clear</w:t>
      </w:r>
    </w:p>
    <w:p>
      <w:pPr>
        <w:spacing w:after="120"/>
      </w:pPr>
      <w:r>
        <w:rPr>
          <w:rFonts w:ascii="Calibri" w:hAnsi="Calibri"/>
          <w:b/>
          <w:i w:val="0"/>
        </w:rPr>
        <w:t>Plan:</w:t>
      </w:r>
      <w:r>
        <w:rPr>
          <w:rFonts w:ascii="Calibri" w:hAnsi="Calibri"/>
          <w:b w:val="0"/>
          <w:i w:val="0"/>
        </w:rPr>
        <w:t xml:space="preserve"> Workout Modification. Engine produces a volume-reduced training plan with ACWR targets, active recovery modalities, and sleep/HRV optimisation guidance.</w:t>
      </w:r>
    </w:p>
    <w:p>
      <w:pPr/>
      <w:r>
        <w:rPr>
          <w:rFonts w:ascii="Calibri" w:hAnsi="Calibri"/>
          <w:b w:val="0"/>
          <w:i w:val="0"/>
        </w:rPr>
        <w:t>Scan: 5–7 days</w:t>
      </w:r>
      <w:r>
        <w:rPr>
          <w:rFonts w:ascii="Calibri" w:hAnsi="Calibri"/>
          <w:b w:val="0"/>
          <w:i w:val="0"/>
        </w:rPr>
        <w:t>Load: Reduced</w:t>
      </w:r>
      <w:r>
        <w:rPr>
          <w:rFonts w:ascii="Calibri" w:hAnsi="Calibri"/>
          <w:b w:val="0"/>
          <w:i w:val="0"/>
        </w:rPr>
        <w:t>Physio: Optional</w:t>
      </w:r>
    </w:p>
    <w:p>
      <w:pPr/>
      <w:r>
        <w:rPr>
          <w:rFonts w:ascii="Calibri" w:hAnsi="Calibri"/>
          <w:b w:val="0"/>
          <w:i w:val="0"/>
        </w:rPr>
        <w:t>Deceptive · 26–50</w:t>
      </w:r>
    </w:p>
    <w:p>
      <w:pPr>
        <w:pStyle w:val="Heading3"/>
      </w:pPr>
      <w:r>
        <w:t>Deceptive Readiness</w:t>
      </w:r>
    </w:p>
    <w:p>
      <w:pPr>
        <w:spacing w:after="120"/>
      </w:pPr>
      <w:r>
        <w:rPr>
          <w:rFonts w:ascii="Calibri" w:hAnsi="Calibri"/>
          <w:b/>
          <w:i w:val="0"/>
        </w:rPr>
        <w:t>Signals:</w:t>
      </w:r>
      <w:r>
        <w:rPr>
          <w:rFonts w:ascii="Calibri" w:hAnsi="Calibri"/>
          <w:b w:val="0"/>
          <w:i w:val="0"/>
        </w:rPr>
        <w:t xml:space="preserve"> Systemic ready · Thermal inflamed — athlete feels ready, tissue is stressed</w:t>
      </w:r>
    </w:p>
    <w:p>
      <w:pPr>
        <w:spacing w:after="120"/>
      </w:pPr>
      <w:r>
        <w:rPr>
          <w:rFonts w:ascii="Calibri" w:hAnsi="Calibri"/>
          <w:b/>
          <w:i w:val="0"/>
        </w:rPr>
        <w:t>Plan:</w:t>
      </w:r>
      <w:r>
        <w:rPr>
          <w:rFonts w:ascii="Calibri" w:hAnsi="Calibri"/>
          <w:b w:val="0"/>
          <w:i w:val="0"/>
        </w:rPr>
        <w:t xml:space="preserve"> Physio (Primary) + Load Modification. Physiotherapy assessment is mandatory before any intensity increase. Engine targets flagged regions with a conservative load plan.</w:t>
      </w:r>
    </w:p>
    <w:p>
      <w:pPr/>
      <w:r>
        <w:rPr>
          <w:rFonts w:ascii="Calibri" w:hAnsi="Calibri"/>
          <w:b w:val="0"/>
          <w:i w:val="0"/>
        </w:rPr>
        <w:t>Scan: 3–5 days</w:t>
      </w:r>
      <w:r>
        <w:rPr>
          <w:rFonts w:ascii="Calibri" w:hAnsi="Calibri"/>
          <w:b w:val="0"/>
          <w:i w:val="0"/>
        </w:rPr>
        <w:t>Load: Conservative</w:t>
      </w:r>
      <w:r>
        <w:rPr>
          <w:rFonts w:ascii="Calibri" w:hAnsi="Calibri"/>
          <w:b w:val="0"/>
          <w:i w:val="0"/>
        </w:rPr>
        <w:t>Physio: Mandatory</w:t>
      </w:r>
    </w:p>
    <w:p>
      <w:pPr/>
      <w:r>
        <w:rPr>
          <w:rFonts w:ascii="Calibri" w:hAnsi="Calibri"/>
          <w:b w:val="0"/>
          <w:i w:val="0"/>
        </w:rPr>
        <w:t>Danger · 0–25</w:t>
      </w:r>
    </w:p>
    <w:p>
      <w:pPr>
        <w:pStyle w:val="Heading3"/>
      </w:pPr>
      <w:r>
        <w:t>Danger Zone</w:t>
      </w:r>
    </w:p>
    <w:p>
      <w:pPr>
        <w:spacing w:after="120"/>
      </w:pPr>
      <w:r>
        <w:rPr>
          <w:rFonts w:ascii="Calibri" w:hAnsi="Calibri"/>
          <w:b/>
          <w:i w:val="0"/>
        </w:rPr>
        <w:t>Signals:</w:t>
      </w:r>
      <w:r>
        <w:rPr>
          <w:rFonts w:ascii="Calibri" w:hAnsi="Calibri"/>
          <w:b w:val="0"/>
          <w:i w:val="0"/>
        </w:rPr>
        <w:t xml:space="preserve"> Systemic fatigued · Thermal inflamed — both axes critical</w:t>
      </w:r>
    </w:p>
    <w:p>
      <w:pPr>
        <w:spacing w:after="120"/>
      </w:pPr>
      <w:r>
        <w:rPr>
          <w:rFonts w:ascii="Calibri" w:hAnsi="Calibri"/>
          <w:b/>
          <w:i w:val="0"/>
        </w:rPr>
        <w:t>Plan:</w:t>
      </w:r>
      <w:r>
        <w:rPr>
          <w:rFonts w:ascii="Calibri" w:hAnsi="Calibri"/>
          <w:b w:val="0"/>
          <w:i w:val="0"/>
        </w:rPr>
        <w:t xml:space="preserve"> Combined Plan + Mandatory Clinical Review. Engine generates a full physio + systemic recovery plan and raises a clinical review flag. No load plan is issued until a clinician clears the trigger.</w:t>
      </w:r>
    </w:p>
    <w:p>
      <w:pPr/>
      <w:r>
        <w:rPr>
          <w:rFonts w:ascii="Calibri" w:hAnsi="Calibri"/>
          <w:b w:val="0"/>
          <w:i w:val="0"/>
        </w:rPr>
        <w:t>Scan: 2–3 days</w:t>
      </w:r>
      <w:r>
        <w:rPr>
          <w:rFonts w:ascii="Calibri" w:hAnsi="Calibri"/>
          <w:b w:val="0"/>
          <w:i w:val="0"/>
        </w:rPr>
        <w:t>Load: Mandatory Stop</w:t>
      </w:r>
      <w:r>
        <w:rPr>
          <w:rFonts w:ascii="Calibri" w:hAnsi="Calibri"/>
          <w:b w:val="0"/>
          <w:i w:val="0"/>
        </w:rPr>
        <w:t>Physio: Urgent</w:t>
      </w:r>
    </w:p>
    <w:p>
      <w:pPr>
        <w:spacing w:after="120"/>
      </w:pPr>
      <w:r>
        <w:rPr>
          <w:rFonts w:ascii="Calibri" w:hAnsi="Calibri"/>
          <w:b/>
          <w:i w:val="0"/>
        </w:rPr>
        <w:t>Why 🟠 and 🟡 Amber Are Not the Same:</w:t>
      </w:r>
      <w:r>
        <w:rPr>
          <w:rFonts w:ascii="Calibri" w:hAnsi="Calibri"/>
          <w:b w:val="0"/>
          <w:i w:val="0"/>
        </w:rPr>
        <w:t xml:space="preserve"> Conventional systems collapse Recovery and Deceptive Readiness into a single amber. Recovery needs rest — Deceptive Readiness needs urgent region-specific physio. The systemic readiness signal is actively misleading in the Deceptive zone; acting on it without thermal context is the primary injury-risk scenario this framework is designed to prevent.</w:t>
      </w:r>
    </w:p>
    <w:p>
      <w:pPr/>
      <w:r>
        <w:rPr>
          <w:rFonts w:ascii="Calibri" w:hAnsi="Calibri"/>
          <w:b w:val="0"/>
          <w:i w:val="0"/>
        </w:rPr>
        <w:t>Section 7.2</w:t>
      </w:r>
    </w:p>
    <w:p>
      <w:pPr>
        <w:pStyle w:val="Heading2"/>
      </w:pPr>
      <w:r>
        <w:t>Zone Trajectory: Movement Matters</w:t>
      </w:r>
    </w:p>
    <w:p>
      <w:pPr>
        <w:spacing w:after="120"/>
      </w:pPr>
      <w:r>
        <w:rPr>
          <w:rFonts w:ascii="Calibri" w:hAnsi="Calibri"/>
          <w:b w:val="0"/>
          <w:i w:val="0"/>
        </w:rPr>
        <w:t>A single zone reading is a snapshot. What drives clinical urgency is movement: the rate and direction of change on each axis is as important as the current position.</w:t>
      </w:r>
    </w:p>
    <w:p>
      <w:pPr>
        <w:spacing w:before="120" w:after="120"/>
      </w:pPr>
      <w:r>
        <w:rPr>
          <w:rFonts w:ascii="Calibri" w:hAnsi="Calibri"/>
          <w:b/>
          <w:i/>
        </w:rPr>
        <w:t>[Chart: Illustrative Zone Trajectories — 14-Day Athlete Monitoring Window]</w:t>
      </w:r>
    </w:p>
    <w:p>
      <w:pPr>
        <w:spacing w:after="120"/>
      </w:pPr>
      <w:r>
        <w:rPr>
          <w:rFonts w:ascii="Calibri" w:hAnsi="Calibri"/>
          <w:b/>
          <w:i w:val="0"/>
        </w:rPr>
        <w:t>The Clinical Question Is Not "Where Are They?" But "Where Are They Going?"</w:t>
      </w:r>
      <w:r>
        <w:rPr>
          <w:rFonts w:ascii="Calibri" w:hAnsi="Calibri"/>
          <w:b w:val="0"/>
          <w:i w:val="0"/>
        </w:rPr>
        <w:t xml:space="preserve"> Zone position tells you what to do today. Zone trajectory tells you how urgently to do it, and whether the current clinical strategy is working. Both views are essential for effective athlete management.</w:t>
      </w:r>
    </w:p>
    <w:p>
      <w:pPr/>
      <w:r>
        <w:rPr>
          <w:rFonts w:ascii="Calibri" w:hAnsi="Calibri"/>
          <w:b w:val="0"/>
          <w:i w:val="0"/>
        </w:rPr>
        <w:t>Section 7.3</w:t>
      </w:r>
    </w:p>
    <w:p>
      <w:pPr>
        <w:pStyle w:val="Heading2"/>
      </w:pPr>
      <w:r>
        <w:t>Scan Frequency Recommendations</w:t>
      </w:r>
    </w:p>
    <w:p>
      <w:pPr>
        <w:spacing w:after="120"/>
      </w:pPr>
      <w:r>
        <w:rPr>
          <w:rFonts w:ascii="Calibri" w:hAnsi="Calibri"/>
          <w:b w:val="0"/>
          <w:i w:val="0"/>
        </w:rPr>
        <w:t>The zone in which an athlete is currently classified directly determines how soon the next thermography assessment is scheduled.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Clinical Context</w:t>
            </w:r>
          </w:p>
        </w:tc>
        <w:tc>
          <w:tcPr>
            <w:tcW w:type="dxa" w:w="3120"/>
          </w:tcPr>
          <w:p>
            <w:pPr>
              <w:spacing w:after="40"/>
            </w:pPr>
            <w:r>
              <w:rPr>
                <w:rFonts w:ascii="Calibri" w:hAnsi="Calibri"/>
                <w:b/>
                <w:i w:val="0"/>
              </w:rPr>
              <w:t>Scan Interval</w:t>
            </w:r>
          </w:p>
        </w:tc>
        <w:tc>
          <w:tcPr>
            <w:tcW w:type="dxa" w:w="3120"/>
          </w:tcPr>
          <w:p>
            <w:pPr>
              <w:spacing w:after="40"/>
            </w:pPr>
            <w:r>
              <w:rPr>
                <w:rFonts w:ascii="Calibri" w:hAnsi="Calibri"/>
                <w:b/>
                <w:i w:val="0"/>
              </w:rPr>
              <w:t>Rationale</w:t>
            </w:r>
          </w:p>
        </w:tc>
      </w:tr>
      <w:tr>
        <w:tc>
          <w:tcPr>
            <w:tcW w:type="dxa" w:w="3120"/>
          </w:tcPr>
          <w:p>
            <w:pPr>
              <w:spacing w:after="40"/>
            </w:pPr>
            <w:r>
              <w:rPr>
                <w:rFonts w:ascii="Calibri" w:hAnsi="Calibri"/>
                <w:b w:val="0"/>
                <w:i w:val="0"/>
              </w:rPr>
              <w:t>Safe Zone</w:t>
            </w:r>
          </w:p>
        </w:tc>
        <w:tc>
          <w:tcPr>
            <w:tcW w:type="dxa" w:w="3120"/>
          </w:tcPr>
          <w:p>
            <w:pPr>
              <w:spacing w:after="40"/>
            </w:pPr>
            <w:r>
              <w:rPr>
                <w:rFonts w:ascii="Calibri" w:hAnsi="Calibri"/>
                <w:b w:val="0"/>
                <w:i w:val="0"/>
              </w:rPr>
              <w:t>Weekly</w:t>
            </w:r>
          </w:p>
        </w:tc>
        <w:tc>
          <w:tcPr>
            <w:tcW w:type="dxa" w:w="3120"/>
          </w:tcPr>
          <w:p>
            <w:pPr>
              <w:spacing w:after="40"/>
            </w:pPr>
            <w:r>
              <w:rPr>
                <w:rFonts w:ascii="Calibri" w:hAnsi="Calibri"/>
                <w:b w:val="0"/>
                <w:i w:val="0"/>
              </w:rPr>
              <w:t xml:space="preserve">Baseline monitoring; no active risk signal </w:t>
            </w:r>
            <w:r>
              <w:rPr>
                <w:rFonts w:ascii="Calibri" w:hAnsi="Calibri"/>
                <w:b w:val="0"/>
                <w:i w:val="0"/>
              </w:rPr>
              <w:t>[design assumption]</w:t>
            </w:r>
          </w:p>
        </w:tc>
      </w:tr>
      <w:tr>
        <w:tc>
          <w:tcPr>
            <w:tcW w:type="dxa" w:w="3120"/>
          </w:tcPr>
          <w:p>
            <w:pPr>
              <w:spacing w:after="40"/>
            </w:pPr>
            <w:r>
              <w:rPr>
                <w:rFonts w:ascii="Calibri" w:hAnsi="Calibri"/>
                <w:b w:val="0"/>
                <w:i w:val="0"/>
              </w:rPr>
              <w:t>Recovery Zone</w:t>
            </w:r>
          </w:p>
        </w:tc>
        <w:tc>
          <w:tcPr>
            <w:tcW w:type="dxa" w:w="3120"/>
          </w:tcPr>
          <w:p>
            <w:pPr>
              <w:spacing w:after="40"/>
            </w:pPr>
            <w:r>
              <w:rPr>
                <w:rFonts w:ascii="Calibri" w:hAnsi="Calibri"/>
                <w:b w:val="0"/>
                <w:i w:val="0"/>
              </w:rPr>
              <w:t>Weekly</w:t>
            </w:r>
          </w:p>
        </w:tc>
        <w:tc>
          <w:tcPr>
            <w:tcW w:type="dxa" w:w="3120"/>
          </w:tcPr>
          <w:p>
            <w:pPr>
              <w:spacing w:after="40"/>
            </w:pPr>
            <w:r>
              <w:rPr>
                <w:rFonts w:ascii="Calibri" w:hAnsi="Calibri"/>
                <w:b w:val="0"/>
                <w:i w:val="0"/>
              </w:rPr>
              <w:t xml:space="preserve">Systemic fatigue concern; maintains vigilance during vulnerable recovery window </w:t>
            </w:r>
            <w:r>
              <w:rPr>
                <w:rFonts w:ascii="Calibri" w:hAnsi="Calibri"/>
                <w:b w:val="0"/>
                <w:i w:val="0"/>
              </w:rPr>
              <w:t>[design assumption]</w:t>
            </w:r>
          </w:p>
        </w:tc>
      </w:tr>
      <w:tr>
        <w:tc>
          <w:tcPr>
            <w:tcW w:type="dxa" w:w="3120"/>
          </w:tcPr>
          <w:p>
            <w:pPr>
              <w:spacing w:after="40"/>
            </w:pPr>
            <w:r>
              <w:rPr>
                <w:rFonts w:ascii="Calibri" w:hAnsi="Calibri"/>
                <w:b w:val="0"/>
                <w:i w:val="0"/>
              </w:rPr>
              <w:t>Deceptive Readiness</w:t>
            </w:r>
          </w:p>
        </w:tc>
        <w:tc>
          <w:tcPr>
            <w:tcW w:type="dxa" w:w="3120"/>
          </w:tcPr>
          <w:p>
            <w:pPr>
              <w:spacing w:after="40"/>
            </w:pPr>
            <w:r>
              <w:rPr>
                <w:rFonts w:ascii="Calibri" w:hAnsi="Calibri"/>
                <w:b w:val="0"/>
                <w:i w:val="0"/>
              </w:rPr>
              <w:t>Every 3–4 days</w:t>
            </w:r>
          </w:p>
        </w:tc>
        <w:tc>
          <w:tcPr>
            <w:tcW w:type="dxa" w:w="3120"/>
          </w:tcPr>
          <w:p>
            <w:pPr>
              <w:spacing w:after="40"/>
            </w:pPr>
            <w:r>
              <w:rPr>
                <w:rFonts w:ascii="Calibri" w:hAnsi="Calibri"/>
                <w:b w:val="0"/>
                <w:i w:val="0"/>
              </w:rPr>
              <w:t xml:space="preserve">Elevated thermal risk with suppressed subjective awareness; high urgency to track trajectory </w:t>
            </w:r>
            <w:r>
              <w:rPr>
                <w:rFonts w:ascii="Calibri" w:hAnsi="Calibri"/>
                <w:b w:val="0"/>
                <w:i w:val="0"/>
              </w:rPr>
              <w:t>[↗ Gómez-Carmona 2020 — daily protocol; Arnaiz-Lastras 2019 — twice weekly]</w:t>
            </w:r>
          </w:p>
        </w:tc>
      </w:tr>
      <w:tr>
        <w:tc>
          <w:tcPr>
            <w:tcW w:type="dxa" w:w="3120"/>
          </w:tcPr>
          <w:p>
            <w:pPr>
              <w:spacing w:after="40"/>
            </w:pPr>
            <w:r>
              <w:rPr>
                <w:rFonts w:ascii="Calibri" w:hAnsi="Calibri"/>
                <w:b w:val="0"/>
                <w:i w:val="0"/>
              </w:rPr>
              <w:t>Danger Zone</w:t>
            </w:r>
          </w:p>
        </w:tc>
        <w:tc>
          <w:tcPr>
            <w:tcW w:type="dxa" w:w="3120"/>
          </w:tcPr>
          <w:p>
            <w:pPr>
              <w:spacing w:after="40"/>
            </w:pPr>
            <w:r>
              <w:rPr>
                <w:rFonts w:ascii="Calibri" w:hAnsi="Calibri"/>
                <w:b w:val="0"/>
                <w:i w:val="0"/>
              </w:rPr>
              <w:t>Within 3 days, then every 2–3 days</w:t>
            </w:r>
          </w:p>
        </w:tc>
        <w:tc>
          <w:tcPr>
            <w:tcW w:type="dxa" w:w="3120"/>
          </w:tcPr>
          <w:p>
            <w:pPr>
              <w:spacing w:after="40"/>
            </w:pPr>
            <w:r>
              <w:rPr>
                <w:rFonts w:ascii="Calibri" w:hAnsi="Calibri"/>
                <w:b w:val="0"/>
                <w:i w:val="0"/>
              </w:rPr>
              <w:t xml:space="preserve">Acute combined risk; thermal trajectory essential for clinical decision-making </w:t>
            </w:r>
            <w:r>
              <w:rPr>
                <w:rFonts w:ascii="Calibri" w:hAnsi="Calibri"/>
                <w:b w:val="0"/>
                <w:i w:val="0"/>
              </w:rPr>
              <w:t>[↗ Gómez-Carmona 2020 — daily protocol supports high-frequency scanning at peak risk]</w:t>
            </w:r>
          </w:p>
        </w:tc>
      </w:tr>
      <w:tr>
        <w:tc>
          <w:tcPr>
            <w:tcW w:type="dxa" w:w="3120"/>
          </w:tcPr>
          <w:p>
            <w:pPr>
              <w:spacing w:after="40"/>
            </w:pPr>
            <w:r>
              <w:rPr>
                <w:rFonts w:ascii="Calibri" w:hAnsi="Calibri"/>
                <w:b w:val="0"/>
                <w:i w:val="0"/>
              </w:rPr>
              <w:t>🏥 Return-to-Sport Rehab</w:t>
            </w:r>
          </w:p>
        </w:tc>
        <w:tc>
          <w:tcPr>
            <w:tcW w:type="dxa" w:w="3120"/>
          </w:tcPr>
          <w:p>
            <w:pPr>
              <w:spacing w:after="40"/>
            </w:pPr>
            <w:r>
              <w:rPr>
                <w:rFonts w:ascii="Calibri" w:hAnsi="Calibri"/>
                <w:b w:val="0"/>
                <w:i w:val="0"/>
              </w:rPr>
              <w:t>Twice weekly</w:t>
            </w:r>
          </w:p>
        </w:tc>
        <w:tc>
          <w:tcPr>
            <w:tcW w:type="dxa" w:w="3120"/>
          </w:tcPr>
          <w:p>
            <w:pPr>
              <w:spacing w:after="40"/>
            </w:pPr>
            <w:r>
              <w:rPr>
                <w:rFonts w:ascii="Calibri" w:hAnsi="Calibri"/>
                <w:b w:val="0"/>
                <w:i w:val="0"/>
              </w:rPr>
              <w:t xml:space="preserve">Enhanced sensitivity required for progressive load decisions during active rehabilitation </w:t>
            </w:r>
            <w:r>
              <w:rPr>
                <w:rFonts w:ascii="Calibri" w:hAnsi="Calibri"/>
                <w:b w:val="0"/>
                <w:i w:val="0"/>
              </w:rPr>
              <w:t>[↗ Arnaiz-Lastras 2019 — twice weekly post-match; Frontiers 2024 systematic review]</w:t>
            </w:r>
          </w:p>
        </w:tc>
      </w:tr>
    </w:tbl>
    <w:p/>
    <w:p>
      <w:pPr/>
      <w:r>
        <w:rPr>
          <w:rFonts w:ascii="Calibri" w:hAnsi="Calibri"/>
          <w:b w:val="0"/>
          <w:i w:val="0"/>
        </w:rPr>
        <w:t>📋</w:t>
      </w:r>
    </w:p>
    <w:p>
      <w:pPr/>
      <w:r>
        <w:rPr>
          <w:rFonts w:ascii="Calibri" w:hAnsi="Calibri"/>
          <w:b w:val="0"/>
          <w:i w:val="0"/>
        </w:rPr>
        <w:t>Evidence Note — Scan Intervals</w:t>
      </w:r>
    </w:p>
    <w:p>
      <w:pPr>
        <w:spacing w:after="120"/>
      </w:pPr>
      <w:r>
        <w:rPr>
          <w:rFonts w:ascii="Calibri" w:hAnsi="Calibri"/>
          <w:b w:val="0"/>
          <w:i w:val="0"/>
        </w:rPr>
        <w:t xml:space="preserve">The literature supports the </w:t>
      </w:r>
      <w:r>
        <w:rPr>
          <w:rFonts w:ascii="Calibri" w:hAnsi="Calibri"/>
          <w:b w:val="0"/>
          <w:i/>
        </w:rPr>
        <w:t>direction</w:t>
      </w:r>
      <w:r>
        <w:rPr>
          <w:rFonts w:ascii="Calibri" w:hAnsi="Calibri"/>
          <w:b w:val="0"/>
          <w:i w:val="0"/>
        </w:rPr>
        <w:t xml:space="preserve"> of these recommendations — higher clinical risk warrants higher scan frequency — but does not prescribe specific day-interval values. Gómez-Carmona et al. (2020, </w:t>
      </w:r>
      <w:r>
        <w:rPr>
          <w:rFonts w:ascii="Calibri" w:hAnsi="Calibri"/>
          <w:b w:val="0"/>
          <w:i/>
        </w:rPr>
        <w:t>Journal of Sport Rehabilitation</w:t>
      </w:r>
      <w:r>
        <w:rPr>
          <w:rFonts w:ascii="Calibri" w:hAnsi="Calibri"/>
          <w:b w:val="0"/>
          <w:i w:val="0"/>
        </w:rPr>
        <w:t>) used daily scanning and achieved a 60% injury reduction; Arnaiz-Lastras et al. (2019) applied twice-weekly scanning and triggered prevention protocols at &gt;0.4°C asymmetry. The specific intervals in this table (3–4 days, 2–3 days) are framework design decisions interpolated from this evidence base. Clinical leads should treat them as adjustable defaults. See Appendix A, Section 1.6.</w:t>
      </w:r>
    </w:p>
    <w:p>
      <w:pPr/>
      <w:r>
        <w:rPr>
          <w:rFonts w:ascii="Calibri" w:hAnsi="Calibri"/>
          <w:b w:val="0"/>
          <w:i w:val="0"/>
        </w:rPr>
        <w:t>Section 7.4</w:t>
      </w:r>
    </w:p>
    <w:p>
      <w:pPr>
        <w:pStyle w:val="Heading2"/>
      </w:pPr>
      <w:r>
        <w:t>Return-to-Play &amp; Injury Monitoring Protocol</w:t>
      </w:r>
    </w:p>
    <w:p>
      <w:pPr>
        <w:spacing w:after="120"/>
      </w:pPr>
      <w:r>
        <w:rPr>
          <w:rFonts w:ascii="Calibri" w:hAnsi="Calibri"/>
          <w:b w:val="0"/>
          <w:i w:val="0"/>
        </w:rPr>
        <w:t xml:space="preserve">COMPASS operates in two distinct clinical modes. </w:t>
      </w:r>
      <w:r>
        <w:rPr>
          <w:rFonts w:ascii="Calibri" w:hAnsi="Calibri"/>
          <w:b/>
          <w:i w:val="0"/>
        </w:rPr>
        <w:t>Prevention mode</w:t>
      </w:r>
      <w:r>
        <w:rPr>
          <w:rFonts w:ascii="Calibri" w:hAnsi="Calibri"/>
          <w:b w:val="0"/>
          <w:i w:val="0"/>
        </w:rPr>
        <w:t xml:space="preserve"> (default) identifies hidden injury risk in active athletes. </w:t>
      </w:r>
      <w:r>
        <w:rPr>
          <w:rFonts w:ascii="Calibri" w:hAnsi="Calibri"/>
          <w:b/>
          <w:i w:val="0"/>
        </w:rPr>
        <w:t>Monitoring mode</w:t>
      </w:r>
      <w:r>
        <w:rPr>
          <w:rFonts w:ascii="Calibri" w:hAnsi="Calibri"/>
          <w:b w:val="0"/>
          <w:i w:val="0"/>
        </w:rPr>
        <w:t xml:space="preserve"> activates after a confirmed injury: the same dual-signal architecture tracks tissue healing progress and loads tolerance through each rehabilitation phase, replacing subjective clinical feel with objective thermal-physiological gates.</w:t>
      </w:r>
    </w:p>
    <w:p>
      <w:pPr>
        <w:spacing w:after="120"/>
      </w:pPr>
      <w:r>
        <w:rPr>
          <w:rFonts w:ascii="Calibri" w:hAnsi="Calibri"/>
          <w:b w:val="0"/>
          <w:i w:val="0"/>
        </w:rPr>
        <w:t>The same thermal scan that detects hidden tissue stress before injury becomes the most objective tool available for governing the return-to-play decision. Individual baselines established during the prevention phase carry directly into monitoring mode — the data continuity is a core clinical advantage.</w:t>
      </w:r>
    </w:p>
    <w:p>
      <w:pPr/>
      <w:r>
        <w:rPr>
          <w:rFonts w:ascii="Calibri" w:hAnsi="Calibri"/>
          <w:b w:val="0"/>
          <w:i w:val="0"/>
        </w:rPr>
        <w:t>Section 7.4.1</w:t>
      </w:r>
    </w:p>
    <w:p>
      <w:pPr>
        <w:pStyle w:val="Heading3"/>
      </w:pPr>
      <w:r>
        <w:t>Two Clinical Modes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Calibri" w:hAnsi="Calibri"/>
                <w:b/>
                <w:i w:val="0"/>
              </w:rPr>
              <w:t>Mode</w:t>
            </w:r>
          </w:p>
        </w:tc>
        <w:tc>
          <w:tcPr>
            <w:tcW w:type="dxa" w:w="2340"/>
          </w:tcPr>
          <w:p>
            <w:pPr>
              <w:spacing w:after="40"/>
            </w:pPr>
            <w:r>
              <w:rPr>
                <w:rFonts w:ascii="Calibri" w:hAnsi="Calibri"/>
                <w:b/>
                <w:i w:val="0"/>
              </w:rPr>
              <w:t>Trigger</w:t>
            </w:r>
          </w:p>
        </w:tc>
        <w:tc>
          <w:tcPr>
            <w:tcW w:type="dxa" w:w="2340"/>
          </w:tcPr>
          <w:p>
            <w:pPr>
              <w:spacing w:after="40"/>
            </w:pPr>
            <w:r>
              <w:rPr>
                <w:rFonts w:ascii="Calibri" w:hAnsi="Calibri"/>
                <w:b/>
                <w:i w:val="0"/>
              </w:rPr>
              <w:t>Primary Signal</w:t>
            </w:r>
          </w:p>
        </w:tc>
        <w:tc>
          <w:tcPr>
            <w:tcW w:type="dxa" w:w="2340"/>
          </w:tcPr>
          <w:p>
            <w:pPr>
              <w:spacing w:after="40"/>
            </w:pPr>
            <w:r>
              <w:rPr>
                <w:rFonts w:ascii="Calibri" w:hAnsi="Calibri"/>
                <w:b/>
                <w:i w:val="0"/>
              </w:rPr>
              <w:t>Clinical Question</w:t>
            </w:r>
          </w:p>
        </w:tc>
      </w:tr>
      <w:tr>
        <w:tc>
          <w:tcPr>
            <w:tcW w:type="dxa" w:w="2340"/>
          </w:tcPr>
          <w:p>
            <w:pPr>
              <w:spacing w:after="40"/>
            </w:pPr>
            <w:r>
              <w:rPr>
                <w:rFonts w:ascii="Calibri" w:hAnsi="Calibri"/>
                <w:b/>
                <w:i w:val="0"/>
              </w:rPr>
              <w:t>Prevention</w:t>
            </w:r>
          </w:p>
        </w:tc>
        <w:tc>
          <w:tcPr>
            <w:tcW w:type="dxa" w:w="2340"/>
          </w:tcPr>
          <w:p>
            <w:pPr>
              <w:spacing w:after="40"/>
            </w:pPr>
            <w:r>
              <w:rPr>
                <w:rFonts w:ascii="Calibri" w:hAnsi="Calibri"/>
                <w:b w:val="0"/>
                <w:i w:val="0"/>
              </w:rPr>
              <w:t>Default — active, uninjured athlete</w:t>
            </w:r>
          </w:p>
        </w:tc>
        <w:tc>
          <w:tcPr>
            <w:tcW w:type="dxa" w:w="2340"/>
          </w:tcPr>
          <w:p>
            <w:pPr>
              <w:spacing w:after="40"/>
            </w:pPr>
            <w:r>
              <w:rPr>
                <w:rFonts w:ascii="Calibri" w:hAnsi="Calibri"/>
                <w:b w:val="0"/>
                <w:i w:val="0"/>
              </w:rPr>
              <w:t>Thermal asymmetry as hidden-risk detector</w:t>
            </w:r>
          </w:p>
        </w:tc>
        <w:tc>
          <w:tcPr>
            <w:tcW w:type="dxa" w:w="2340"/>
          </w:tcPr>
          <w:p>
            <w:pPr>
              <w:spacing w:after="40"/>
            </w:pPr>
            <w:r>
              <w:rPr>
                <w:rFonts w:ascii="Calibri" w:hAnsi="Calibri"/>
                <w:b w:val="0"/>
                <w:i w:val="0"/>
              </w:rPr>
              <w:t>Is this athlete about to get injured?</w:t>
            </w:r>
          </w:p>
        </w:tc>
      </w:tr>
      <w:tr>
        <w:tc>
          <w:tcPr>
            <w:tcW w:type="dxa" w:w="2340"/>
          </w:tcPr>
          <w:p>
            <w:pPr>
              <w:spacing w:after="40"/>
            </w:pPr>
            <w:r>
              <w:rPr>
                <w:rFonts w:ascii="Calibri" w:hAnsi="Calibri"/>
                <w:b/>
                <w:i w:val="0"/>
              </w:rPr>
              <w:t>Monitoring</w:t>
            </w:r>
          </w:p>
        </w:tc>
        <w:tc>
          <w:tcPr>
            <w:tcW w:type="dxa" w:w="2340"/>
          </w:tcPr>
          <w:p>
            <w:pPr>
              <w:spacing w:after="40"/>
            </w:pPr>
            <w:r>
              <w:rPr>
                <w:rFonts w:ascii="Calibri" w:hAnsi="Calibri"/>
                <w:b w:val="0"/>
                <w:i w:val="0"/>
              </w:rPr>
              <w:t>Confirmed injury entered by clinical lead</w:t>
            </w:r>
          </w:p>
        </w:tc>
        <w:tc>
          <w:tcPr>
            <w:tcW w:type="dxa" w:w="2340"/>
          </w:tcPr>
          <w:p>
            <w:pPr>
              <w:spacing w:after="40"/>
            </w:pPr>
            <w:r>
              <w:rPr>
                <w:rFonts w:ascii="Calibri" w:hAnsi="Calibri"/>
                <w:b w:val="0"/>
                <w:i w:val="0"/>
              </w:rPr>
              <w:t>Thermal trajectory as tissue-healing tracker</w:t>
            </w:r>
          </w:p>
        </w:tc>
        <w:tc>
          <w:tcPr>
            <w:tcW w:type="dxa" w:w="2340"/>
          </w:tcPr>
          <w:p>
            <w:pPr>
              <w:spacing w:after="40"/>
            </w:pPr>
            <w:r>
              <w:rPr>
                <w:rFonts w:ascii="Calibri" w:hAnsi="Calibri"/>
                <w:b w:val="0"/>
                <w:i w:val="0"/>
              </w:rPr>
              <w:t>Is this athlete's tissue ready for the next load increase?</w:t>
            </w:r>
          </w:p>
        </w:tc>
      </w:tr>
    </w:tbl>
    <w:p/>
    <w:p>
      <w:pPr/>
      <w:r>
        <w:rPr>
          <w:rFonts w:ascii="Calibri" w:hAnsi="Calibri"/>
          <w:b w:val="0"/>
          <w:i w:val="0"/>
        </w:rPr>
        <w:t>Section 7.4.2</w:t>
      </w:r>
    </w:p>
    <w:p>
      <w:pPr>
        <w:pStyle w:val="Heading3"/>
      </w:pPr>
      <w:r>
        <w:t>The Four RTP Phases</w:t>
      </w:r>
    </w:p>
    <w:p>
      <w:pPr>
        <w:spacing w:after="120"/>
      </w:pPr>
      <w:r>
        <w:rPr>
          <w:rFonts w:ascii="Calibri" w:hAnsi="Calibri"/>
          <w:b w:val="0"/>
          <w:i w:val="0"/>
        </w:rPr>
        <w:t>Monitoring mode maps athlete rehabilitation to four sequential phases. Progression between phases requires COMPASS gate criteria to be met — not a fixed number of days. This removes time-based assumptions from the RTP decision.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Calibri" w:hAnsi="Calibri"/>
                <w:b/>
                <w:i w:val="0"/>
              </w:rPr>
              <w:t>Phase</w:t>
            </w:r>
          </w:p>
        </w:tc>
        <w:tc>
          <w:tcPr>
            <w:tcW w:type="dxa" w:w="2340"/>
          </w:tcPr>
          <w:p>
            <w:pPr>
              <w:spacing w:after="40"/>
            </w:pPr>
            <w:r>
              <w:rPr>
                <w:rFonts w:ascii="Calibri" w:hAnsi="Calibri"/>
                <w:b/>
                <w:i w:val="0"/>
              </w:rPr>
              <w:t>Description</w:t>
            </w:r>
          </w:p>
        </w:tc>
        <w:tc>
          <w:tcPr>
            <w:tcW w:type="dxa" w:w="2340"/>
          </w:tcPr>
          <w:p>
            <w:pPr>
              <w:spacing w:after="40"/>
            </w:pPr>
            <w:r>
              <w:rPr>
                <w:rFonts w:ascii="Calibri" w:hAnsi="Calibri"/>
                <w:b/>
                <w:i w:val="0"/>
              </w:rPr>
              <w:t>COMPASS Gate to Progress</w:t>
            </w:r>
          </w:p>
        </w:tc>
        <w:tc>
          <w:tcPr>
            <w:tcW w:type="dxa" w:w="2340"/>
          </w:tcPr>
          <w:p>
            <w:pPr>
              <w:spacing w:after="40"/>
            </w:pPr>
            <w:r>
              <w:rPr>
                <w:rFonts w:ascii="Calibri" w:hAnsi="Calibri"/>
                <w:b/>
                <w:i w:val="0"/>
              </w:rPr>
              <w:t>Expected Zone</w:t>
            </w:r>
          </w:p>
        </w:tc>
      </w:tr>
      <w:tr>
        <w:tc>
          <w:tcPr>
            <w:tcW w:type="dxa" w:w="2340"/>
          </w:tcPr>
          <w:p>
            <w:pPr>
              <w:spacing w:after="40"/>
            </w:pPr>
            <w:r>
              <w:rPr>
                <w:rFonts w:ascii="Calibri" w:hAnsi="Calibri"/>
                <w:b/>
                <w:i w:val="0"/>
              </w:rPr>
              <w:t>Phase 1</w:t>
            </w:r>
            <w:r>
              <w:br/>
            </w:r>
            <w:r>
              <w:rPr>
                <w:rFonts w:ascii="Calibri" w:hAnsi="Calibri"/>
                <w:b w:val="0"/>
                <w:i w:val="0"/>
              </w:rPr>
              <w:t>Acute</w:t>
            </w:r>
          </w:p>
        </w:tc>
        <w:tc>
          <w:tcPr>
            <w:tcW w:type="dxa" w:w="2340"/>
          </w:tcPr>
          <w:p>
            <w:pPr>
              <w:spacing w:after="40"/>
            </w:pPr>
            <w:r>
              <w:rPr>
                <w:rFonts w:ascii="Calibri" w:hAnsi="Calibri"/>
                <w:b w:val="0"/>
                <w:i w:val="0"/>
              </w:rPr>
              <w:t>Active tissue damage; rest or passive treatment only; no structured load</w:t>
            </w:r>
          </w:p>
        </w:tc>
        <w:tc>
          <w:tcPr>
            <w:tcW w:type="dxa" w:w="2340"/>
          </w:tcPr>
          <w:p>
            <w:pPr>
              <w:spacing w:after="40"/>
            </w:pPr>
            <w:r>
              <w:rPr>
                <w:rFonts w:ascii="Calibri" w:hAnsi="Calibri"/>
                <w:b w:val="0"/>
                <w:i w:val="0"/>
              </w:rPr>
              <w:t>Thermal asymmetry peak identified; T Score trending upward across ≥2 consecutive scans</w:t>
            </w:r>
          </w:p>
        </w:tc>
        <w:tc>
          <w:tcPr>
            <w:tcW w:type="dxa" w:w="2340"/>
          </w:tcPr>
          <w:p>
            <w:pPr>
              <w:spacing w:after="40"/>
            </w:pPr>
            <w:r>
              <w:rPr>
                <w:rFonts w:ascii="Calibri" w:hAnsi="Calibri"/>
                <w:b w:val="0"/>
                <w:i w:val="0"/>
              </w:rPr>
              <w:t>Danger (acceptable)</w:t>
            </w:r>
          </w:p>
        </w:tc>
      </w:tr>
      <w:tr>
        <w:tc>
          <w:tcPr>
            <w:tcW w:type="dxa" w:w="2340"/>
          </w:tcPr>
          <w:p>
            <w:pPr>
              <w:spacing w:after="40"/>
            </w:pPr>
            <w:r>
              <w:rPr>
                <w:rFonts w:ascii="Calibri" w:hAnsi="Calibri"/>
                <w:b/>
                <w:i w:val="0"/>
              </w:rPr>
              <w:t>Phase 2</w:t>
            </w:r>
            <w:r>
              <w:br/>
            </w:r>
            <w:r>
              <w:rPr>
                <w:rFonts w:ascii="Calibri" w:hAnsi="Calibri"/>
                <w:b w:val="0"/>
                <w:i w:val="0"/>
              </w:rPr>
              <w:t>Rehabilitation</w:t>
            </w:r>
          </w:p>
        </w:tc>
        <w:tc>
          <w:tcPr>
            <w:tcW w:type="dxa" w:w="2340"/>
          </w:tcPr>
          <w:p>
            <w:pPr>
              <w:spacing w:after="40"/>
            </w:pPr>
            <w:r>
              <w:rPr>
                <w:rFonts w:ascii="Calibri" w:hAnsi="Calibri"/>
                <w:b w:val="0"/>
                <w:i w:val="0"/>
              </w:rPr>
              <w:t>Progressive rehabilitation exercises; controlled load introduction</w:t>
            </w:r>
          </w:p>
        </w:tc>
        <w:tc>
          <w:tcPr>
            <w:tcW w:type="dxa" w:w="2340"/>
          </w:tcPr>
          <w:p>
            <w:pPr>
              <w:spacing w:after="40"/>
            </w:pPr>
            <w:r>
              <w:rPr>
                <w:rFonts w:ascii="Calibri" w:hAnsi="Calibri"/>
                <w:b w:val="0"/>
                <w:i w:val="0"/>
              </w:rPr>
              <w:t>Thermal asymmetry declining toward individual baseline; T Score improving each load increment</w:t>
            </w:r>
          </w:p>
        </w:tc>
        <w:tc>
          <w:tcPr>
            <w:tcW w:type="dxa" w:w="2340"/>
          </w:tcPr>
          <w:p>
            <w:pPr>
              <w:spacing w:after="40"/>
            </w:pPr>
            <w:r>
              <w:rPr>
                <w:rFonts w:ascii="Calibri" w:hAnsi="Calibri"/>
                <w:b w:val="0"/>
                <w:i w:val="0"/>
              </w:rPr>
              <w:t>Recovery</w:t>
            </w:r>
            <w:r>
              <w:rPr>
                <w:rFonts w:ascii="Calibri" w:hAnsi="Calibri"/>
                <w:b w:val="0"/>
                <w:i w:val="0"/>
              </w:rPr>
              <w:t xml:space="preserve"> or </w:t>
            </w:r>
            <w:r>
              <w:rPr>
                <w:rFonts w:ascii="Calibri" w:hAnsi="Calibri"/>
                <w:b w:val="0"/>
                <w:i w:val="0"/>
              </w:rPr>
              <w:t>Deceptive</w:t>
            </w:r>
          </w:p>
        </w:tc>
      </w:tr>
      <w:tr>
        <w:tc>
          <w:tcPr>
            <w:tcW w:type="dxa" w:w="2340"/>
          </w:tcPr>
          <w:p>
            <w:pPr>
              <w:spacing w:after="40"/>
            </w:pPr>
            <w:r>
              <w:rPr>
                <w:rFonts w:ascii="Calibri" w:hAnsi="Calibri"/>
                <w:b/>
                <w:i w:val="0"/>
              </w:rPr>
              <w:t>Phase 3</w:t>
            </w:r>
            <w:r>
              <w:br/>
            </w:r>
            <w:r>
              <w:rPr>
                <w:rFonts w:ascii="Calibri" w:hAnsi="Calibri"/>
                <w:b w:val="0"/>
                <w:i w:val="0"/>
              </w:rPr>
              <w:t>Progressive Loading</w:t>
            </w:r>
          </w:p>
        </w:tc>
        <w:tc>
          <w:tcPr>
            <w:tcW w:type="dxa" w:w="2340"/>
          </w:tcPr>
          <w:p>
            <w:pPr>
              <w:spacing w:after="40"/>
            </w:pPr>
            <w:r>
              <w:rPr>
                <w:rFonts w:ascii="Calibri" w:hAnsi="Calibri"/>
                <w:b w:val="0"/>
                <w:i w:val="0"/>
              </w:rPr>
              <w:t>Sport-specific load reintroduction; functional movement patterns</w:t>
            </w:r>
          </w:p>
        </w:tc>
        <w:tc>
          <w:tcPr>
            <w:tcW w:type="dxa" w:w="2340"/>
          </w:tcPr>
          <w:p>
            <w:pPr>
              <w:spacing w:after="40"/>
            </w:pPr>
            <w:r>
              <w:rPr>
                <w:rFonts w:ascii="Calibri" w:hAnsi="Calibri"/>
                <w:b w:val="0"/>
                <w:i w:val="0"/>
              </w:rPr>
              <w:t>Thermal asymmetry within 1.0 SD of individual baseline; COMPASS in Recovery or Safe zone</w:t>
            </w:r>
          </w:p>
        </w:tc>
        <w:tc>
          <w:tcPr>
            <w:tcW w:type="dxa" w:w="2340"/>
          </w:tcPr>
          <w:p>
            <w:pPr>
              <w:spacing w:after="40"/>
            </w:pPr>
            <w:r>
              <w:rPr>
                <w:rFonts w:ascii="Calibri" w:hAnsi="Calibri"/>
                <w:b w:val="0"/>
                <w:i w:val="0"/>
              </w:rPr>
              <w:t>Recovery</w:t>
            </w:r>
            <w:r>
              <w:rPr>
                <w:rFonts w:ascii="Calibri" w:hAnsi="Calibri"/>
                <w:b w:val="0"/>
                <w:i w:val="0"/>
              </w:rPr>
              <w:t xml:space="preserve"> or </w:t>
            </w:r>
            <w:r>
              <w:rPr>
                <w:rFonts w:ascii="Calibri" w:hAnsi="Calibri"/>
                <w:b w:val="0"/>
                <w:i w:val="0"/>
              </w:rPr>
              <w:t>Safe</w:t>
            </w:r>
          </w:p>
        </w:tc>
      </w:tr>
      <w:tr>
        <w:tc>
          <w:tcPr>
            <w:tcW w:type="dxa" w:w="2340"/>
          </w:tcPr>
          <w:p>
            <w:pPr>
              <w:spacing w:after="40"/>
            </w:pPr>
            <w:r>
              <w:rPr>
                <w:rFonts w:ascii="Calibri" w:hAnsi="Calibri"/>
                <w:b/>
                <w:i w:val="0"/>
              </w:rPr>
              <w:t>Phase 4</w:t>
            </w:r>
            <w:r>
              <w:br/>
            </w:r>
            <w:r>
              <w:rPr>
                <w:rFonts w:ascii="Calibri" w:hAnsi="Calibri"/>
                <w:b w:val="0"/>
                <w:i w:val="0"/>
              </w:rPr>
              <w:t>Return to Competition</w:t>
            </w:r>
          </w:p>
        </w:tc>
        <w:tc>
          <w:tcPr>
            <w:tcW w:type="dxa" w:w="2340"/>
          </w:tcPr>
          <w:p>
            <w:pPr>
              <w:spacing w:after="40"/>
            </w:pPr>
            <w:r>
              <w:rPr>
                <w:rFonts w:ascii="Calibri" w:hAnsi="Calibri"/>
                <w:b w:val="0"/>
                <w:i w:val="0"/>
              </w:rPr>
              <w:t>Full training; medical clearance decision</w:t>
            </w:r>
          </w:p>
        </w:tc>
        <w:tc>
          <w:tcPr>
            <w:tcW w:type="dxa" w:w="2340"/>
          </w:tcPr>
          <w:p>
            <w:pPr>
              <w:spacing w:after="40"/>
            </w:pPr>
            <w:r>
              <w:rPr>
                <w:rFonts w:ascii="Calibri" w:hAnsi="Calibri"/>
                <w:b w:val="0"/>
                <w:i w:val="0"/>
              </w:rPr>
              <w:t>Thermal asymmetry within 0.5 SD of individual baseline; Safe zone for ≥3 consecutive scans</w:t>
            </w:r>
          </w:p>
        </w:tc>
        <w:tc>
          <w:tcPr>
            <w:tcW w:type="dxa" w:w="2340"/>
          </w:tcPr>
          <w:p>
            <w:pPr>
              <w:spacing w:after="40"/>
            </w:pPr>
            <w:r>
              <w:rPr>
                <w:rFonts w:ascii="Calibri" w:hAnsi="Calibri"/>
                <w:b w:val="0"/>
                <w:i w:val="0"/>
              </w:rPr>
              <w:t>Safe ×3</w:t>
            </w:r>
          </w:p>
        </w:tc>
      </w:tr>
    </w:tbl>
    <w:p/>
    <w:p>
      <w:pPr>
        <w:spacing w:after="120"/>
      </w:pPr>
      <w:r>
        <w:rPr>
          <w:rFonts w:ascii="Calibri" w:hAnsi="Calibri"/>
          <w:b/>
          <w:i w:val="0"/>
        </w:rPr>
        <w:t>Why Phase-Gating Removes Guesswork:</w:t>
      </w:r>
      <w:r>
        <w:rPr>
          <w:rFonts w:ascii="Calibri" w:hAnsi="Calibri"/>
          <w:b w:val="0"/>
          <w:i w:val="0"/>
        </w:rPr>
        <w:t xml:space="preserve"> The most common driver of re-injury is premature return — an athlete who feels ready, whose wearable looks normal, but whose tissue has not completed repair. This is the same Deceptive Readiness state that causes first injuries. Phase gates anchored to thermal trajectory and individual baseline make the progression decision objective and auditable.</w:t>
      </w:r>
    </w:p>
    <w:p>
      <w:pPr/>
      <w:r>
        <w:rPr>
          <w:rFonts w:ascii="Calibri" w:hAnsi="Calibri"/>
          <w:b w:val="0"/>
          <w:i w:val="0"/>
        </w:rPr>
        <w:t>Section 7.4.3</w:t>
      </w:r>
    </w:p>
    <w:p>
      <w:pPr>
        <w:pStyle w:val="Heading3"/>
      </w:pPr>
      <w:r>
        <w:t>Thermal Trajectory as Objective Progression Gate</w:t>
      </w:r>
    </w:p>
    <w:p>
      <w:pPr>
        <w:spacing w:after="120"/>
      </w:pPr>
      <w:r>
        <w:rPr>
          <w:rFonts w:ascii="Calibri" w:hAnsi="Calibri"/>
          <w:b w:val="0"/>
          <w:i w:val="0"/>
        </w:rPr>
        <w:t>In monitoring mode, the T Score is the primary gate for phase progression. A single reading is insufficient — what matters is the trajectory across successive scans under incrementally increasing load.</w:t>
      </w:r>
    </w:p>
    <w:p>
      <w:pPr>
        <w:pStyle w:val="ListBullet"/>
      </w:pPr>
      <w:r>
        <w:rPr>
          <w:rFonts w:ascii="Calibri" w:hAnsi="Calibri"/>
          <w:b/>
          <w:i w:val="0"/>
        </w:rPr>
        <w:t>Improving trajectory</w:t>
      </w:r>
      <w:r>
        <w:rPr>
          <w:rFonts w:ascii="Calibri" w:hAnsi="Calibri"/>
          <w:b w:val="0"/>
          <w:i w:val="0"/>
        </w:rPr>
        <w:t xml:space="preserve"> (T Score rising across scans): Load is within tissue repair capacity — safe to maintain or progress.</w:t>
      </w:r>
    </w:p>
    <w:p>
      <w:pPr>
        <w:pStyle w:val="ListBullet"/>
      </w:pPr>
      <w:r>
        <w:rPr>
          <w:rFonts w:ascii="Calibri" w:hAnsi="Calibri"/>
          <w:b/>
          <w:i w:val="0"/>
        </w:rPr>
        <w:t>Plateau</w:t>
      </w:r>
      <w:r>
        <w:rPr>
          <w:rFonts w:ascii="Calibri" w:hAnsi="Calibri"/>
          <w:b w:val="0"/>
          <w:i w:val="0"/>
        </w:rPr>
        <w:t xml:space="preserve"> (T Score stable across ≥2 scans at same load level): Tissue tolerance ceiling reached at current load — hold phase, do not progress.</w:t>
      </w:r>
    </w:p>
    <w:p>
      <w:pPr>
        <w:pStyle w:val="ListBullet"/>
      </w:pPr>
      <w:r>
        <w:rPr>
          <w:rFonts w:ascii="Calibri" w:hAnsi="Calibri"/>
          <w:b/>
          <w:i w:val="0"/>
        </w:rPr>
        <w:t>Worsening trajectory</w:t>
      </w:r>
      <w:r>
        <w:rPr>
          <w:rFonts w:ascii="Calibri" w:hAnsi="Calibri"/>
          <w:b w:val="0"/>
          <w:i w:val="0"/>
        </w:rPr>
        <w:t xml:space="preserve"> (T Score declining despite stable or reduced load): Current rehabilitation load is exceeding tissue repair capacity — regress one phase and reassess.</w:t>
      </w:r>
    </w:p>
    <w:p>
      <w:pPr>
        <w:pStyle w:val="ListBullet"/>
      </w:pPr>
      <w:r>
        <w:rPr>
          <w:rFonts w:ascii="Calibri" w:hAnsi="Calibri"/>
          <w:b/>
          <w:i w:val="0"/>
        </w:rPr>
        <w:t>RTP clearance</w:t>
      </w:r>
      <w:r>
        <w:rPr>
          <w:rFonts w:ascii="Calibri" w:hAnsi="Calibri"/>
          <w:b w:val="0"/>
          <w:i w:val="0"/>
        </w:rPr>
        <w:t>: Not a single reading but a confirmed trend — thermal asymmetry within 0.5 SD of individual baseline across ≥3 consecutive scans with progressive load.</w:t>
      </w:r>
    </w:p>
    <w:p>
      <w:pPr/>
      <w:r>
        <w:rPr>
          <w:rFonts w:ascii="Calibri" w:hAnsi="Calibri"/>
          <w:b w:val="0"/>
          <w:i w:val="0"/>
        </w:rPr>
        <w:t>Section 7.4.4</w:t>
      </w:r>
    </w:p>
    <w:p>
      <w:pPr>
        <w:pStyle w:val="Heading3"/>
      </w:pPr>
      <w:r>
        <w:t>Contralateral Limb Monitoring</w:t>
      </w:r>
    </w:p>
    <w:p>
      <w:pPr>
        <w:spacing w:after="120"/>
      </w:pPr>
      <w:r>
        <w:rPr>
          <w:rFonts w:ascii="Calibri" w:hAnsi="Calibri"/>
          <w:b w:val="0"/>
          <w:i w:val="0"/>
        </w:rPr>
        <w:t>Injured athletes compensate by redistributing load to the contralateral (uninjured) limb. COMPASS bilateral scanning tracks both limbs simultaneously throughout rehabilitation. The contralateral limb requires its own thermal trajectory assessment — independent of the injury site.</w:t>
      </w:r>
    </w:p>
    <w:p>
      <w:pPr>
        <w:pStyle w:val="Heading3"/>
      </w:pPr>
      <w:r>
        <w:t>Contralateral Alert</w:t>
      </w:r>
    </w:p>
    <w:p>
      <w:pPr>
        <w:spacing w:after="120"/>
      </w:pPr>
      <w:r>
        <w:rPr>
          <w:rFonts w:ascii="Calibri" w:hAnsi="Calibri"/>
          <w:b w:val="0"/>
          <w:i w:val="0"/>
        </w:rPr>
        <w:t>Rising thermal asymmetry on the healthy limb during rehabilitation signals compensatory overload. The contralateral limb is entering a Deceptive Readiness state — the athlete cannot perceive this stress.</w:t>
      </w:r>
    </w:p>
    <w:p>
      <w:pPr/>
      <w:r>
        <w:rPr>
          <w:rFonts w:ascii="Calibri" w:hAnsi="Calibri"/>
          <w:b w:val="0"/>
          <w:i w:val="0"/>
        </w:rPr>
        <w:t>Action: Load redistribution</w:t>
      </w:r>
      <w:r>
        <w:rPr>
          <w:rFonts w:ascii="Calibri" w:hAnsi="Calibri"/>
          <w:b w:val="0"/>
          <w:i w:val="0"/>
        </w:rPr>
        <w:t>Physio: Mandatory</w:t>
      </w:r>
    </w:p>
    <w:p>
      <w:pPr>
        <w:pStyle w:val="Heading3"/>
      </w:pPr>
      <w:r>
        <w:t>Bilateral Symmetry Restored</w:t>
      </w:r>
    </w:p>
    <w:p>
      <w:pPr>
        <w:spacing w:after="120"/>
      </w:pPr>
      <w:r>
        <w:rPr>
          <w:rFonts w:ascii="Calibri" w:hAnsi="Calibri"/>
          <w:b w:val="0"/>
          <w:i w:val="0"/>
        </w:rPr>
        <w:t>Both the injured site and the contralateral limb showing thermal asymmetry within 0.5 SD of individual baseline is the full-body clearance condition. Unilateral clearance alone is insufficient.</w:t>
      </w:r>
    </w:p>
    <w:p>
      <w:pPr/>
      <w:r>
        <w:rPr>
          <w:rFonts w:ascii="Calibri" w:hAnsi="Calibri"/>
          <w:b w:val="0"/>
          <w:i w:val="0"/>
        </w:rPr>
        <w:t>Both limbs: ≤0.5 SD baseline</w:t>
      </w:r>
      <w:r>
        <w:rPr>
          <w:rFonts w:ascii="Calibri" w:hAnsi="Calibri"/>
          <w:b w:val="0"/>
          <w:i w:val="0"/>
        </w:rPr>
        <w:t>Status: RTP eligible</w:t>
      </w:r>
    </w:p>
    <w:p>
      <w:pPr/>
      <w:r>
        <w:rPr>
          <w:rFonts w:ascii="Calibri" w:hAnsi="Calibri"/>
          <w:b w:val="0"/>
          <w:i w:val="0"/>
        </w:rPr>
        <w:t>Section 7.4.5</w:t>
      </w:r>
    </w:p>
    <w:p>
      <w:pPr>
        <w:pStyle w:val="Heading3"/>
      </w:pPr>
      <w:r>
        <w:t>Zone Reinterpretation in Monitoring Mode</w:t>
      </w:r>
    </w:p>
    <w:p>
      <w:pPr>
        <w:spacing w:after="120"/>
      </w:pPr>
      <w:r>
        <w:rPr>
          <w:rFonts w:ascii="Calibri" w:hAnsi="Calibri"/>
          <w:b w:val="0"/>
          <w:i w:val="0"/>
        </w:rPr>
        <w:t>Zone labels remain the same in monitoring mode, but their clinical meaning shifts to reflect the rehabilitation context.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Zone</w:t>
            </w:r>
          </w:p>
        </w:tc>
        <w:tc>
          <w:tcPr>
            <w:tcW w:type="dxa" w:w="3120"/>
          </w:tcPr>
          <w:p>
            <w:pPr>
              <w:spacing w:after="40"/>
            </w:pPr>
            <w:r>
              <w:rPr>
                <w:rFonts w:ascii="Calibri" w:hAnsi="Calibri"/>
                <w:b/>
                <w:i w:val="0"/>
              </w:rPr>
              <w:t>Prevention Meaning</w:t>
            </w:r>
          </w:p>
        </w:tc>
        <w:tc>
          <w:tcPr>
            <w:tcW w:type="dxa" w:w="3120"/>
          </w:tcPr>
          <w:p>
            <w:pPr>
              <w:spacing w:after="40"/>
            </w:pPr>
            <w:r>
              <w:rPr>
                <w:rFonts w:ascii="Calibri" w:hAnsi="Calibri"/>
                <w:b/>
                <w:i w:val="0"/>
              </w:rPr>
              <w:t>Monitoring Mode Meaning</w:t>
            </w:r>
          </w:p>
        </w:tc>
      </w:tr>
      <w:tr>
        <w:tc>
          <w:tcPr>
            <w:tcW w:type="dxa" w:w="3120"/>
          </w:tcPr>
          <w:p>
            <w:pPr>
              <w:spacing w:after="40"/>
            </w:pPr>
            <w:r>
              <w:rPr>
                <w:rFonts w:ascii="Calibri" w:hAnsi="Calibri"/>
                <w:b w:val="0"/>
                <w:i w:val="0"/>
              </w:rPr>
              <w:t>Safe</w:t>
            </w:r>
          </w:p>
        </w:tc>
        <w:tc>
          <w:tcPr>
            <w:tcW w:type="dxa" w:w="3120"/>
          </w:tcPr>
          <w:p>
            <w:pPr>
              <w:spacing w:after="40"/>
            </w:pPr>
            <w:r>
              <w:rPr>
                <w:rFonts w:ascii="Calibri" w:hAnsi="Calibri"/>
                <w:b w:val="0"/>
                <w:i w:val="0"/>
              </w:rPr>
              <w:t>Clear to train at full load</w:t>
            </w:r>
          </w:p>
        </w:tc>
        <w:tc>
          <w:tcPr>
            <w:tcW w:type="dxa" w:w="3120"/>
          </w:tcPr>
          <w:p>
            <w:pPr>
              <w:spacing w:after="40"/>
            </w:pPr>
            <w:r>
              <w:rPr>
                <w:rFonts w:ascii="Calibri" w:hAnsi="Calibri"/>
                <w:b w:val="0"/>
                <w:i w:val="0"/>
              </w:rPr>
              <w:t>Tissue healing on track; current rehabilitation load can progress</w:t>
            </w:r>
          </w:p>
        </w:tc>
      </w:tr>
      <w:tr>
        <w:tc>
          <w:tcPr>
            <w:tcW w:type="dxa" w:w="3120"/>
          </w:tcPr>
          <w:p>
            <w:pPr>
              <w:spacing w:after="40"/>
            </w:pPr>
            <w:r>
              <w:rPr>
                <w:rFonts w:ascii="Calibri" w:hAnsi="Calibri"/>
                <w:b w:val="0"/>
                <w:i w:val="0"/>
              </w:rPr>
              <w:t>Recovery</w:t>
            </w:r>
          </w:p>
        </w:tc>
        <w:tc>
          <w:tcPr>
            <w:tcW w:type="dxa" w:w="3120"/>
          </w:tcPr>
          <w:p>
            <w:pPr>
              <w:spacing w:after="40"/>
            </w:pPr>
            <w:r>
              <w:rPr>
                <w:rFonts w:ascii="Calibri" w:hAnsi="Calibri"/>
                <w:b w:val="0"/>
                <w:i w:val="0"/>
              </w:rPr>
              <w:t>Systemic fatigue; reduce training volume</w:t>
            </w:r>
          </w:p>
        </w:tc>
        <w:tc>
          <w:tcPr>
            <w:tcW w:type="dxa" w:w="3120"/>
          </w:tcPr>
          <w:p>
            <w:pPr>
              <w:spacing w:after="40"/>
            </w:pPr>
            <w:r>
              <w:rPr>
                <w:rFonts w:ascii="Calibri" w:hAnsi="Calibri"/>
                <w:b w:val="0"/>
                <w:i w:val="0"/>
              </w:rPr>
              <w:t>Systemic fatigue from rehabilitation load; reduce intensity but maintain frequency</w:t>
            </w:r>
          </w:p>
        </w:tc>
      </w:tr>
      <w:tr>
        <w:tc>
          <w:tcPr>
            <w:tcW w:type="dxa" w:w="3120"/>
          </w:tcPr>
          <w:p>
            <w:pPr>
              <w:spacing w:after="40"/>
            </w:pPr>
            <w:r>
              <w:rPr>
                <w:rFonts w:ascii="Calibri" w:hAnsi="Calibri"/>
                <w:b w:val="0"/>
                <w:i w:val="0"/>
              </w:rPr>
              <w:t>Deceptive Readiness</w:t>
            </w:r>
          </w:p>
        </w:tc>
        <w:tc>
          <w:tcPr>
            <w:tcW w:type="dxa" w:w="3120"/>
          </w:tcPr>
          <w:p>
            <w:pPr>
              <w:spacing w:after="40"/>
            </w:pPr>
            <w:r>
              <w:rPr>
                <w:rFonts w:ascii="Calibri" w:hAnsi="Calibri"/>
                <w:b w:val="0"/>
                <w:i w:val="0"/>
              </w:rPr>
              <w:t>Hidden tissue stress; mandatory physio before load increase</w:t>
            </w:r>
          </w:p>
        </w:tc>
        <w:tc>
          <w:tcPr>
            <w:tcW w:type="dxa" w:w="3120"/>
          </w:tcPr>
          <w:p>
            <w:pPr>
              <w:spacing w:after="40"/>
            </w:pPr>
            <w:r>
              <w:rPr>
                <w:rFonts w:ascii="Calibri" w:hAnsi="Calibri"/>
                <w:b w:val="0"/>
                <w:i w:val="0"/>
              </w:rPr>
              <w:t>Tissue stress accumulating under current rehab load; reduce load and reassess before progressing</w:t>
            </w:r>
          </w:p>
        </w:tc>
      </w:tr>
      <w:tr>
        <w:tc>
          <w:tcPr>
            <w:tcW w:type="dxa" w:w="3120"/>
          </w:tcPr>
          <w:p>
            <w:pPr>
              <w:spacing w:after="40"/>
            </w:pPr>
            <w:r>
              <w:rPr>
                <w:rFonts w:ascii="Calibri" w:hAnsi="Calibri"/>
                <w:b w:val="0"/>
                <w:i w:val="0"/>
              </w:rPr>
              <w:t>Danger</w:t>
            </w:r>
          </w:p>
        </w:tc>
        <w:tc>
          <w:tcPr>
            <w:tcW w:type="dxa" w:w="3120"/>
          </w:tcPr>
          <w:p>
            <w:pPr>
              <w:spacing w:after="40"/>
            </w:pPr>
            <w:r>
              <w:rPr>
                <w:rFonts w:ascii="Calibri" w:hAnsi="Calibri"/>
                <w:b w:val="0"/>
                <w:i w:val="0"/>
              </w:rPr>
              <w:t>Mandatory clinical stop; no load plan issued</w:t>
            </w:r>
          </w:p>
        </w:tc>
        <w:tc>
          <w:tcPr>
            <w:tcW w:type="dxa" w:w="3120"/>
          </w:tcPr>
          <w:p>
            <w:pPr>
              <w:spacing w:after="40"/>
            </w:pPr>
            <w:r>
              <w:rPr>
                <w:rFonts w:ascii="Calibri" w:hAnsi="Calibri"/>
                <w:b w:val="0"/>
                <w:i w:val="0"/>
              </w:rPr>
              <w:t>Tissue not tolerating current rehabilitation load; regress to previous phase; urgent clinical review</w:t>
            </w:r>
          </w:p>
        </w:tc>
      </w:tr>
    </w:tbl>
    <w:p/>
    <w:p>
      <w:pPr/>
      <w:r>
        <w:rPr>
          <w:rFonts w:ascii="Calibri" w:hAnsi="Calibri"/>
          <w:b w:val="0"/>
          <w:i w:val="0"/>
        </w:rPr>
        <w:t>Section 7.4.6</w:t>
      </w:r>
    </w:p>
    <w:p>
      <w:pPr>
        <w:pStyle w:val="Heading3"/>
      </w:pPr>
      <w:r>
        <w:t>Scan Frequency During RTP Phases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RTP Phase</w:t>
            </w:r>
          </w:p>
        </w:tc>
        <w:tc>
          <w:tcPr>
            <w:tcW w:type="dxa" w:w="3120"/>
          </w:tcPr>
          <w:p>
            <w:pPr>
              <w:spacing w:after="40"/>
            </w:pPr>
            <w:r>
              <w:rPr>
                <w:rFonts w:ascii="Calibri" w:hAnsi="Calibri"/>
                <w:b/>
                <w:i w:val="0"/>
              </w:rPr>
              <w:t>Scan Frequency</w:t>
            </w:r>
          </w:p>
        </w:tc>
        <w:tc>
          <w:tcPr>
            <w:tcW w:type="dxa" w:w="3120"/>
          </w:tcPr>
          <w:p>
            <w:pPr>
              <w:spacing w:after="40"/>
            </w:pPr>
            <w:r>
              <w:rPr>
                <w:rFonts w:ascii="Calibri" w:hAnsi="Calibri"/>
                <w:b/>
                <w:i w:val="0"/>
              </w:rPr>
              <w:t>Rationale</w:t>
            </w:r>
          </w:p>
        </w:tc>
      </w:tr>
      <w:tr>
        <w:tc>
          <w:tcPr>
            <w:tcW w:type="dxa" w:w="3120"/>
          </w:tcPr>
          <w:p>
            <w:pPr>
              <w:spacing w:after="40"/>
            </w:pPr>
            <w:r>
              <w:rPr>
                <w:rFonts w:ascii="Calibri" w:hAnsi="Calibri"/>
                <w:b w:val="0"/>
                <w:i w:val="0"/>
              </w:rPr>
              <w:t>Phase 1 — Acute</w:t>
            </w:r>
          </w:p>
        </w:tc>
        <w:tc>
          <w:tcPr>
            <w:tcW w:type="dxa" w:w="3120"/>
          </w:tcPr>
          <w:p>
            <w:pPr>
              <w:spacing w:after="40"/>
            </w:pPr>
            <w:r>
              <w:rPr>
                <w:rFonts w:ascii="Calibri" w:hAnsi="Calibri"/>
                <w:b w:val="0"/>
                <w:i w:val="0"/>
              </w:rPr>
              <w:t>Every 2–3 days</w:t>
            </w:r>
          </w:p>
        </w:tc>
        <w:tc>
          <w:tcPr>
            <w:tcW w:type="dxa" w:w="3120"/>
          </w:tcPr>
          <w:p>
            <w:pPr>
              <w:spacing w:after="40"/>
            </w:pPr>
            <w:r>
              <w:rPr>
                <w:rFonts w:ascii="Calibri" w:hAnsi="Calibri"/>
                <w:b w:val="0"/>
                <w:i w:val="0"/>
              </w:rPr>
              <w:t xml:space="preserve">Track asymmetry peak and confirm thermal decline before load introduction </w:t>
            </w:r>
            <w:r>
              <w:rPr>
                <w:rFonts w:ascii="Calibri" w:hAnsi="Calibri"/>
                <w:b w:val="0"/>
                <w:i w:val="0"/>
              </w:rPr>
              <w:t>[↗ Gómez-Carmona 2020 — daily scanning at peak risk]</w:t>
            </w:r>
          </w:p>
        </w:tc>
      </w:tr>
      <w:tr>
        <w:tc>
          <w:tcPr>
            <w:tcW w:type="dxa" w:w="3120"/>
          </w:tcPr>
          <w:p>
            <w:pPr>
              <w:spacing w:after="40"/>
            </w:pPr>
            <w:r>
              <w:rPr>
                <w:rFonts w:ascii="Calibri" w:hAnsi="Calibri"/>
                <w:b w:val="0"/>
                <w:i w:val="0"/>
              </w:rPr>
              <w:t>Phase 2 — Rehabilitation</w:t>
            </w:r>
          </w:p>
        </w:tc>
        <w:tc>
          <w:tcPr>
            <w:tcW w:type="dxa" w:w="3120"/>
          </w:tcPr>
          <w:p>
            <w:pPr>
              <w:spacing w:after="40"/>
            </w:pPr>
            <w:r>
              <w:rPr>
                <w:rFonts w:ascii="Calibri" w:hAnsi="Calibri"/>
                <w:b w:val="0"/>
                <w:i w:val="0"/>
              </w:rPr>
              <w:t>Twice weekly</w:t>
            </w:r>
          </w:p>
        </w:tc>
        <w:tc>
          <w:tcPr>
            <w:tcW w:type="dxa" w:w="3120"/>
          </w:tcPr>
          <w:p>
            <w:pPr>
              <w:spacing w:after="40"/>
            </w:pPr>
            <w:r>
              <w:rPr>
                <w:rFonts w:ascii="Calibri" w:hAnsi="Calibri"/>
                <w:b w:val="0"/>
                <w:i w:val="0"/>
              </w:rPr>
              <w:t xml:space="preserve">Each new exercise stimulus requires a scan response before the next increment </w:t>
            </w:r>
            <w:r>
              <w:rPr>
                <w:rFonts w:ascii="Calibri" w:hAnsi="Calibri"/>
                <w:b w:val="0"/>
                <w:i w:val="0"/>
              </w:rPr>
              <w:t>[↗ Arnaiz-Lastras 2019 — twice-weekly protocol]</w:t>
            </w:r>
          </w:p>
        </w:tc>
      </w:tr>
      <w:tr>
        <w:tc>
          <w:tcPr>
            <w:tcW w:type="dxa" w:w="3120"/>
          </w:tcPr>
          <w:p>
            <w:pPr>
              <w:spacing w:after="40"/>
            </w:pPr>
            <w:r>
              <w:rPr>
                <w:rFonts w:ascii="Calibri" w:hAnsi="Calibri"/>
                <w:b w:val="0"/>
                <w:i w:val="0"/>
              </w:rPr>
              <w:t>Phase 3 — Progressive Loading</w:t>
            </w:r>
          </w:p>
        </w:tc>
        <w:tc>
          <w:tcPr>
            <w:tcW w:type="dxa" w:w="3120"/>
          </w:tcPr>
          <w:p>
            <w:pPr>
              <w:spacing w:after="40"/>
            </w:pPr>
            <w:r>
              <w:rPr>
                <w:rFonts w:ascii="Calibri" w:hAnsi="Calibri"/>
                <w:b w:val="0"/>
                <w:i w:val="0"/>
              </w:rPr>
              <w:t>Twice weekly</w:t>
            </w:r>
          </w:p>
        </w:tc>
        <w:tc>
          <w:tcPr>
            <w:tcW w:type="dxa" w:w="3120"/>
          </w:tcPr>
          <w:p>
            <w:pPr>
              <w:spacing w:after="40"/>
            </w:pPr>
            <w:r>
              <w:rPr>
                <w:rFonts w:ascii="Calibri" w:hAnsi="Calibri"/>
                <w:b w:val="0"/>
                <w:i w:val="0"/>
              </w:rPr>
              <w:t>Each load increase is an experiment; thermal response must confirm safety before progression</w:t>
            </w:r>
          </w:p>
        </w:tc>
      </w:tr>
      <w:tr>
        <w:tc>
          <w:tcPr>
            <w:tcW w:type="dxa" w:w="3120"/>
          </w:tcPr>
          <w:p>
            <w:pPr>
              <w:spacing w:after="40"/>
            </w:pPr>
            <w:r>
              <w:rPr>
                <w:rFonts w:ascii="Calibri" w:hAnsi="Calibri"/>
                <w:b w:val="0"/>
                <w:i w:val="0"/>
              </w:rPr>
              <w:t>Phase 4 — Return to Competition</w:t>
            </w:r>
          </w:p>
        </w:tc>
        <w:tc>
          <w:tcPr>
            <w:tcW w:type="dxa" w:w="3120"/>
          </w:tcPr>
          <w:p>
            <w:pPr>
              <w:spacing w:after="40"/>
            </w:pPr>
            <w:r>
              <w:rPr>
                <w:rFonts w:ascii="Calibri" w:hAnsi="Calibri"/>
                <w:b w:val="0"/>
                <w:i w:val="0"/>
              </w:rPr>
              <w:t>3 consecutive scans; then weekly</w:t>
            </w:r>
          </w:p>
        </w:tc>
        <w:tc>
          <w:tcPr>
            <w:tcW w:type="dxa" w:w="3120"/>
          </w:tcPr>
          <w:p>
            <w:pPr>
              <w:spacing w:after="40"/>
            </w:pPr>
            <w:r>
              <w:rPr>
                <w:rFonts w:ascii="Calibri" w:hAnsi="Calibri"/>
                <w:b w:val="0"/>
                <w:i w:val="0"/>
              </w:rPr>
              <w:t>Clearance requires confirmed trend across multiple readings, not a single pass; weekly resumes on RTP</w:t>
            </w:r>
          </w:p>
        </w:tc>
      </w:tr>
    </w:tbl>
    <w:p/>
    <w:p>
      <w:pPr/>
      <w:r>
        <w:rPr>
          <w:rFonts w:ascii="Calibri" w:hAnsi="Calibri"/>
          <w:b w:val="0"/>
          <w:i w:val="0"/>
        </w:rPr>
        <w:t>📋</w:t>
      </w:r>
    </w:p>
    <w:p>
      <w:pPr/>
      <w:r>
        <w:rPr>
          <w:rFonts w:ascii="Calibri" w:hAnsi="Calibri"/>
          <w:b w:val="0"/>
          <w:i w:val="0"/>
        </w:rPr>
        <w:t>Clinical Note — Monitoring Mode Activation</w:t>
      </w:r>
    </w:p>
    <w:p>
      <w:pPr>
        <w:spacing w:after="120"/>
      </w:pPr>
      <w:r>
        <w:rPr>
          <w:rFonts w:ascii="Calibri" w:hAnsi="Calibri"/>
          <w:b w:val="0"/>
          <w:i w:val="0"/>
        </w:rPr>
        <w:t>Monitoring mode is activated by the clinical lead upon confirming an injury. The individual thermal baseline established during prevention-mode scanning is the reference point for all RTP phase gates. Baseline continuity — using the athlete's own pre-injury thermal norm — is what makes the 0.5 SD and 1.0 SD clearance thresholds meaningful. Population norms cannot serve this function. See Section 05B for the SD-based asymmetry classification method.</w:t>
      </w:r>
    </w:p>
    <w:p>
      <w:pPr/>
      <w:r>
        <w:rPr>
          <w:rFonts w:ascii="Calibri" w:hAnsi="Calibri"/>
          <w:b w:val="0"/>
          <w:i w:val="0"/>
        </w:rPr>
        <w:t>Section 08</w:t>
      </w:r>
    </w:p>
    <w:p>
      <w:pPr>
        <w:pStyle w:val="Heading1"/>
      </w:pPr>
      <w:r>
        <w:t>Standardised Scan Protocol</w:t>
      </w:r>
    </w:p>
    <w:p>
      <w:pPr>
        <w:spacing w:after="120"/>
      </w:pPr>
      <w:r>
        <w:rPr>
          <w:rFonts w:ascii="Calibri" w:hAnsi="Calibri"/>
          <w:b w:val="0"/>
          <w:i w:val="0"/>
        </w:rPr>
        <w:t>The asymmetry thresholds defined in Sections 04A and 04B are only valid when scans are acquired under controlled, reproducible conditions. This section defines the mandatory environmental, preparation, timing, and technical parameters for every COMPASS thermography session.</w:t>
      </w:r>
    </w:p>
    <w:p>
      <w:pPr>
        <w:pStyle w:val="Heading2"/>
      </w:pPr>
      <w:r>
        <w:t>Environmental Conditions</w:t>
      </w:r>
    </w:p>
    <w:p>
      <w:pPr>
        <w:spacing w:after="120"/>
      </w:pPr>
      <w:r>
        <w:rPr>
          <w:rFonts w:ascii="Calibri" w:hAnsi="Calibri"/>
          <w:b w:val="0"/>
          <w:i w:val="0"/>
        </w:rPr>
        <w:t>The scan room must meet all of the following environmental criteria before any athlete enters. Log actual room temperature and humidity at the start of each session. Parameters follow IACT Guidelines and TISEM Delphi Expert Consensus (2017).</w:t>
      </w:r>
    </w:p>
    <w:p>
      <w:pPr/>
      <w:r>
        <w:rPr>
          <w:rFonts w:ascii="Calibri" w:hAnsi="Calibri"/>
          <w:b w:val="0"/>
          <w:i w:val="0"/>
        </w:rPr>
        <w:t>20–24°C</w:t>
      </w:r>
    </w:p>
    <w:p>
      <w:pPr/>
      <w:r>
        <w:rPr>
          <w:rFonts w:ascii="Calibri" w:hAnsi="Calibri"/>
          <w:b w:val="0"/>
          <w:i w:val="0"/>
        </w:rPr>
        <w:t>Room Temperature</w:t>
      </w:r>
      <w:r>
        <w:br/>
      </w:r>
      <w:r>
        <w:rPr>
          <w:rFonts w:ascii="Calibri" w:hAnsi="Calibri"/>
          <w:b w:val="0"/>
          <w:i w:val="0"/>
        </w:rPr>
        <w:t>±1°C stability during session</w:t>
      </w:r>
    </w:p>
    <w:p>
      <w:pPr/>
      <w:r>
        <w:rPr>
          <w:rFonts w:ascii="Calibri" w:hAnsi="Calibri"/>
          <w:b w:val="0"/>
          <w:i w:val="0"/>
        </w:rPr>
        <w:t>40–60%</w:t>
      </w:r>
    </w:p>
    <w:p>
      <w:pPr/>
      <w:r>
        <w:rPr>
          <w:rFonts w:ascii="Calibri" w:hAnsi="Calibri"/>
          <w:b w:val="0"/>
          <w:i w:val="0"/>
        </w:rPr>
        <w:t>Relative Humidity</w:t>
      </w:r>
      <w:r>
        <w:br/>
      </w:r>
      <w:r>
        <w:rPr>
          <w:rFonts w:ascii="Calibri" w:hAnsi="Calibri"/>
          <w:b w:val="0"/>
          <w:i w:val="0"/>
        </w:rPr>
        <w:t>RH — stable during session</w:t>
      </w:r>
    </w:p>
    <w:p>
      <w:pPr/>
      <w:r>
        <w:rPr>
          <w:rFonts w:ascii="Calibri" w:hAnsi="Calibri"/>
          <w:b w:val="0"/>
          <w:i w:val="0"/>
        </w:rPr>
        <w:t>0</w:t>
      </w:r>
    </w:p>
    <w:p>
      <w:pPr/>
      <w:r>
        <w:rPr>
          <w:rFonts w:ascii="Calibri" w:hAnsi="Calibri"/>
          <w:b w:val="0"/>
          <w:i w:val="0"/>
        </w:rPr>
        <w:t>Fans / Air Vents</w:t>
      </w:r>
      <w:r>
        <w:br/>
      </w:r>
      <w:r>
        <w:rPr>
          <w:rFonts w:ascii="Calibri" w:hAnsi="Calibri"/>
          <w:b w:val="0"/>
          <w:i w:val="0"/>
        </w:rPr>
        <w:t>directed at subject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Environmental Factor</w:t>
            </w:r>
          </w:p>
        </w:tc>
        <w:tc>
          <w:tcPr>
            <w:tcW w:type="dxa" w:w="3120"/>
          </w:tcPr>
          <w:p>
            <w:pPr>
              <w:spacing w:after="40"/>
            </w:pPr>
            <w:r>
              <w:rPr>
                <w:rFonts w:ascii="Calibri" w:hAnsi="Calibri"/>
                <w:b/>
                <w:i w:val="0"/>
              </w:rPr>
              <w:t>Requirement</w:t>
            </w:r>
          </w:p>
        </w:tc>
        <w:tc>
          <w:tcPr>
            <w:tcW w:type="dxa" w:w="3120"/>
          </w:tcPr>
          <w:p>
            <w:pPr>
              <w:spacing w:after="40"/>
            </w:pPr>
            <w:r>
              <w:rPr>
                <w:rFonts w:ascii="Calibri" w:hAnsi="Calibri"/>
                <w:b/>
                <w:i w:val="0"/>
              </w:rPr>
              <w:t>Rationale</w:t>
            </w:r>
          </w:p>
        </w:tc>
      </w:tr>
      <w:tr>
        <w:tc>
          <w:tcPr>
            <w:tcW w:type="dxa" w:w="3120"/>
          </w:tcPr>
          <w:p>
            <w:pPr>
              <w:spacing w:after="40"/>
            </w:pPr>
            <w:r>
              <w:rPr>
                <w:rFonts w:ascii="Calibri" w:hAnsi="Calibri"/>
                <w:b w:val="0"/>
                <w:i w:val="0"/>
              </w:rPr>
              <w:t>Room temperature</w:t>
            </w:r>
          </w:p>
        </w:tc>
        <w:tc>
          <w:tcPr>
            <w:tcW w:type="dxa" w:w="3120"/>
          </w:tcPr>
          <w:p>
            <w:pPr>
              <w:spacing w:after="40"/>
            </w:pPr>
            <w:r>
              <w:rPr>
                <w:rFonts w:ascii="Calibri" w:hAnsi="Calibri"/>
                <w:b w:val="0"/>
                <w:i w:val="0"/>
              </w:rPr>
              <w:t>20–24°C, stable within ±1°C</w:t>
            </w:r>
          </w:p>
        </w:tc>
        <w:tc>
          <w:tcPr>
            <w:tcW w:type="dxa" w:w="3120"/>
          </w:tcPr>
          <w:p>
            <w:pPr>
              <w:spacing w:after="40"/>
            </w:pPr>
            <w:r>
              <w:rPr>
                <w:rFonts w:ascii="Calibri" w:hAnsi="Calibri"/>
                <w:b w:val="0"/>
                <w:i w:val="0"/>
              </w:rPr>
              <w:t>Outside this range, peripheral vasoconstriction or vasodilation masks genuine asymmetries. The body's thermoregulatory response to cold or heat dominates the thermal signal.</w:t>
            </w:r>
          </w:p>
        </w:tc>
      </w:tr>
      <w:tr>
        <w:tc>
          <w:tcPr>
            <w:tcW w:type="dxa" w:w="3120"/>
          </w:tcPr>
          <w:p>
            <w:pPr>
              <w:spacing w:after="40"/>
            </w:pPr>
            <w:r>
              <w:rPr>
                <w:rFonts w:ascii="Calibri" w:hAnsi="Calibri"/>
                <w:b w:val="0"/>
                <w:i w:val="0"/>
              </w:rPr>
              <w:t>Relative humidity</w:t>
            </w:r>
          </w:p>
        </w:tc>
        <w:tc>
          <w:tcPr>
            <w:tcW w:type="dxa" w:w="3120"/>
          </w:tcPr>
          <w:p>
            <w:pPr>
              <w:spacing w:after="40"/>
            </w:pPr>
            <w:r>
              <w:rPr>
                <w:rFonts w:ascii="Calibri" w:hAnsi="Calibri"/>
                <w:b w:val="0"/>
                <w:i w:val="0"/>
              </w:rPr>
              <w:t>40–60% RH</w:t>
            </w:r>
          </w:p>
        </w:tc>
        <w:tc>
          <w:tcPr>
            <w:tcW w:type="dxa" w:w="3120"/>
          </w:tcPr>
          <w:p>
            <w:pPr>
              <w:spacing w:after="40"/>
            </w:pPr>
            <w:r>
              <w:rPr>
                <w:rFonts w:ascii="Calibri" w:hAnsi="Calibri"/>
                <w:b w:val="0"/>
                <w:i w:val="0"/>
              </w:rPr>
              <w:t>Humidity affects evaporative cooling from the skin surface, creating artefactual spatial temperature gradients if outside range.</w:t>
            </w:r>
          </w:p>
        </w:tc>
      </w:tr>
      <w:tr>
        <w:tc>
          <w:tcPr>
            <w:tcW w:type="dxa" w:w="3120"/>
          </w:tcPr>
          <w:p>
            <w:pPr>
              <w:spacing w:after="40"/>
            </w:pPr>
            <w:r>
              <w:rPr>
                <w:rFonts w:ascii="Calibri" w:hAnsi="Calibri"/>
                <w:b w:val="0"/>
                <w:i w:val="0"/>
              </w:rPr>
              <w:t>Air movement</w:t>
            </w:r>
          </w:p>
        </w:tc>
        <w:tc>
          <w:tcPr>
            <w:tcW w:type="dxa" w:w="3120"/>
          </w:tcPr>
          <w:p>
            <w:pPr>
              <w:spacing w:after="40"/>
            </w:pPr>
            <w:r>
              <w:rPr>
                <w:rFonts w:ascii="Calibri" w:hAnsi="Calibri"/>
                <w:b w:val="0"/>
                <w:i w:val="0"/>
              </w:rPr>
              <w:t>No fans, air conditioning vents, or open windows directed at the subject</w:t>
            </w:r>
          </w:p>
        </w:tc>
        <w:tc>
          <w:tcPr>
            <w:tcW w:type="dxa" w:w="3120"/>
          </w:tcPr>
          <w:p>
            <w:pPr>
              <w:spacing w:after="40"/>
            </w:pPr>
            <w:r>
              <w:rPr>
                <w:rFonts w:ascii="Calibri" w:hAnsi="Calibri"/>
                <w:b w:val="0"/>
                <w:i w:val="0"/>
              </w:rPr>
              <w:t>Forced convection causes localised evaporative cooling, producing false cold asymmetries in exposed skin. Room AC is acceptable if not directed at the athlete.</w:t>
            </w:r>
          </w:p>
        </w:tc>
      </w:tr>
      <w:tr>
        <w:tc>
          <w:tcPr>
            <w:tcW w:type="dxa" w:w="3120"/>
          </w:tcPr>
          <w:p>
            <w:pPr>
              <w:spacing w:after="40"/>
            </w:pPr>
            <w:r>
              <w:rPr>
                <w:rFonts w:ascii="Calibri" w:hAnsi="Calibri"/>
                <w:b w:val="0"/>
                <w:i w:val="0"/>
              </w:rPr>
              <w:t>Radiant heat sources</w:t>
            </w:r>
          </w:p>
        </w:tc>
        <w:tc>
          <w:tcPr>
            <w:tcW w:type="dxa" w:w="3120"/>
          </w:tcPr>
          <w:p>
            <w:pPr>
              <w:spacing w:after="40"/>
            </w:pPr>
            <w:r>
              <w:rPr>
                <w:rFonts w:ascii="Calibri" w:hAnsi="Calibri"/>
                <w:b w:val="0"/>
                <w:i w:val="0"/>
              </w:rPr>
              <w:t>No direct sunlight, heaters, or radiant panels on subject</w:t>
            </w:r>
          </w:p>
        </w:tc>
        <w:tc>
          <w:tcPr>
            <w:tcW w:type="dxa" w:w="3120"/>
          </w:tcPr>
          <w:p>
            <w:pPr>
              <w:spacing w:after="40"/>
            </w:pPr>
            <w:r>
              <w:rPr>
                <w:rFonts w:ascii="Calibri" w:hAnsi="Calibri"/>
                <w:b w:val="0"/>
                <w:i w:val="0"/>
              </w:rPr>
              <w:t>Radiant sources create spatial heating artefacts that cannot be distinguished from physiological thermal emission.</w:t>
            </w:r>
          </w:p>
        </w:tc>
      </w:tr>
      <w:tr>
        <w:tc>
          <w:tcPr>
            <w:tcW w:type="dxa" w:w="3120"/>
          </w:tcPr>
          <w:p>
            <w:pPr>
              <w:spacing w:after="40"/>
            </w:pPr>
            <w:r>
              <w:rPr>
                <w:rFonts w:ascii="Calibri" w:hAnsi="Calibri"/>
                <w:b w:val="0"/>
                <w:i w:val="0"/>
              </w:rPr>
              <w:t>Room equilibration</w:t>
            </w:r>
          </w:p>
        </w:tc>
        <w:tc>
          <w:tcPr>
            <w:tcW w:type="dxa" w:w="3120"/>
          </w:tcPr>
          <w:p>
            <w:pPr>
              <w:spacing w:after="40"/>
            </w:pPr>
            <w:r>
              <w:rPr>
                <w:rFonts w:ascii="Calibri" w:hAnsi="Calibri"/>
                <w:b w:val="0"/>
                <w:i w:val="0"/>
              </w:rPr>
              <w:t>Room conditions stable for ≥ 30 min before first scan</w:t>
            </w:r>
          </w:p>
        </w:tc>
        <w:tc>
          <w:tcPr>
            <w:tcW w:type="dxa" w:w="3120"/>
          </w:tcPr>
          <w:p>
            <w:pPr>
              <w:spacing w:after="40"/>
            </w:pPr>
            <w:r>
              <w:rPr>
                <w:rFonts w:ascii="Calibri" w:hAnsi="Calibri"/>
                <w:b w:val="0"/>
                <w:i w:val="0"/>
              </w:rPr>
              <w:t>Prevents thermal gradients from recent environmental changes (e.g., door left open, HVAC cycling) from affecting early scans.</w:t>
            </w:r>
          </w:p>
        </w:tc>
      </w:tr>
    </w:tbl>
    <w:p/>
    <w:p>
      <w:pPr>
        <w:pStyle w:val="Heading2"/>
      </w:pPr>
      <w:r>
        <w:t>Athlete Acclimatisation</w:t>
      </w:r>
    </w:p>
    <w:p>
      <w:pPr>
        <w:spacing w:after="120"/>
      </w:pPr>
      <w:r>
        <w:rPr>
          <w:rFonts w:ascii="Calibri" w:hAnsi="Calibri"/>
          <w:b w:val="0"/>
          <w:i w:val="0"/>
        </w:rPr>
        <w:t xml:space="preserve">Acclimatisation requirements depend on the scan view. For </w:t>
      </w:r>
      <w:r>
        <w:rPr>
          <w:rFonts w:ascii="Calibri" w:hAnsi="Calibri"/>
          <w:b/>
          <w:i w:val="0"/>
        </w:rPr>
        <w:t>anterior scans</w:t>
      </w:r>
      <w:r>
        <w:rPr>
          <w:rFonts w:ascii="Calibri" w:hAnsi="Calibri"/>
          <w:b w:val="0"/>
          <w:i w:val="0"/>
        </w:rPr>
        <w:t xml:space="preserve">, research shows no significant thermal asymmetry differences across any lower-limb region regardless of acclimatisation time — athletes may be scanned immediately. For </w:t>
      </w:r>
      <w:r>
        <w:rPr>
          <w:rFonts w:ascii="Calibri" w:hAnsi="Calibri"/>
          <w:b/>
          <w:i w:val="0"/>
        </w:rPr>
        <w:t>posterior scans</w:t>
      </w:r>
      <w:r>
        <w:rPr>
          <w:rFonts w:ascii="Calibri" w:hAnsi="Calibri"/>
          <w:b w:val="0"/>
          <w:i w:val="0"/>
        </w:rPr>
        <w:t xml:space="preserve">, the athlete must stand for </w:t>
      </w:r>
      <w:r>
        <w:rPr>
          <w:rFonts w:ascii="Calibri" w:hAnsi="Calibri"/>
          <w:b/>
          <w:i w:val="0"/>
        </w:rPr>
        <w:t>5–10 minutes</w:t>
      </w:r>
      <w:r>
        <w:rPr>
          <w:rFonts w:ascii="Calibri" w:hAnsi="Calibri"/>
          <w:b w:val="0"/>
          <w:i w:val="0"/>
        </w:rPr>
        <w:t xml:space="preserve"> before imaging: seated rest compresses the posterior thigh against the chair, suppressing hamstring perfusion and creating a positional thermal artefact that resolves only in the standing position. </w:t>
      </w:r>
      <w:r>
        <w:rPr>
          <w:rFonts w:ascii="Calibri" w:hAnsi="Calibri"/>
          <w:b w:val="0"/>
          <w:i/>
        </w:rPr>
        <w:t>(Fernández-Cuevas et al., ThermoHuman, J. Thermal Analysis &amp; Calorimetry 149:9343, 2024; TISEM Delphi 2017; Marins et al., 2014)</w:t>
      </w:r>
    </w:p>
    <w:p>
      <w:pPr/>
      <w:r>
        <w:rPr>
          <w:rFonts w:ascii="Calibri" w:hAnsi="Calibri"/>
          <w:b w:val="0"/>
          <w:i w:val="0"/>
        </w:rPr>
        <w:t>None</w:t>
      </w:r>
    </w:p>
    <w:p>
      <w:pPr/>
      <w:r>
        <w:rPr>
          <w:rFonts w:ascii="Calibri" w:hAnsi="Calibri"/>
          <w:b w:val="0"/>
          <w:i w:val="0"/>
        </w:rPr>
        <w:t>Anterior Scans</w:t>
      </w:r>
      <w:r>
        <w:br/>
      </w:r>
      <w:r>
        <w:rPr>
          <w:rFonts w:ascii="Calibri" w:hAnsi="Calibri"/>
          <w:b w:val="0"/>
          <w:i w:val="0"/>
        </w:rPr>
        <w:t>(no acclimatisation required)</w:t>
      </w:r>
    </w:p>
    <w:p>
      <w:pPr/>
      <w:r>
        <w:rPr>
          <w:rFonts w:ascii="Calibri" w:hAnsi="Calibri"/>
          <w:b w:val="0"/>
          <w:i w:val="0"/>
        </w:rPr>
        <w:t>5–10 min standing</w:t>
      </w:r>
    </w:p>
    <w:p>
      <w:pPr/>
      <w:r>
        <w:rPr>
          <w:rFonts w:ascii="Calibri" w:hAnsi="Calibri"/>
          <w:b w:val="0"/>
          <w:i w:val="0"/>
        </w:rPr>
        <w:t>Posterior Scans</w:t>
      </w:r>
      <w:r>
        <w:br/>
      </w:r>
      <w:r>
        <w:rPr>
          <w:rFonts w:ascii="Calibri" w:hAnsi="Calibri"/>
          <w:b w:val="0"/>
          <w:i w:val="0"/>
        </w:rPr>
        <w:t>(resolves seated compression artefact)</w:t>
      </w:r>
    </w:p>
    <w:p>
      <w:pPr/>
      <w:r>
        <w:rPr>
          <w:rFonts w:ascii="Calibri" w:hAnsi="Calibri"/>
          <w:b w:val="0"/>
          <w:i w:val="0"/>
        </w:rPr>
        <w:t>⚠️</w:t>
      </w:r>
    </w:p>
    <w:p>
      <w:pPr/>
      <w:r>
        <w:rPr>
          <w:rFonts w:ascii="Calibri" w:hAnsi="Calibri"/>
          <w:b w:val="0"/>
          <w:i w:val="0"/>
        </w:rPr>
        <w:t>Posterior Thigh Note</w:t>
      </w:r>
    </w:p>
    <w:p>
      <w:pPr>
        <w:spacing w:after="120"/>
      </w:pPr>
      <w:r>
        <w:rPr>
          <w:rFonts w:ascii="Calibri" w:hAnsi="Calibri"/>
          <w:b w:val="0"/>
          <w:i w:val="0"/>
        </w:rPr>
        <w:t xml:space="preserve">Seated rest causes vascular compression of the posterior thigh against the chair, suppressing hamstring perfusion and producing thermal asymmetry artefacts. Hamstrings are the </w:t>
      </w:r>
      <w:r>
        <w:rPr>
          <w:rFonts w:ascii="Calibri" w:hAnsi="Calibri"/>
          <w:b/>
          <w:i w:val="0"/>
        </w:rPr>
        <w:t>only lower-limb region</w:t>
      </w:r>
      <w:r>
        <w:rPr>
          <w:rFonts w:ascii="Calibri" w:hAnsi="Calibri"/>
          <w:b w:val="0"/>
          <w:i w:val="0"/>
        </w:rPr>
        <w:t xml:space="preserve"> where acclimatisation significantly affects asymmetry readings; all other posterior regions (calves, Achilles, popliteal) show no significant differences across timepoints </w:t>
      </w:r>
      <w:r>
        <w:rPr>
          <w:rFonts w:ascii="Calibri" w:hAnsi="Calibri"/>
          <w:b w:val="0"/>
          <w:i/>
        </w:rPr>
        <w:t>(Fernández-Cuevas et al., 2024)</w:t>
      </w:r>
      <w:r>
        <w:rPr>
          <w:rFonts w:ascii="Calibri" w:hAnsi="Calibri"/>
          <w:b w:val="0"/>
          <w:i w:val="0"/>
        </w:rPr>
        <w:t xml:space="preserve">. For all posterior scans, the athlete must </w:t>
      </w:r>
      <w:r>
        <w:rPr>
          <w:rFonts w:ascii="Calibri" w:hAnsi="Calibri"/>
          <w:b/>
          <w:i w:val="0"/>
        </w:rPr>
        <w:t>stand</w:t>
      </w:r>
      <w:r>
        <w:rPr>
          <w:rFonts w:ascii="Calibri" w:hAnsi="Calibri"/>
          <w:b w:val="0"/>
          <w:i w:val="0"/>
        </w:rPr>
        <w:t xml:space="preserve"> (or lie prone) for 5–10 minutes before imaging. This fully resolves the compression artefact; longer standing periods offer no additional benefit.</w:t>
      </w:r>
    </w:p>
    <w:p>
      <w:pPr>
        <w:pStyle w:val="Heading2"/>
      </w:pPr>
      <w:r>
        <w:t>Athlete Preparation</w:t>
      </w:r>
    </w:p>
    <w:p>
      <w:pPr>
        <w:spacing w:after="120"/>
      </w:pPr>
      <w:r>
        <w:rPr>
          <w:rFonts w:ascii="Calibri" w:hAnsi="Calibri"/>
          <w:b w:val="0"/>
          <w:i w:val="0"/>
        </w:rPr>
        <w:t>Preparation requirements apply from the morning of the scan day unless a specific time restriction is stated.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Preparation Factor</w:t>
            </w:r>
          </w:p>
        </w:tc>
        <w:tc>
          <w:tcPr>
            <w:tcW w:type="dxa" w:w="3120"/>
          </w:tcPr>
          <w:p>
            <w:pPr>
              <w:spacing w:after="40"/>
            </w:pPr>
            <w:r>
              <w:rPr>
                <w:rFonts w:ascii="Calibri" w:hAnsi="Calibri"/>
                <w:b/>
                <w:i w:val="0"/>
              </w:rPr>
              <w:t>Requirement</w:t>
            </w:r>
          </w:p>
        </w:tc>
        <w:tc>
          <w:tcPr>
            <w:tcW w:type="dxa" w:w="3120"/>
          </w:tcPr>
          <w:p>
            <w:pPr>
              <w:spacing w:after="40"/>
            </w:pPr>
            <w:r>
              <w:rPr>
                <w:rFonts w:ascii="Calibri" w:hAnsi="Calibri"/>
                <w:b/>
                <w:i w:val="0"/>
              </w:rPr>
              <w:t>Rationale</w:t>
            </w:r>
          </w:p>
        </w:tc>
      </w:tr>
      <w:tr>
        <w:tc>
          <w:tcPr>
            <w:tcW w:type="dxa" w:w="3120"/>
          </w:tcPr>
          <w:p>
            <w:pPr>
              <w:spacing w:after="40"/>
            </w:pPr>
            <w:r>
              <w:rPr>
                <w:rFonts w:ascii="Calibri" w:hAnsi="Calibri"/>
                <w:b w:val="0"/>
                <w:i w:val="0"/>
              </w:rPr>
              <w:t>Clothing</w:t>
            </w:r>
          </w:p>
        </w:tc>
        <w:tc>
          <w:tcPr>
            <w:tcW w:type="dxa" w:w="3120"/>
          </w:tcPr>
          <w:p>
            <w:pPr>
              <w:spacing w:after="40"/>
            </w:pPr>
            <w:r>
              <w:rPr>
                <w:rFonts w:ascii="Calibri" w:hAnsi="Calibri"/>
                <w:b w:val="0"/>
                <w:i w:val="0"/>
              </w:rPr>
              <w:t>Lycra shorts or minimal underwear; all target regions fully uncovered</w:t>
            </w:r>
          </w:p>
        </w:tc>
        <w:tc>
          <w:tcPr>
            <w:tcW w:type="dxa" w:w="3120"/>
          </w:tcPr>
          <w:p>
            <w:pPr>
              <w:spacing w:after="40"/>
            </w:pPr>
            <w:r>
              <w:rPr>
                <w:rFonts w:ascii="Calibri" w:hAnsi="Calibri"/>
                <w:b w:val="0"/>
                <w:i w:val="0"/>
              </w:rPr>
              <w:t>Clothing causes compression artefacts and traps heat. Avoid loose fabric that may move and create pattern artefacts during scanning.</w:t>
            </w:r>
          </w:p>
        </w:tc>
      </w:tr>
      <w:tr>
        <w:tc>
          <w:tcPr>
            <w:tcW w:type="dxa" w:w="3120"/>
          </w:tcPr>
          <w:p>
            <w:pPr>
              <w:spacing w:after="40"/>
            </w:pPr>
            <w:r>
              <w:rPr>
                <w:rFonts w:ascii="Calibri" w:hAnsi="Calibri"/>
                <w:b w:val="0"/>
                <w:i w:val="0"/>
              </w:rPr>
              <w:t>Lotions and creams</w:t>
            </w:r>
          </w:p>
        </w:tc>
        <w:tc>
          <w:tcPr>
            <w:tcW w:type="dxa" w:w="3120"/>
          </w:tcPr>
          <w:p>
            <w:pPr>
              <w:spacing w:after="40"/>
            </w:pPr>
            <w:r>
              <w:rPr>
                <w:rFonts w:ascii="Calibri" w:hAnsi="Calibri"/>
                <w:b w:val="0"/>
                <w:i w:val="0"/>
              </w:rPr>
              <w:t>None on scan day — no moisturisers, massage oils, liniments, analgesic gels, or sunscreen</w:t>
            </w:r>
          </w:p>
        </w:tc>
        <w:tc>
          <w:tcPr>
            <w:tcW w:type="dxa" w:w="3120"/>
          </w:tcPr>
          <w:p>
            <w:pPr>
              <w:spacing w:after="40"/>
            </w:pPr>
            <w:r>
              <w:rPr>
                <w:rFonts w:ascii="Calibri" w:hAnsi="Calibri"/>
                <w:b w:val="0"/>
                <w:i w:val="0"/>
              </w:rPr>
              <w:t>Topical products alter local emissivity and modify evaporative cooling, producing regions of false asymmetry.</w:t>
            </w:r>
          </w:p>
        </w:tc>
      </w:tr>
      <w:tr>
        <w:tc>
          <w:tcPr>
            <w:tcW w:type="dxa" w:w="3120"/>
          </w:tcPr>
          <w:p>
            <w:pPr>
              <w:spacing w:after="40"/>
            </w:pPr>
            <w:r>
              <w:rPr>
                <w:rFonts w:ascii="Calibri" w:hAnsi="Calibri"/>
                <w:b w:val="0"/>
                <w:i w:val="0"/>
              </w:rPr>
              <w:t>Deodorant / antiperspirant</w:t>
            </w:r>
          </w:p>
        </w:tc>
        <w:tc>
          <w:tcPr>
            <w:tcW w:type="dxa" w:w="3120"/>
          </w:tcPr>
          <w:p>
            <w:pPr>
              <w:spacing w:after="40"/>
            </w:pPr>
            <w:r>
              <w:rPr>
                <w:rFonts w:ascii="Calibri" w:hAnsi="Calibri"/>
                <w:b w:val="0"/>
                <w:i w:val="0"/>
              </w:rPr>
              <w:t>None on scan day if axilla or upper arm is a region of interest</w:t>
            </w:r>
          </w:p>
        </w:tc>
        <w:tc>
          <w:tcPr>
            <w:tcW w:type="dxa" w:w="3120"/>
          </w:tcPr>
          <w:p>
            <w:pPr>
              <w:spacing w:after="40"/>
            </w:pPr>
            <w:r>
              <w:rPr>
                <w:rFonts w:ascii="Calibri" w:hAnsi="Calibri"/>
                <w:b w:val="0"/>
                <w:i w:val="0"/>
              </w:rPr>
              <w:t>Aluminium-based antiperspirants block sweat glands, suppressing evaporative cooling and elevating local skin temperature artificially.</w:t>
            </w:r>
          </w:p>
        </w:tc>
      </w:tr>
      <w:tr>
        <w:tc>
          <w:tcPr>
            <w:tcW w:type="dxa" w:w="3120"/>
          </w:tcPr>
          <w:p>
            <w:pPr>
              <w:spacing w:after="40"/>
            </w:pPr>
            <w:r>
              <w:rPr>
                <w:rFonts w:ascii="Calibri" w:hAnsi="Calibri"/>
                <w:b w:val="0"/>
                <w:i w:val="0"/>
              </w:rPr>
              <w:t>Kinesiology tape / strapping</w:t>
            </w:r>
          </w:p>
        </w:tc>
        <w:tc>
          <w:tcPr>
            <w:tcW w:type="dxa" w:w="3120"/>
          </w:tcPr>
          <w:p>
            <w:pPr>
              <w:spacing w:after="40"/>
            </w:pPr>
            <w:r>
              <w:rPr>
                <w:rFonts w:ascii="Calibri" w:hAnsi="Calibri"/>
                <w:b w:val="0"/>
                <w:i w:val="0"/>
              </w:rPr>
              <w:t>Remove ≥ 30 minutes before scan; allow skin impression to resolve</w:t>
            </w:r>
          </w:p>
        </w:tc>
        <w:tc>
          <w:tcPr>
            <w:tcW w:type="dxa" w:w="3120"/>
          </w:tcPr>
          <w:p>
            <w:pPr>
              <w:spacing w:after="40"/>
            </w:pPr>
            <w:r>
              <w:rPr>
                <w:rFonts w:ascii="Calibri" w:hAnsi="Calibri"/>
                <w:b w:val="0"/>
                <w:i w:val="0"/>
              </w:rPr>
              <w:t>Tape application compresses the skin microcirculation. Skin indentation from adhesive continues to influence local temperature for 15–30 minutes after removal.</w:t>
            </w:r>
          </w:p>
        </w:tc>
      </w:tr>
      <w:tr>
        <w:tc>
          <w:tcPr>
            <w:tcW w:type="dxa" w:w="3120"/>
          </w:tcPr>
          <w:p>
            <w:pPr>
              <w:spacing w:after="40"/>
            </w:pPr>
            <w:r>
              <w:rPr>
                <w:rFonts w:ascii="Calibri" w:hAnsi="Calibri"/>
                <w:b w:val="0"/>
                <w:i w:val="0"/>
              </w:rPr>
              <w:t>Sunburn</w:t>
            </w:r>
          </w:p>
        </w:tc>
        <w:tc>
          <w:tcPr>
            <w:tcW w:type="dxa" w:w="3120"/>
          </w:tcPr>
          <w:p>
            <w:pPr>
              <w:spacing w:after="40"/>
            </w:pPr>
            <w:r>
              <w:rPr>
                <w:rFonts w:ascii="Calibri" w:hAnsi="Calibri"/>
                <w:b w:val="0"/>
                <w:i w:val="0"/>
              </w:rPr>
              <w:t>Reschedule if active sunburn present on any region of interest</w:t>
            </w:r>
          </w:p>
        </w:tc>
        <w:tc>
          <w:tcPr>
            <w:tcW w:type="dxa" w:w="3120"/>
          </w:tcPr>
          <w:p>
            <w:pPr>
              <w:spacing w:after="40"/>
            </w:pPr>
            <w:r>
              <w:rPr>
                <w:rFonts w:ascii="Calibri" w:hAnsi="Calibri"/>
                <w:b w:val="0"/>
                <w:i w:val="0"/>
              </w:rPr>
              <w:t>Sunburn produces severe localised hyperthermia that invalidates asymmetry readings for the affected region. Scanning over sunburned skin is non-diagnostic.</w:t>
            </w:r>
          </w:p>
        </w:tc>
      </w:tr>
    </w:tbl>
    <w:p/>
    <w:p>
      <w:pPr>
        <w:pStyle w:val="Heading2"/>
      </w:pPr>
      <w:r>
        <w:t>Pre-Scan Restrictions</w:t>
      </w:r>
    </w:p>
    <w:p>
      <w:pPr>
        <w:spacing w:after="120"/>
      </w:pPr>
      <w:r>
        <w:rPr>
          <w:rFonts w:ascii="Calibri" w:hAnsi="Calibri"/>
          <w:b w:val="0"/>
          <w:i w:val="0"/>
        </w:rPr>
        <w:t>Athletes must observe the following restrictions prior to each scan session. Document compliance as part of the session record.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Factor</w:t>
            </w:r>
          </w:p>
        </w:tc>
        <w:tc>
          <w:tcPr>
            <w:tcW w:type="dxa" w:w="3120"/>
          </w:tcPr>
          <w:p>
            <w:pPr>
              <w:spacing w:after="40"/>
            </w:pPr>
            <w:r>
              <w:rPr>
                <w:rFonts w:ascii="Calibri" w:hAnsi="Calibri"/>
                <w:b/>
                <w:i w:val="0"/>
              </w:rPr>
              <w:t>Minimum Restriction Window</w:t>
            </w:r>
          </w:p>
        </w:tc>
        <w:tc>
          <w:tcPr>
            <w:tcW w:type="dxa" w:w="3120"/>
          </w:tcPr>
          <w:p>
            <w:pPr>
              <w:spacing w:after="40"/>
            </w:pPr>
            <w:r>
              <w:rPr>
                <w:rFonts w:ascii="Calibri" w:hAnsi="Calibri"/>
                <w:b/>
                <w:i w:val="0"/>
              </w:rPr>
              <w:t>Rationale</w:t>
            </w:r>
          </w:p>
        </w:tc>
      </w:tr>
      <w:tr>
        <w:tc>
          <w:tcPr>
            <w:tcW w:type="dxa" w:w="3120"/>
          </w:tcPr>
          <w:p>
            <w:pPr>
              <w:spacing w:after="40"/>
            </w:pPr>
            <w:r>
              <w:rPr>
                <w:rFonts w:ascii="Calibri" w:hAnsi="Calibri"/>
                <w:b w:val="0"/>
                <w:i w:val="0"/>
              </w:rPr>
              <w:t>Vigorous exercise (training, match play)</w:t>
            </w:r>
          </w:p>
        </w:tc>
        <w:tc>
          <w:tcPr>
            <w:tcW w:type="dxa" w:w="3120"/>
          </w:tcPr>
          <w:p>
            <w:pPr>
              <w:spacing w:after="40"/>
            </w:pPr>
            <w:r>
              <w:rPr>
                <w:rFonts w:ascii="Calibri" w:hAnsi="Calibri"/>
                <w:b/>
                <w:i w:val="0"/>
              </w:rPr>
              <w:t>≥ 24 hours</w:t>
            </w:r>
          </w:p>
        </w:tc>
        <w:tc>
          <w:tcPr>
            <w:tcW w:type="dxa" w:w="3120"/>
          </w:tcPr>
          <w:p>
            <w:pPr>
              <w:spacing w:after="40"/>
            </w:pPr>
            <w:r>
              <w:rPr>
                <w:rFonts w:ascii="Calibri" w:hAnsi="Calibri"/>
                <w:b w:val="0"/>
                <w:i w:val="0"/>
              </w:rPr>
              <w:t>Exercise-induced skin temperature changes persist for hours. Reliable asymmetry readings require full thermoregulatory recovery. See Timing section below.</w:t>
            </w:r>
          </w:p>
        </w:tc>
      </w:tr>
      <w:tr>
        <w:tc>
          <w:tcPr>
            <w:tcW w:type="dxa" w:w="3120"/>
          </w:tcPr>
          <w:p>
            <w:pPr>
              <w:spacing w:after="40"/>
            </w:pPr>
            <w:r>
              <w:rPr>
                <w:rFonts w:ascii="Calibri" w:hAnsi="Calibri"/>
                <w:b w:val="0"/>
                <w:i w:val="0"/>
              </w:rPr>
              <w:t>Light activity (walking, gentle stretching)</w:t>
            </w:r>
          </w:p>
        </w:tc>
        <w:tc>
          <w:tcPr>
            <w:tcW w:type="dxa" w:w="3120"/>
          </w:tcPr>
          <w:p>
            <w:pPr>
              <w:spacing w:after="40"/>
            </w:pPr>
            <w:r>
              <w:rPr>
                <w:rFonts w:ascii="Calibri" w:hAnsi="Calibri"/>
                <w:b/>
                <w:i w:val="0"/>
              </w:rPr>
              <w:t>≥ 2 hours</w:t>
            </w:r>
          </w:p>
        </w:tc>
        <w:tc>
          <w:tcPr>
            <w:tcW w:type="dxa" w:w="3120"/>
          </w:tcPr>
          <w:p>
            <w:pPr>
              <w:spacing w:after="40"/>
            </w:pPr>
            <w:r>
              <w:rPr>
                <w:rFonts w:ascii="Calibri" w:hAnsi="Calibri"/>
                <w:b w:val="0"/>
                <w:i w:val="0"/>
              </w:rPr>
              <w:t>Even low-intensity movement elevates peripheral temperature and alters regional distribution. Acclimatisation cannot compensate for recent activity.</w:t>
            </w:r>
          </w:p>
        </w:tc>
      </w:tr>
      <w:tr>
        <w:tc>
          <w:tcPr>
            <w:tcW w:type="dxa" w:w="3120"/>
          </w:tcPr>
          <w:p>
            <w:pPr>
              <w:spacing w:after="40"/>
            </w:pPr>
            <w:r>
              <w:rPr>
                <w:rFonts w:ascii="Calibri" w:hAnsi="Calibri"/>
                <w:b w:val="0"/>
                <w:i w:val="0"/>
              </w:rPr>
              <w:t>Caffeine, nicotine</w:t>
            </w:r>
          </w:p>
        </w:tc>
        <w:tc>
          <w:tcPr>
            <w:tcW w:type="dxa" w:w="3120"/>
          </w:tcPr>
          <w:p>
            <w:pPr>
              <w:spacing w:after="40"/>
            </w:pPr>
            <w:r>
              <w:rPr>
                <w:rFonts w:ascii="Calibri" w:hAnsi="Calibri"/>
                <w:b/>
                <w:i w:val="0"/>
              </w:rPr>
              <w:t>≥ 4 hours</w:t>
            </w:r>
          </w:p>
        </w:tc>
        <w:tc>
          <w:tcPr>
            <w:tcW w:type="dxa" w:w="3120"/>
          </w:tcPr>
          <w:p>
            <w:pPr>
              <w:spacing w:after="40"/>
            </w:pPr>
            <w:r>
              <w:rPr>
                <w:rFonts w:ascii="Calibri" w:hAnsi="Calibri"/>
                <w:b w:val="0"/>
                <w:i w:val="0"/>
              </w:rPr>
              <w:t>Both are vasoconstrictors that reduce peripheral skin temperature and suppress regional thermal gradients, potentially masking genuine asymmetries.</w:t>
            </w:r>
          </w:p>
        </w:tc>
      </w:tr>
      <w:tr>
        <w:tc>
          <w:tcPr>
            <w:tcW w:type="dxa" w:w="3120"/>
          </w:tcPr>
          <w:p>
            <w:pPr>
              <w:spacing w:after="40"/>
            </w:pPr>
            <w:r>
              <w:rPr>
                <w:rFonts w:ascii="Calibri" w:hAnsi="Calibri"/>
                <w:b w:val="0"/>
                <w:i w:val="0"/>
              </w:rPr>
              <w:t>Alcohol</w:t>
            </w:r>
          </w:p>
        </w:tc>
        <w:tc>
          <w:tcPr>
            <w:tcW w:type="dxa" w:w="3120"/>
          </w:tcPr>
          <w:p>
            <w:pPr>
              <w:spacing w:after="40"/>
            </w:pPr>
            <w:r>
              <w:rPr>
                <w:rFonts w:ascii="Calibri" w:hAnsi="Calibri"/>
                <w:b/>
                <w:i w:val="0"/>
              </w:rPr>
              <w:t>≥ 4 hours</w:t>
            </w:r>
            <w:r>
              <w:rPr>
                <w:rFonts w:ascii="Calibri" w:hAnsi="Calibri"/>
                <w:b w:val="0"/>
                <w:i w:val="0"/>
              </w:rPr>
              <w:t xml:space="preserve"> (24 hours preferred)</w:t>
            </w:r>
          </w:p>
        </w:tc>
        <w:tc>
          <w:tcPr>
            <w:tcW w:type="dxa" w:w="3120"/>
          </w:tcPr>
          <w:p>
            <w:pPr>
              <w:spacing w:after="40"/>
            </w:pPr>
            <w:r>
              <w:rPr>
                <w:rFonts w:ascii="Calibri" w:hAnsi="Calibri"/>
                <w:b w:val="0"/>
                <w:i w:val="0"/>
              </w:rPr>
              <w:t>Alcohol is a potent peripheral vasodilator. Even moderate intake produces global skin temperature elevation that compresses asymmetry values toward zero.</w:t>
            </w:r>
          </w:p>
        </w:tc>
      </w:tr>
      <w:tr>
        <w:tc>
          <w:tcPr>
            <w:tcW w:type="dxa" w:w="3120"/>
          </w:tcPr>
          <w:p>
            <w:pPr>
              <w:spacing w:after="40"/>
            </w:pPr>
            <w:r>
              <w:rPr>
                <w:rFonts w:ascii="Calibri" w:hAnsi="Calibri"/>
                <w:b w:val="0"/>
                <w:i w:val="0"/>
              </w:rPr>
              <w:t>Hot or cold beverages</w:t>
            </w:r>
          </w:p>
        </w:tc>
        <w:tc>
          <w:tcPr>
            <w:tcW w:type="dxa" w:w="3120"/>
          </w:tcPr>
          <w:p>
            <w:pPr>
              <w:spacing w:after="40"/>
            </w:pPr>
            <w:r>
              <w:rPr>
                <w:rFonts w:ascii="Calibri" w:hAnsi="Calibri"/>
                <w:b/>
                <w:i w:val="0"/>
              </w:rPr>
              <w:t>≥ 1–2 hours</w:t>
            </w:r>
          </w:p>
        </w:tc>
        <w:tc>
          <w:tcPr>
            <w:tcW w:type="dxa" w:w="3120"/>
          </w:tcPr>
          <w:p>
            <w:pPr>
              <w:spacing w:after="40"/>
            </w:pPr>
            <w:r>
              <w:rPr>
                <w:rFonts w:ascii="Calibri" w:hAnsi="Calibri"/>
                <w:b w:val="0"/>
                <w:i w:val="0"/>
              </w:rPr>
              <w:t>Core temperature changes from beverages are reflected in skin temperature within 30–60 minutes. Anterior trunk readings are most sensitive to this effect.</w:t>
            </w:r>
          </w:p>
        </w:tc>
      </w:tr>
      <w:tr>
        <w:tc>
          <w:tcPr>
            <w:tcW w:type="dxa" w:w="3120"/>
          </w:tcPr>
          <w:p>
            <w:pPr>
              <w:spacing w:after="40"/>
            </w:pPr>
            <w:r>
              <w:rPr>
                <w:rFonts w:ascii="Calibri" w:hAnsi="Calibri"/>
                <w:b w:val="0"/>
                <w:i w:val="0"/>
              </w:rPr>
              <w:t>Large meal</w:t>
            </w:r>
          </w:p>
        </w:tc>
        <w:tc>
          <w:tcPr>
            <w:tcW w:type="dxa" w:w="3120"/>
          </w:tcPr>
          <w:p>
            <w:pPr>
              <w:spacing w:after="40"/>
            </w:pPr>
            <w:r>
              <w:rPr>
                <w:rFonts w:ascii="Calibri" w:hAnsi="Calibri"/>
                <w:b/>
                <w:i w:val="0"/>
              </w:rPr>
              <w:t>≥ 2 hours</w:t>
            </w:r>
          </w:p>
        </w:tc>
        <w:tc>
          <w:tcPr>
            <w:tcW w:type="dxa" w:w="3120"/>
          </w:tcPr>
          <w:p>
            <w:pPr>
              <w:spacing w:after="40"/>
            </w:pPr>
            <w:r>
              <w:rPr>
                <w:rFonts w:ascii="Calibri" w:hAnsi="Calibri"/>
                <w:b w:val="0"/>
                <w:i w:val="0"/>
              </w:rPr>
              <w:t>Postprandial thermic effect and visceral blood flow shift can alter trunk and abdominal skin temperatures. Light snacks are acceptable.</w:t>
            </w:r>
          </w:p>
        </w:tc>
      </w:tr>
    </w:tbl>
    <w:p/>
    <w:p>
      <w:pPr>
        <w:pStyle w:val="Heading2"/>
      </w:pPr>
      <w:r>
        <w:t>Scan Timing Relative to Exercise</w:t>
      </w:r>
    </w:p>
    <w:p>
      <w:pPr>
        <w:spacing w:after="120"/>
      </w:pPr>
      <w:r>
        <w:rPr>
          <w:rFonts w:ascii="Calibri" w:hAnsi="Calibri"/>
          <w:b/>
          <w:i w:val="0"/>
        </w:rPr>
        <w:t>The preferred scan window is before that day's training session.</w:t>
      </w:r>
      <w:r>
        <w:rPr>
          <w:rFonts w:ascii="Calibri" w:hAnsi="Calibri"/>
          <w:b w:val="0"/>
          <w:i w:val="0"/>
        </w:rPr>
        <w:t xml:space="preserve"> Pre-training scanning eliminates exercise-induced thermal artefacts entirely, produces the most stable baseline readings, and ensures scans are not lost to scheduling conflicts after a session. Always aim to scan at the same time of day relative to training.</w:t>
      </w:r>
    </w:p>
    <w:p>
      <w:pPr/>
      <w:r>
        <w:rPr>
          <w:rFonts w:ascii="Calibri" w:hAnsi="Calibri"/>
          <w:b w:val="0"/>
          <w:i w:val="0"/>
        </w:rPr>
        <w:t>📋</w:t>
      </w:r>
    </w:p>
    <w:p>
      <w:pPr/>
      <w:r>
        <w:rPr>
          <w:rFonts w:ascii="Calibri" w:hAnsi="Calibri"/>
          <w:b w:val="0"/>
          <w:i w:val="0"/>
        </w:rPr>
        <w:t>Post-Exercise Thermal Response</w:t>
      </w:r>
    </w:p>
    <w:p>
      <w:pPr>
        <w:spacing w:after="120"/>
      </w:pPr>
      <w:r>
        <w:rPr>
          <w:rFonts w:ascii="Calibri" w:hAnsi="Calibri"/>
          <w:b w:val="0"/>
          <w:i w:val="0"/>
        </w:rPr>
        <w:t xml:space="preserve">Skin temperature does not simply remain elevated after exercise. It follows a biphasic pattern: an initial drop in the first 0–15 minutes (vasoconstriction during cool-down), followed by a prolonged rebound rise that can persist for several hours as inflammatory and perfusion responses evolve. This dynamic, non-monotonic response means there is no reliable post-exercise window for valid asymmetry assessment below 24 hours. Post-exercise scans should be avoided for diagnostic purposes. </w:t>
      </w:r>
      <w:r>
        <w:rPr>
          <w:rFonts w:ascii="Calibri" w:hAnsi="Calibri"/>
          <w:b w:val="0"/>
          <w:i/>
        </w:rPr>
        <w:t>(Masur et al., Frontiers systematic review, 2024)</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Timing Scenario</w:t>
            </w:r>
          </w:p>
        </w:tc>
        <w:tc>
          <w:tcPr>
            <w:tcW w:type="dxa" w:w="3120"/>
          </w:tcPr>
          <w:p>
            <w:pPr>
              <w:spacing w:after="40"/>
            </w:pPr>
            <w:r>
              <w:rPr>
                <w:rFonts w:ascii="Calibri" w:hAnsi="Calibri"/>
                <w:b/>
                <w:i w:val="0"/>
              </w:rPr>
              <w:t>Status</w:t>
            </w:r>
          </w:p>
        </w:tc>
        <w:tc>
          <w:tcPr>
            <w:tcW w:type="dxa" w:w="3120"/>
          </w:tcPr>
          <w:p>
            <w:pPr>
              <w:spacing w:after="40"/>
            </w:pPr>
            <w:r>
              <w:rPr>
                <w:rFonts w:ascii="Calibri" w:hAnsi="Calibri"/>
                <w:b/>
                <w:i w:val="0"/>
              </w:rPr>
              <w:t>Notes</w:t>
            </w:r>
          </w:p>
        </w:tc>
      </w:tr>
      <w:tr>
        <w:tc>
          <w:tcPr>
            <w:tcW w:type="dxa" w:w="3120"/>
          </w:tcPr>
          <w:p>
            <w:pPr>
              <w:spacing w:after="40"/>
            </w:pPr>
            <w:r>
              <w:rPr>
                <w:rFonts w:ascii="Calibri" w:hAnsi="Calibri"/>
                <w:b w:val="0"/>
                <w:i w:val="0"/>
              </w:rPr>
              <w:t>Before training — preferred window</w:t>
            </w:r>
          </w:p>
        </w:tc>
        <w:tc>
          <w:tcPr>
            <w:tcW w:type="dxa" w:w="3120"/>
          </w:tcPr>
          <w:p>
            <w:pPr>
              <w:spacing w:after="40"/>
            </w:pPr>
            <w:r>
              <w:rPr>
                <w:rFonts w:ascii="Calibri" w:hAnsi="Calibri"/>
                <w:b w:val="0"/>
                <w:i w:val="0"/>
              </w:rPr>
              <w:t>✅ Preferred</w:t>
            </w:r>
          </w:p>
        </w:tc>
        <w:tc>
          <w:tcPr>
            <w:tcW w:type="dxa" w:w="3120"/>
          </w:tcPr>
          <w:p>
            <w:pPr>
              <w:spacing w:after="40"/>
            </w:pPr>
            <w:r>
              <w:rPr>
                <w:rFonts w:ascii="Calibri" w:hAnsi="Calibri"/>
                <w:b w:val="0"/>
                <w:i w:val="0"/>
              </w:rPr>
              <w:t>Lowest artefact risk. Consistently captures the athlete's resting thermal state. Recommended as the standard protocol window.</w:t>
            </w:r>
          </w:p>
        </w:tc>
      </w:tr>
      <w:tr>
        <w:tc>
          <w:tcPr>
            <w:tcW w:type="dxa" w:w="3120"/>
          </w:tcPr>
          <w:p>
            <w:pPr>
              <w:spacing w:after="40"/>
            </w:pPr>
            <w:r>
              <w:rPr>
                <w:rFonts w:ascii="Calibri" w:hAnsi="Calibri"/>
                <w:b w:val="0"/>
                <w:i w:val="0"/>
              </w:rPr>
              <w:t>≥ 24 hours after vigorous exercise</w:t>
            </w:r>
          </w:p>
        </w:tc>
        <w:tc>
          <w:tcPr>
            <w:tcW w:type="dxa" w:w="3120"/>
          </w:tcPr>
          <w:p>
            <w:pPr>
              <w:spacing w:after="40"/>
            </w:pPr>
            <w:r>
              <w:rPr>
                <w:rFonts w:ascii="Calibri" w:hAnsi="Calibri"/>
                <w:b w:val="0"/>
                <w:i w:val="0"/>
              </w:rPr>
              <w:t>✅ Acceptable</w:t>
            </w:r>
          </w:p>
        </w:tc>
        <w:tc>
          <w:tcPr>
            <w:tcW w:type="dxa" w:w="3120"/>
          </w:tcPr>
          <w:p>
            <w:pPr>
              <w:spacing w:after="40"/>
            </w:pPr>
            <w:r>
              <w:rPr>
                <w:rFonts w:ascii="Calibri" w:hAnsi="Calibri"/>
                <w:b w:val="0"/>
                <w:i w:val="0"/>
              </w:rPr>
              <w:t>Full thermoregulatory recovery. Diagnostic-quality scan achievable. Document time since last vigorous exercise in session record.</w:t>
            </w:r>
          </w:p>
        </w:tc>
      </w:tr>
      <w:tr>
        <w:tc>
          <w:tcPr>
            <w:tcW w:type="dxa" w:w="3120"/>
          </w:tcPr>
          <w:p>
            <w:pPr>
              <w:spacing w:after="40"/>
            </w:pPr>
            <w:r>
              <w:rPr>
                <w:rFonts w:ascii="Calibri" w:hAnsi="Calibri"/>
                <w:b w:val="0"/>
                <w:i w:val="0"/>
              </w:rPr>
              <w:t>2–23 hours after vigorous exercise</w:t>
            </w:r>
          </w:p>
        </w:tc>
        <w:tc>
          <w:tcPr>
            <w:tcW w:type="dxa" w:w="3120"/>
          </w:tcPr>
          <w:p>
            <w:pPr>
              <w:spacing w:after="40"/>
            </w:pPr>
            <w:r>
              <w:rPr>
                <w:rFonts w:ascii="Calibri" w:hAnsi="Calibri"/>
                <w:b w:val="0"/>
                <w:i w:val="0"/>
              </w:rPr>
              <w:t>⚠️ Compromised</w:t>
            </w:r>
          </w:p>
        </w:tc>
        <w:tc>
          <w:tcPr>
            <w:tcW w:type="dxa" w:w="3120"/>
          </w:tcPr>
          <w:p>
            <w:pPr>
              <w:spacing w:after="40"/>
            </w:pPr>
            <w:r>
              <w:rPr>
                <w:rFonts w:ascii="Calibri" w:hAnsi="Calibri"/>
                <w:b w:val="0"/>
                <w:i w:val="0"/>
              </w:rPr>
              <w:t>Residual post-exercise thermal signal present. Scan will reflect a mixture of exercise response and underlying tissue state. Avoid for diagnostic purposes; use only for trend monitoring with explicit flag in report.</w:t>
            </w:r>
          </w:p>
        </w:tc>
      </w:tr>
      <w:tr>
        <w:tc>
          <w:tcPr>
            <w:tcW w:type="dxa" w:w="3120"/>
          </w:tcPr>
          <w:p>
            <w:pPr>
              <w:spacing w:after="40"/>
            </w:pPr>
            <w:r>
              <w:rPr>
                <w:rFonts w:ascii="Calibri" w:hAnsi="Calibri"/>
                <w:b w:val="0"/>
                <w:i w:val="0"/>
              </w:rPr>
              <w:t>0–2 hours after vigorous exercise</w:t>
            </w:r>
          </w:p>
        </w:tc>
        <w:tc>
          <w:tcPr>
            <w:tcW w:type="dxa" w:w="3120"/>
          </w:tcPr>
          <w:p>
            <w:pPr>
              <w:spacing w:after="40"/>
            </w:pPr>
            <w:r>
              <w:rPr>
                <w:rFonts w:ascii="Calibri" w:hAnsi="Calibri"/>
                <w:b w:val="0"/>
                <w:i w:val="0"/>
              </w:rPr>
              <w:t>❌ Invalid</w:t>
            </w:r>
          </w:p>
        </w:tc>
        <w:tc>
          <w:tcPr>
            <w:tcW w:type="dxa" w:w="3120"/>
          </w:tcPr>
          <w:p>
            <w:pPr>
              <w:spacing w:after="40"/>
            </w:pPr>
            <w:r>
              <w:rPr>
                <w:rFonts w:ascii="Calibri" w:hAnsi="Calibri"/>
                <w:b w:val="0"/>
                <w:i w:val="0"/>
              </w:rPr>
              <w:t>Acute exercise response dominates thermal image. Asymmetry readings non-diagnostic. Do not use for COMPASS classification.</w:t>
            </w:r>
          </w:p>
        </w:tc>
      </w:tr>
      <w:tr>
        <w:tc>
          <w:tcPr>
            <w:tcW w:type="dxa" w:w="3120"/>
          </w:tcPr>
          <w:p>
            <w:pPr>
              <w:spacing w:after="40"/>
            </w:pPr>
            <w:r>
              <w:rPr>
                <w:rFonts w:ascii="Calibri" w:hAnsi="Calibri"/>
                <w:b w:val="0"/>
                <w:i w:val="0"/>
              </w:rPr>
              <w:t>≥ 2 hours after light activity only</w:t>
            </w:r>
          </w:p>
        </w:tc>
        <w:tc>
          <w:tcPr>
            <w:tcW w:type="dxa" w:w="3120"/>
          </w:tcPr>
          <w:p>
            <w:pPr>
              <w:spacing w:after="40"/>
            </w:pPr>
            <w:r>
              <w:rPr>
                <w:rFonts w:ascii="Calibri" w:hAnsi="Calibri"/>
                <w:b w:val="0"/>
                <w:i w:val="0"/>
              </w:rPr>
              <w:t>✅ Acceptable</w:t>
            </w:r>
          </w:p>
        </w:tc>
        <w:tc>
          <w:tcPr>
            <w:tcW w:type="dxa" w:w="3120"/>
          </w:tcPr>
          <w:p>
            <w:pPr>
              <w:spacing w:after="40"/>
            </w:pPr>
            <w:r>
              <w:rPr>
                <w:rFonts w:ascii="Calibri" w:hAnsi="Calibri"/>
                <w:b w:val="0"/>
                <w:i w:val="0"/>
              </w:rPr>
              <w:t>Sufficient recovery for light-activity athletes. Confirm no vigorous activity in prior 24 hours.</w:t>
            </w:r>
          </w:p>
        </w:tc>
      </w:tr>
    </w:tbl>
    <w:p/>
    <w:p>
      <w:pPr>
        <w:pStyle w:val="Heading2"/>
      </w:pPr>
      <w:r>
        <w:t>Scan Timing Relative to Physiotherapy &amp; Recovery Treatments</w:t>
      </w:r>
    </w:p>
    <w:p>
      <w:pPr>
        <w:spacing w:after="120"/>
      </w:pPr>
      <w:r>
        <w:rPr>
          <w:rFonts w:ascii="Calibri" w:hAnsi="Calibri"/>
          <w:b w:val="0"/>
          <w:i w:val="0"/>
        </w:rPr>
        <w:t>All hands-on treatments and recovery modalities must be separated from thermography by a minimum of 24 hours. There are no exceptions — any treatment that directly manipulates skin temperature, circulation, or soft tissue is incompatible with same-day scanning.</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Treatment / Modality</w:t>
            </w:r>
          </w:p>
        </w:tc>
        <w:tc>
          <w:tcPr>
            <w:tcW w:type="dxa" w:w="3120"/>
          </w:tcPr>
          <w:p>
            <w:pPr>
              <w:spacing w:after="40"/>
            </w:pPr>
            <w:r>
              <w:rPr>
                <w:rFonts w:ascii="Calibri" w:hAnsi="Calibri"/>
                <w:b/>
                <w:i w:val="0"/>
              </w:rPr>
              <w:t>Minimum Wait</w:t>
            </w:r>
          </w:p>
        </w:tc>
        <w:tc>
          <w:tcPr>
            <w:tcW w:type="dxa" w:w="3120"/>
          </w:tcPr>
          <w:p>
            <w:pPr>
              <w:spacing w:after="40"/>
            </w:pPr>
            <w:r>
              <w:rPr>
                <w:rFonts w:ascii="Calibri" w:hAnsi="Calibri"/>
                <w:b/>
                <w:i w:val="0"/>
              </w:rPr>
              <w:t>Rationale</w:t>
            </w:r>
          </w:p>
        </w:tc>
      </w:tr>
      <w:tr>
        <w:tc>
          <w:tcPr>
            <w:tcW w:type="dxa" w:w="3120"/>
          </w:tcPr>
          <w:p>
            <w:pPr>
              <w:spacing w:after="40"/>
            </w:pPr>
            <w:r>
              <w:rPr>
                <w:rFonts w:ascii="Calibri" w:hAnsi="Calibri"/>
                <w:b w:val="0"/>
                <w:i w:val="0"/>
              </w:rPr>
              <w:t>Massage, soft tissue therapy, manual therapy</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Mechanical stimulation increases local perfusion and skin temperature. Effects persist for many hours post-treatment.</w:t>
            </w:r>
          </w:p>
        </w:tc>
      </w:tr>
      <w:tr>
        <w:tc>
          <w:tcPr>
            <w:tcW w:type="dxa" w:w="3120"/>
          </w:tcPr>
          <w:p>
            <w:pPr>
              <w:spacing w:after="40"/>
            </w:pPr>
            <w:r>
              <w:rPr>
                <w:rFonts w:ascii="Calibri" w:hAnsi="Calibri"/>
                <w:b w:val="0"/>
                <w:i w:val="0"/>
              </w:rPr>
              <w:t>Therapeutic ultrasound</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Deep tissue heating from ultrasound is reflected in surface temperature for several hours.</w:t>
            </w:r>
          </w:p>
        </w:tc>
      </w:tr>
      <w:tr>
        <w:tc>
          <w:tcPr>
            <w:tcW w:type="dxa" w:w="3120"/>
          </w:tcPr>
          <w:p>
            <w:pPr>
              <w:spacing w:after="40"/>
            </w:pPr>
            <w:r>
              <w:rPr>
                <w:rFonts w:ascii="Calibri" w:hAnsi="Calibri"/>
                <w:b w:val="0"/>
                <w:i w:val="0"/>
              </w:rPr>
              <w:t>TENS / EMS (electrostimulation)</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Electrical stimulation produces localised muscle activation and skin electrode contact artefacts.</w:t>
            </w:r>
          </w:p>
        </w:tc>
      </w:tr>
      <w:tr>
        <w:tc>
          <w:tcPr>
            <w:tcW w:type="dxa" w:w="3120"/>
          </w:tcPr>
          <w:p>
            <w:pPr>
              <w:spacing w:after="40"/>
            </w:pPr>
            <w:r>
              <w:rPr>
                <w:rFonts w:ascii="Calibri" w:hAnsi="Calibri"/>
                <w:b w:val="0"/>
                <w:i w:val="0"/>
              </w:rPr>
              <w:t>Dry needling / acupuncture</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Needle insertion provokes a local inflammatory and vasodilatory response that persists well beyond the session.</w:t>
            </w:r>
          </w:p>
        </w:tc>
      </w:tr>
      <w:tr>
        <w:tc>
          <w:tcPr>
            <w:tcW w:type="dxa" w:w="3120"/>
          </w:tcPr>
          <w:p>
            <w:pPr>
              <w:spacing w:after="40"/>
            </w:pPr>
            <w:r>
              <w:rPr>
                <w:rFonts w:ascii="Calibri" w:hAnsi="Calibri"/>
                <w:b w:val="0"/>
                <w:i w:val="0"/>
              </w:rPr>
              <w:t>Heat packs, infrared, diathermy</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Direct thermal input invalidates surface temperature readings for the treated region.</w:t>
            </w:r>
          </w:p>
        </w:tc>
      </w:tr>
      <w:tr>
        <w:tc>
          <w:tcPr>
            <w:tcW w:type="dxa" w:w="3120"/>
          </w:tcPr>
          <w:p>
            <w:pPr>
              <w:spacing w:after="40"/>
            </w:pPr>
            <w:r>
              <w:rPr>
                <w:rFonts w:ascii="Calibri" w:hAnsi="Calibri"/>
                <w:b w:val="0"/>
                <w:i w:val="0"/>
              </w:rPr>
              <w:t>Ice packs, cryotherapy, cold spray</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Prolonged vasoconstriction and rebound hyperaemia following cold application persist for hours.</w:t>
            </w:r>
          </w:p>
        </w:tc>
      </w:tr>
      <w:tr>
        <w:tc>
          <w:tcPr>
            <w:tcW w:type="dxa" w:w="3120"/>
          </w:tcPr>
          <w:p>
            <w:pPr>
              <w:spacing w:after="40"/>
            </w:pPr>
            <w:r>
              <w:rPr>
                <w:rFonts w:ascii="Calibri" w:hAnsi="Calibri"/>
                <w:b w:val="0"/>
                <w:i w:val="0"/>
              </w:rPr>
              <w:t>Ice bath / cold water immersion (CWI)</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Whole-body cold exposure causes systemic thermoregulatory responses that persist for many hours.</w:t>
            </w:r>
          </w:p>
        </w:tc>
      </w:tr>
      <w:tr>
        <w:tc>
          <w:tcPr>
            <w:tcW w:type="dxa" w:w="3120"/>
          </w:tcPr>
          <w:p>
            <w:pPr>
              <w:spacing w:after="40"/>
            </w:pPr>
            <w:r>
              <w:rPr>
                <w:rFonts w:ascii="Calibri" w:hAnsi="Calibri"/>
                <w:b w:val="0"/>
                <w:i w:val="0"/>
              </w:rPr>
              <w:t>Hydrotherapy (warm/contrast pools)</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Water temperature and hydrostatic pressure alter regional skin perfusion patterns bilaterally.</w:t>
            </w:r>
          </w:p>
        </w:tc>
      </w:tr>
      <w:tr>
        <w:tc>
          <w:tcPr>
            <w:tcW w:type="dxa" w:w="3120"/>
          </w:tcPr>
          <w:p>
            <w:pPr>
              <w:spacing w:after="40"/>
            </w:pPr>
            <w:r>
              <w:rPr>
                <w:rFonts w:ascii="Calibri" w:hAnsi="Calibri"/>
                <w:b w:val="0"/>
                <w:i w:val="0"/>
              </w:rPr>
              <w:t>Sauna / steam room</w:t>
            </w:r>
          </w:p>
        </w:tc>
        <w:tc>
          <w:tcPr>
            <w:tcW w:type="dxa" w:w="3120"/>
          </w:tcPr>
          <w:p>
            <w:pPr>
              <w:spacing w:after="40"/>
            </w:pPr>
            <w:r>
              <w:rPr>
                <w:rFonts w:ascii="Calibri" w:hAnsi="Calibri"/>
                <w:b/>
                <w:i w:val="0"/>
              </w:rPr>
              <w:t>24 hours</w:t>
            </w:r>
          </w:p>
        </w:tc>
        <w:tc>
          <w:tcPr>
            <w:tcW w:type="dxa" w:w="3120"/>
          </w:tcPr>
          <w:p>
            <w:pPr>
              <w:spacing w:after="40"/>
            </w:pPr>
            <w:r>
              <w:rPr>
                <w:rFonts w:ascii="Calibri" w:hAnsi="Calibri"/>
                <w:b w:val="0"/>
                <w:i w:val="0"/>
              </w:rPr>
              <w:t>Systemic vasodilation from heat exposure masks asymmetry patterns across all body regions.</w:t>
            </w:r>
          </w:p>
        </w:tc>
      </w:tr>
    </w:tbl>
    <w:p/>
    <w:p>
      <w:pPr>
        <w:pStyle w:val="Heading2"/>
      </w:pPr>
      <w:r>
        <w:t>Time of Day</w:t>
      </w:r>
    </w:p>
    <w:p>
      <w:pPr>
        <w:spacing w:after="120"/>
      </w:pPr>
      <w:r>
        <w:rPr>
          <w:rFonts w:ascii="Calibri" w:hAnsi="Calibri"/>
          <w:b w:val="0"/>
          <w:i w:val="0"/>
        </w:rPr>
        <w:t xml:space="preserve">Skin temperature follows a circadian rhythm, rising through the morning and plateauing in the afternoon. The difference between peak and trough is approximately 1°C — more than twice the COMPASS alert threshold. Intra-athlete comparisons must always be made between scans taken at the same time of day. </w:t>
      </w:r>
      <w:r>
        <w:rPr>
          <w:rFonts w:ascii="Calibri" w:hAnsi="Calibri"/>
          <w:b w:val="0"/>
          <w:i/>
        </w:rPr>
        <w:t>(ScienceDirect, 2015)</w:t>
      </w:r>
    </w:p>
    <w:p>
      <w:pPr/>
      <w:r>
        <w:rPr>
          <w:rFonts w:ascii="Calibri" w:hAnsi="Calibri"/>
          <w:b w:val="0"/>
          <w:i w:val="0"/>
        </w:rPr>
        <w:t>🕐</w:t>
      </w:r>
    </w:p>
    <w:p>
      <w:pPr/>
      <w:r>
        <w:rPr>
          <w:rFonts w:ascii="Calibri" w:hAnsi="Calibri"/>
          <w:b w:val="0"/>
          <w:i w:val="0"/>
        </w:rPr>
        <w:t>Preferred Scan Window: 14:00–18:00</w:t>
      </w:r>
    </w:p>
    <w:p>
      <w:pPr>
        <w:spacing w:after="120"/>
      </w:pPr>
      <w:r>
        <w:rPr>
          <w:rFonts w:ascii="Calibri" w:hAnsi="Calibri"/>
          <w:b w:val="0"/>
          <w:i w:val="0"/>
        </w:rPr>
        <w:t>The afternoon window provides the lowest circadian noise — skin temperature is on its plateau phase, making values less sensitive to minor scheduling variation. Morning scans are acceptable if consistent, but never compare a morning scan to an afternoon scan for the same athlete. Document scan time in every session record. If your programme's schedule requires morning scanning, establish the athlete's baseline entirely within morning sessions.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Calibri" w:hAnsi="Calibri"/>
                <w:b/>
                <w:i w:val="0"/>
              </w:rPr>
              <w:t>Time Window</w:t>
            </w:r>
          </w:p>
        </w:tc>
        <w:tc>
          <w:tcPr>
            <w:tcW w:type="dxa" w:w="3120"/>
          </w:tcPr>
          <w:p>
            <w:pPr>
              <w:spacing w:after="40"/>
            </w:pPr>
            <w:r>
              <w:rPr>
                <w:rFonts w:ascii="Calibri" w:hAnsi="Calibri"/>
                <w:b/>
                <w:i w:val="0"/>
              </w:rPr>
              <w:t>Circadian Phase</w:t>
            </w:r>
          </w:p>
        </w:tc>
        <w:tc>
          <w:tcPr>
            <w:tcW w:type="dxa" w:w="3120"/>
          </w:tcPr>
          <w:p>
            <w:pPr>
              <w:spacing w:after="40"/>
            </w:pPr>
            <w:r>
              <w:rPr>
                <w:rFonts w:ascii="Calibri" w:hAnsi="Calibri"/>
                <w:b/>
                <w:i w:val="0"/>
              </w:rPr>
              <w:t>Recommendation</w:t>
            </w:r>
          </w:p>
        </w:tc>
      </w:tr>
      <w:tr>
        <w:tc>
          <w:tcPr>
            <w:tcW w:type="dxa" w:w="3120"/>
          </w:tcPr>
          <w:p>
            <w:pPr>
              <w:spacing w:after="40"/>
            </w:pPr>
            <w:r>
              <w:rPr>
                <w:rFonts w:ascii="Calibri" w:hAnsi="Calibri"/>
                <w:b w:val="0"/>
                <w:i w:val="0"/>
              </w:rPr>
              <w:t>06:00–10:00</w:t>
            </w:r>
          </w:p>
        </w:tc>
        <w:tc>
          <w:tcPr>
            <w:tcW w:type="dxa" w:w="3120"/>
          </w:tcPr>
          <w:p>
            <w:pPr>
              <w:spacing w:after="40"/>
            </w:pPr>
            <w:r>
              <w:rPr>
                <w:rFonts w:ascii="Calibri" w:hAnsi="Calibri"/>
                <w:b w:val="0"/>
                <w:i w:val="0"/>
              </w:rPr>
              <w:t>Rising phase — skin temp at daily minimum (~07:00), ascending</w:t>
            </w:r>
          </w:p>
        </w:tc>
        <w:tc>
          <w:tcPr>
            <w:tcW w:type="dxa" w:w="3120"/>
          </w:tcPr>
          <w:p>
            <w:pPr>
              <w:spacing w:after="40"/>
            </w:pPr>
            <w:r>
              <w:rPr>
                <w:rFonts w:ascii="Calibri" w:hAnsi="Calibri"/>
                <w:b w:val="0"/>
                <w:i w:val="0"/>
              </w:rPr>
              <w:t>Acceptable if consistent. Highest sensitivity to minor scheduling variation. Establish entire baseline in this window if used.</w:t>
            </w:r>
          </w:p>
        </w:tc>
      </w:tr>
      <w:tr>
        <w:tc>
          <w:tcPr>
            <w:tcW w:type="dxa" w:w="3120"/>
          </w:tcPr>
          <w:p>
            <w:pPr>
              <w:spacing w:after="40"/>
            </w:pPr>
            <w:r>
              <w:rPr>
                <w:rFonts w:ascii="Calibri" w:hAnsi="Calibri"/>
                <w:b w:val="0"/>
                <w:i w:val="0"/>
              </w:rPr>
              <w:t>10:00–14:00</w:t>
            </w:r>
          </w:p>
        </w:tc>
        <w:tc>
          <w:tcPr>
            <w:tcW w:type="dxa" w:w="3120"/>
          </w:tcPr>
          <w:p>
            <w:pPr>
              <w:spacing w:after="40"/>
            </w:pPr>
            <w:r>
              <w:rPr>
                <w:rFonts w:ascii="Calibri" w:hAnsi="Calibri"/>
                <w:b w:val="0"/>
                <w:i w:val="0"/>
              </w:rPr>
              <w:t>Mid-rise — temperature increasing</w:t>
            </w:r>
          </w:p>
        </w:tc>
        <w:tc>
          <w:tcPr>
            <w:tcW w:type="dxa" w:w="3120"/>
          </w:tcPr>
          <w:p>
            <w:pPr>
              <w:spacing w:after="40"/>
            </w:pPr>
            <w:r>
              <w:rPr>
                <w:rFonts w:ascii="Calibri" w:hAnsi="Calibri"/>
                <w:b w:val="0"/>
                <w:i w:val="0"/>
              </w:rPr>
              <w:t>Acceptable if consistent. Avoid mixing with afternoon scans.</w:t>
            </w:r>
          </w:p>
        </w:tc>
      </w:tr>
      <w:tr>
        <w:tc>
          <w:tcPr>
            <w:tcW w:type="dxa" w:w="3120"/>
          </w:tcPr>
          <w:p>
            <w:pPr>
              <w:spacing w:after="40"/>
            </w:pPr>
            <w:r>
              <w:rPr>
                <w:rFonts w:ascii="Calibri" w:hAnsi="Calibri"/>
                <w:b w:val="0"/>
                <w:i w:val="0"/>
              </w:rPr>
              <w:t>14:00–18:00</w:t>
            </w:r>
          </w:p>
        </w:tc>
        <w:tc>
          <w:tcPr>
            <w:tcW w:type="dxa" w:w="3120"/>
          </w:tcPr>
          <w:p>
            <w:pPr>
              <w:spacing w:after="40"/>
            </w:pPr>
            <w:r>
              <w:rPr>
                <w:rFonts w:ascii="Calibri" w:hAnsi="Calibri"/>
                <w:b w:val="0"/>
                <w:i w:val="0"/>
              </w:rPr>
              <w:t>Plateau phase — lowest circadian noise</w:t>
            </w:r>
          </w:p>
        </w:tc>
        <w:tc>
          <w:tcPr>
            <w:tcW w:type="dxa" w:w="3120"/>
          </w:tcPr>
          <w:p>
            <w:pPr>
              <w:spacing w:after="40"/>
            </w:pPr>
            <w:r>
              <w:rPr>
                <w:rFonts w:ascii="Calibri" w:hAnsi="Calibri"/>
                <w:b/>
                <w:i w:val="0"/>
              </w:rPr>
              <w:t>Preferred window.</w:t>
            </w:r>
            <w:r>
              <w:rPr>
                <w:rFonts w:ascii="Calibri" w:hAnsi="Calibri"/>
                <w:b w:val="0"/>
                <w:i w:val="0"/>
              </w:rPr>
              <w:t xml:space="preserve"> Temperature stable; least sensitive to minor scheduling variation of ±30 minutes.</w:t>
            </w:r>
          </w:p>
        </w:tc>
      </w:tr>
      <w:tr>
        <w:tc>
          <w:tcPr>
            <w:tcW w:type="dxa" w:w="3120"/>
          </w:tcPr>
          <w:p>
            <w:pPr>
              <w:spacing w:after="40"/>
            </w:pPr>
            <w:r>
              <w:rPr>
                <w:rFonts w:ascii="Calibri" w:hAnsi="Calibri"/>
                <w:b w:val="0"/>
                <w:i w:val="0"/>
              </w:rPr>
              <w:t>After 18:00</w:t>
            </w:r>
          </w:p>
        </w:tc>
        <w:tc>
          <w:tcPr>
            <w:tcW w:type="dxa" w:w="3120"/>
          </w:tcPr>
          <w:p>
            <w:pPr>
              <w:spacing w:after="40"/>
            </w:pPr>
            <w:r>
              <w:rPr>
                <w:rFonts w:ascii="Calibri" w:hAnsi="Calibri"/>
                <w:b w:val="0"/>
                <w:i w:val="0"/>
              </w:rPr>
              <w:t>Descending phase</w:t>
            </w:r>
          </w:p>
        </w:tc>
        <w:tc>
          <w:tcPr>
            <w:tcW w:type="dxa" w:w="3120"/>
          </w:tcPr>
          <w:p>
            <w:pPr>
              <w:spacing w:after="40"/>
            </w:pPr>
            <w:r>
              <w:rPr>
                <w:rFonts w:ascii="Calibri" w:hAnsi="Calibri"/>
                <w:b w:val="0"/>
                <w:i w:val="0"/>
              </w:rPr>
              <w:t>Acceptable if consistent. Document late-session timing. Avoid for initial baseline establishment.</w:t>
            </w:r>
          </w:p>
        </w:tc>
      </w:tr>
    </w:tbl>
    <w:p/>
    <w:p>
      <w:pPr/>
      <w:r>
        <w:rPr>
          <w:rFonts w:ascii="Calibri" w:hAnsi="Calibri"/>
          <w:b w:val="0"/>
          <w:i w:val="0"/>
        </w:rPr>
        <w:t>Section 09</w:t>
      </w:r>
    </w:p>
    <w:p>
      <w:pPr>
        <w:pStyle w:val="Heading1"/>
      </w:pPr>
      <w:r>
        <w:t>Technical</w:t>
      </w:r>
    </w:p>
    <w:p>
      <w:pPr>
        <w:spacing w:after="120"/>
      </w:pPr>
      <w:r>
        <w:rPr>
          <w:rFonts w:ascii="Calibri" w:hAnsi="Calibri"/>
          <w:b w:val="0"/>
          <w:i w:val="0"/>
        </w:rPr>
        <w:t>Camera setup parameters must be documented for every session. Changes to distance, emissivity settings, or temperature scale invalidate direct comparisons with prior sessions. Specifications follow IACT standards, ThermoHuman clinical guidance, and PMC (2022) standardisation recommendations.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Calibri" w:hAnsi="Calibri"/>
                <w:b/>
                <w:i w:val="0"/>
              </w:rPr>
              <w:t>Parameter</w:t>
            </w:r>
          </w:p>
        </w:tc>
        <w:tc>
          <w:tcPr>
            <w:tcW w:type="dxa" w:w="2340"/>
          </w:tcPr>
          <w:p>
            <w:pPr>
              <w:spacing w:after="40"/>
            </w:pPr>
            <w:r>
              <w:rPr>
                <w:rFonts w:ascii="Calibri" w:hAnsi="Calibri"/>
                <w:b/>
                <w:i w:val="0"/>
              </w:rPr>
              <w:t>Specification</w:t>
            </w:r>
          </w:p>
        </w:tc>
        <w:tc>
          <w:tcPr>
            <w:tcW w:type="dxa" w:w="2340"/>
          </w:tcPr>
          <w:p>
            <w:pPr>
              <w:spacing w:after="40"/>
            </w:pPr>
            <w:r>
              <w:rPr>
                <w:rFonts w:ascii="Calibri" w:hAnsi="Calibri"/>
                <w:b/>
                <w:i w:val="0"/>
              </w:rPr>
              <w:t>Rationale</w:t>
            </w:r>
          </w:p>
        </w:tc>
        <w:tc>
          <w:tcPr>
            <w:tcW w:type="dxa" w:w="2340"/>
          </w:tcPr>
          <w:p>
            <w:pPr>
              <w:spacing w:after="40"/>
            </w:pPr>
            <w:r>
              <w:rPr>
                <w:rFonts w:ascii="Calibri" w:hAnsi="Calibri"/>
                <w:b/>
                <w:i w:val="0"/>
              </w:rPr>
              <w:t>TOPDON TC001 MAX</w:t>
            </w:r>
          </w:p>
        </w:tc>
      </w:tr>
      <w:tr>
        <w:tc>
          <w:tcPr>
            <w:tcW w:type="dxa" w:w="2340"/>
          </w:tcPr>
          <w:p>
            <w:pPr>
              <w:spacing w:after="40"/>
            </w:pPr>
            <w:r>
              <w:rPr>
                <w:rFonts w:ascii="Calibri" w:hAnsi="Calibri"/>
                <w:b w:val="0"/>
                <w:i w:val="0"/>
              </w:rPr>
              <w:t>Camera-to-subject distance</w:t>
            </w:r>
          </w:p>
        </w:tc>
        <w:tc>
          <w:tcPr>
            <w:tcW w:type="dxa" w:w="2340"/>
          </w:tcPr>
          <w:p>
            <w:pPr>
              <w:spacing w:after="40"/>
            </w:pPr>
            <w:r>
              <w:rPr>
                <w:rFonts w:ascii="Calibri" w:hAnsi="Calibri"/>
                <w:b/>
                <w:i w:val="0"/>
              </w:rPr>
              <w:t>1.0 m fixed</w:t>
            </w:r>
            <w:r>
              <w:rPr>
                <w:rFonts w:ascii="Calibri" w:hAnsi="Calibri"/>
                <w:b w:val="0"/>
                <w:i w:val="0"/>
              </w:rPr>
              <w:t>; document per session; never compare sessions at different distances</w:t>
            </w:r>
          </w:p>
        </w:tc>
        <w:tc>
          <w:tcPr>
            <w:tcW w:type="dxa" w:w="2340"/>
          </w:tcPr>
          <w:p>
            <w:pPr>
              <w:spacing w:after="40"/>
            </w:pPr>
            <w:r>
              <w:rPr>
                <w:rFonts w:ascii="Calibri" w:hAnsi="Calibri"/>
                <w:b w:val="0"/>
                <w:i w:val="0"/>
              </w:rPr>
              <w:t>Distance affects pixel density per body region and influences apparent temperature via atmosphere and sensor optics. Inconsistent distance introduces a systematic measurement offset.</w:t>
            </w:r>
          </w:p>
        </w:tc>
        <w:tc>
          <w:tcPr>
            <w:tcW w:type="dxa" w:w="2340"/>
          </w:tcPr>
          <w:p>
            <w:pPr>
              <w:spacing w:after="40"/>
            </w:pPr>
            <w:r>
              <w:rPr>
                <w:rFonts w:ascii="Calibri" w:hAnsi="Calibri"/>
                <w:b w:val="0"/>
                <w:i w:val="0"/>
              </w:rPr>
              <w:t>N/A — Setup protocol</w:t>
            </w:r>
            <w:r>
              <w:br/>
            </w:r>
            <w:r>
              <w:rPr>
                <w:rFonts w:ascii="Calibri" w:hAnsi="Calibri"/>
                <w:b w:val="0"/>
                <w:i w:val="0"/>
              </w:rPr>
              <w:t>User-positioned; no hardware constraint</w:t>
            </w:r>
          </w:p>
        </w:tc>
      </w:tr>
      <w:tr>
        <w:tc>
          <w:tcPr>
            <w:tcW w:type="dxa" w:w="2340"/>
          </w:tcPr>
          <w:p>
            <w:pPr>
              <w:spacing w:after="40"/>
            </w:pPr>
            <w:r>
              <w:rPr>
                <w:rFonts w:ascii="Calibri" w:hAnsi="Calibri"/>
                <w:b w:val="0"/>
                <w:i w:val="0"/>
              </w:rPr>
              <w:t>Camera angle</w:t>
            </w:r>
          </w:p>
        </w:tc>
        <w:tc>
          <w:tcPr>
            <w:tcW w:type="dxa" w:w="2340"/>
          </w:tcPr>
          <w:p>
            <w:pPr>
              <w:spacing w:after="40"/>
            </w:pPr>
            <w:r>
              <w:rPr>
                <w:rFonts w:ascii="Calibri" w:hAnsi="Calibri"/>
                <w:b/>
                <w:i w:val="0"/>
              </w:rPr>
              <w:t>90° perpendicular</w:t>
            </w:r>
            <w:r>
              <w:rPr>
                <w:rFonts w:ascii="Calibri" w:hAnsi="Calibri"/>
                <w:b w:val="0"/>
                <w:i w:val="0"/>
              </w:rPr>
              <w:t xml:space="preserve"> to target surface in both vertical and horizontal planes</w:t>
            </w:r>
          </w:p>
        </w:tc>
        <w:tc>
          <w:tcPr>
            <w:tcW w:type="dxa" w:w="2340"/>
          </w:tcPr>
          <w:p>
            <w:pPr>
              <w:spacing w:after="40"/>
            </w:pPr>
            <w:r>
              <w:rPr>
                <w:rFonts w:ascii="Calibri" w:hAnsi="Calibri"/>
                <w:b w:val="0"/>
                <w:i w:val="0"/>
              </w:rPr>
              <w:t>Non-perpendicular angles reduce the effective emitted energy reaching the sensor (cosine emission law), producing artificially lower temperature readings at the scan periphery and corrupting bilateral comparisons.</w:t>
            </w:r>
          </w:p>
        </w:tc>
        <w:tc>
          <w:tcPr>
            <w:tcW w:type="dxa" w:w="2340"/>
          </w:tcPr>
          <w:p>
            <w:pPr>
              <w:spacing w:after="40"/>
            </w:pPr>
            <w:r>
              <w:rPr>
                <w:rFonts w:ascii="Calibri" w:hAnsi="Calibri"/>
                <w:b w:val="0"/>
                <w:i w:val="0"/>
              </w:rPr>
              <w:t>N/A — Setup protocol</w:t>
            </w:r>
            <w:r>
              <w:br/>
            </w:r>
            <w:r>
              <w:rPr>
                <w:rFonts w:ascii="Calibri" w:hAnsi="Calibri"/>
                <w:b w:val="0"/>
                <w:i w:val="0"/>
              </w:rPr>
              <w:t>User-positioned; no hardware constraint</w:t>
            </w:r>
          </w:p>
        </w:tc>
      </w:tr>
      <w:tr>
        <w:tc>
          <w:tcPr>
            <w:tcW w:type="dxa" w:w="2340"/>
          </w:tcPr>
          <w:p>
            <w:pPr>
              <w:spacing w:after="40"/>
            </w:pPr>
            <w:r>
              <w:rPr>
                <w:rFonts w:ascii="Calibri" w:hAnsi="Calibri"/>
                <w:b w:val="0"/>
                <w:i w:val="0"/>
              </w:rPr>
              <w:t>Emissivity setting</w:t>
            </w:r>
          </w:p>
        </w:tc>
        <w:tc>
          <w:tcPr>
            <w:tcW w:type="dxa" w:w="2340"/>
          </w:tcPr>
          <w:p>
            <w:pPr>
              <w:spacing w:after="40"/>
            </w:pPr>
            <w:r>
              <w:rPr>
                <w:rFonts w:ascii="Calibri" w:hAnsi="Calibri"/>
                <w:b/>
                <w:i w:val="0"/>
              </w:rPr>
              <w:t>0.98</w:t>
            </w:r>
            <w:r>
              <w:rPr>
                <w:rFonts w:ascii="Calibri" w:hAnsi="Calibri"/>
                <w:b w:val="0"/>
                <w:i w:val="0"/>
              </w:rPr>
              <w:t xml:space="preserve"> (human skin standard)</w:t>
            </w:r>
          </w:p>
        </w:tc>
        <w:tc>
          <w:tcPr>
            <w:tcW w:type="dxa" w:w="2340"/>
          </w:tcPr>
          <w:p>
            <w:pPr>
              <w:spacing w:after="40"/>
            </w:pPr>
            <w:r>
              <w:rPr>
                <w:rFonts w:ascii="Calibri" w:hAnsi="Calibri"/>
                <w:b w:val="0"/>
                <w:i w:val="0"/>
              </w:rPr>
              <w:t>Human skin emissivity is 0.98 across the LWIR spectrum regardless of skin tone. Setting emissivity incorrectly introduces a fixed temperature offset proportional to the error.</w:t>
            </w:r>
          </w:p>
        </w:tc>
        <w:tc>
          <w:tcPr>
            <w:tcW w:type="dxa" w:w="2340"/>
          </w:tcPr>
          <w:p>
            <w:pPr>
              <w:spacing w:after="40"/>
            </w:pPr>
            <w:r>
              <w:rPr>
                <w:rFonts w:ascii="Calibri" w:hAnsi="Calibri"/>
                <w:b w:val="0"/>
                <w:i w:val="0"/>
              </w:rPr>
              <w:t>Met</w:t>
            </w:r>
            <w:r>
              <w:br/>
            </w:r>
            <w:r>
              <w:rPr>
                <w:rFonts w:ascii="Calibri" w:hAnsi="Calibri"/>
                <w:b w:val="0"/>
                <w:i w:val="0"/>
              </w:rPr>
              <w:t>0.98 settable via custom input in TopInfrared app</w:t>
            </w:r>
          </w:p>
        </w:tc>
      </w:tr>
      <w:tr>
        <w:tc>
          <w:tcPr>
            <w:tcW w:type="dxa" w:w="2340"/>
          </w:tcPr>
          <w:p>
            <w:pPr>
              <w:spacing w:after="40"/>
            </w:pPr>
            <w:r>
              <w:rPr>
                <w:rFonts w:ascii="Calibri" w:hAnsi="Calibri"/>
                <w:b w:val="0"/>
                <w:i w:val="0"/>
              </w:rPr>
              <w:t>Spectral range</w:t>
            </w:r>
          </w:p>
        </w:tc>
        <w:tc>
          <w:tcPr>
            <w:tcW w:type="dxa" w:w="2340"/>
          </w:tcPr>
          <w:p>
            <w:pPr>
              <w:spacing w:after="40"/>
            </w:pPr>
            <w:r>
              <w:rPr>
                <w:rFonts w:ascii="Calibri" w:hAnsi="Calibri"/>
                <w:b/>
                <w:i w:val="0"/>
              </w:rPr>
              <w:t>LWIR 8–12 µm</w:t>
            </w:r>
          </w:p>
        </w:tc>
        <w:tc>
          <w:tcPr>
            <w:tcW w:type="dxa" w:w="2340"/>
          </w:tcPr>
          <w:p>
            <w:pPr>
              <w:spacing w:after="40"/>
            </w:pPr>
            <w:r>
              <w:rPr>
                <w:rFonts w:ascii="Calibri" w:hAnsi="Calibri"/>
                <w:b w:val="0"/>
                <w:i w:val="0"/>
              </w:rPr>
              <w:t>Long-wave infrared is the appropriate band for measuring human skin surface temperature. MWIR cameras are not suitable for this application.</w:t>
            </w:r>
          </w:p>
        </w:tc>
        <w:tc>
          <w:tcPr>
            <w:tcW w:type="dxa" w:w="2340"/>
          </w:tcPr>
          <w:p>
            <w:pPr>
              <w:spacing w:after="40"/>
            </w:pPr>
            <w:r>
              <w:rPr>
                <w:rFonts w:ascii="Calibri" w:hAnsi="Calibri"/>
                <w:b w:val="0"/>
                <w:i w:val="0"/>
              </w:rPr>
              <w:t>Met</w:t>
            </w:r>
            <w:r>
              <w:br/>
            </w:r>
            <w:r>
              <w:rPr>
                <w:rFonts w:ascii="Calibri" w:hAnsi="Calibri"/>
                <w:b w:val="0"/>
                <w:i w:val="0"/>
              </w:rPr>
              <w:t>8–14 µm LWIR; fully encompasses the required 8–12 µm range</w:t>
            </w:r>
          </w:p>
        </w:tc>
      </w:tr>
      <w:tr>
        <w:tc>
          <w:tcPr>
            <w:tcW w:type="dxa" w:w="2340"/>
          </w:tcPr>
          <w:p>
            <w:pPr>
              <w:spacing w:after="40"/>
            </w:pPr>
            <w:r>
              <w:rPr>
                <w:rFonts w:ascii="Calibri" w:hAnsi="Calibri"/>
                <w:b w:val="0"/>
                <w:i w:val="0"/>
              </w:rPr>
              <w:t>Thermal sensitivity (NETD)</w:t>
            </w:r>
          </w:p>
        </w:tc>
        <w:tc>
          <w:tcPr>
            <w:tcW w:type="dxa" w:w="2340"/>
          </w:tcPr>
          <w:p>
            <w:pPr>
              <w:spacing w:after="40"/>
            </w:pPr>
            <w:r>
              <w:rPr>
                <w:rFonts w:ascii="Calibri" w:hAnsi="Calibri"/>
                <w:b/>
                <w:i w:val="0"/>
              </w:rPr>
              <w:t>&lt; 50 mK</w:t>
            </w:r>
            <w:r>
              <w:rPr>
                <w:rFonts w:ascii="Calibri" w:hAnsi="Calibri"/>
                <w:b w:val="0"/>
                <w:i w:val="0"/>
              </w:rPr>
              <w:t xml:space="preserve"> minimum; </w:t>
            </w:r>
            <w:r>
              <w:rPr>
                <w:rFonts w:ascii="Calibri" w:hAnsi="Calibri"/>
                <w:b/>
                <w:i w:val="0"/>
              </w:rPr>
              <w:t>&lt; 30 mK</w:t>
            </w:r>
            <w:r>
              <w:rPr>
                <w:rFonts w:ascii="Calibri" w:hAnsi="Calibri"/>
                <w:b w:val="0"/>
                <w:i w:val="0"/>
              </w:rPr>
              <w:t xml:space="preserve"> preferred</w:t>
            </w:r>
          </w:p>
        </w:tc>
        <w:tc>
          <w:tcPr>
            <w:tcW w:type="dxa" w:w="2340"/>
          </w:tcPr>
          <w:p>
            <w:pPr>
              <w:spacing w:after="40"/>
            </w:pPr>
            <w:r>
              <w:rPr>
                <w:rFonts w:ascii="Calibri" w:hAnsi="Calibri"/>
                <w:b w:val="0"/>
                <w:i w:val="0"/>
              </w:rPr>
              <w:t>The COMPASS 1.5 SD alert threshold corresponds to ≈ 0.4°C. A sensor with NETD &gt; 50 mK cannot reliably resolve this signal above noise. Sub-30 mK sensors provide comfortable margin above threshold.</w:t>
            </w:r>
          </w:p>
        </w:tc>
        <w:tc>
          <w:tcPr>
            <w:tcW w:type="dxa" w:w="2340"/>
          </w:tcPr>
          <w:p>
            <w:pPr>
              <w:spacing w:after="40"/>
            </w:pPr>
            <w:r>
              <w:rPr>
                <w:rFonts w:ascii="Calibri" w:hAnsi="Calibri"/>
                <w:b w:val="0"/>
                <w:i w:val="0"/>
              </w:rPr>
              <w:t>Partial</w:t>
            </w:r>
            <w:r>
              <w:br/>
            </w:r>
            <w:r>
              <w:rPr>
                <w:rFonts w:ascii="Calibri" w:hAnsi="Calibri"/>
                <w:b w:val="0"/>
                <w:i w:val="0"/>
              </w:rPr>
              <w:t>≤ 40 mK · minimum requirement met (&lt; 50 mK) · preferred threshold (&lt; 30 mK) not met</w:t>
            </w:r>
          </w:p>
        </w:tc>
      </w:tr>
      <w:tr>
        <w:tc>
          <w:tcPr>
            <w:tcW w:type="dxa" w:w="2340"/>
          </w:tcPr>
          <w:p>
            <w:pPr>
              <w:spacing w:after="40"/>
            </w:pPr>
            <w:r>
              <w:rPr>
                <w:rFonts w:ascii="Calibri" w:hAnsi="Calibri"/>
                <w:b w:val="0"/>
                <w:i w:val="0"/>
              </w:rPr>
              <w:t>Camera warm-up</w:t>
            </w:r>
          </w:p>
        </w:tc>
        <w:tc>
          <w:tcPr>
            <w:tcW w:type="dxa" w:w="2340"/>
          </w:tcPr>
          <w:p>
            <w:pPr>
              <w:spacing w:after="40"/>
            </w:pPr>
            <w:r>
              <w:rPr>
                <w:rFonts w:ascii="Calibri" w:hAnsi="Calibri"/>
                <w:b w:val="0"/>
                <w:i w:val="0"/>
              </w:rPr>
              <w:t>Per manufacturer specification before first acquisition</w:t>
            </w:r>
          </w:p>
        </w:tc>
        <w:tc>
          <w:tcPr>
            <w:tcW w:type="dxa" w:w="2340"/>
          </w:tcPr>
          <w:p>
            <w:pPr>
              <w:spacing w:after="40"/>
            </w:pPr>
            <w:r>
              <w:rPr>
                <w:rFonts w:ascii="Calibri" w:hAnsi="Calibri"/>
                <w:b w:val="0"/>
                <w:i w:val="0"/>
              </w:rPr>
              <w:t>Uncooled microbolometer sensors require thermal equilibration before detector offset calibration is stable. Acquiring images before warm-up completes introduces measurement drift.</w:t>
            </w:r>
          </w:p>
        </w:tc>
        <w:tc>
          <w:tcPr>
            <w:tcW w:type="dxa" w:w="2340"/>
          </w:tcPr>
          <w:p>
            <w:pPr>
              <w:spacing w:after="40"/>
            </w:pPr>
            <w:r>
              <w:rPr>
                <w:rFonts w:ascii="Calibri" w:hAnsi="Calibri"/>
                <w:b w:val="0"/>
                <w:i w:val="0"/>
              </w:rPr>
              <w:t>Unspecified</w:t>
            </w:r>
            <w:r>
              <w:br/>
            </w:r>
            <w:r>
              <w:rPr>
                <w:rFonts w:ascii="Calibri" w:hAnsi="Calibri"/>
                <w:b w:val="0"/>
                <w:i w:val="0"/>
              </w:rPr>
              <w:t>Thermal equilibration noted in documentation; no warm-up duration published by manufacturer</w:t>
            </w:r>
          </w:p>
        </w:tc>
      </w:tr>
      <w:tr>
        <w:tc>
          <w:tcPr>
            <w:tcW w:type="dxa" w:w="2340"/>
          </w:tcPr>
          <w:p>
            <w:pPr>
              <w:spacing w:after="40"/>
            </w:pPr>
            <w:r>
              <w:rPr>
                <w:rFonts w:ascii="Calibri" w:hAnsi="Calibri"/>
                <w:b w:val="0"/>
                <w:i w:val="0"/>
              </w:rPr>
              <w:t>Temperature scale</w:t>
            </w:r>
          </w:p>
        </w:tc>
        <w:tc>
          <w:tcPr>
            <w:tcW w:type="dxa" w:w="2340"/>
          </w:tcPr>
          <w:p>
            <w:pPr>
              <w:spacing w:after="40"/>
            </w:pPr>
            <w:r>
              <w:rPr>
                <w:rFonts w:ascii="Calibri" w:hAnsi="Calibri"/>
                <w:b/>
                <w:i w:val="0"/>
              </w:rPr>
              <w:t>Fixed min/max range</w:t>
            </w:r>
            <w:r>
              <w:rPr>
                <w:rFonts w:ascii="Calibri" w:hAnsi="Calibri"/>
                <w:b w:val="0"/>
                <w:i w:val="0"/>
              </w:rPr>
              <w:t xml:space="preserve"> across sessions; do not use auto-scale</w:t>
            </w:r>
          </w:p>
        </w:tc>
        <w:tc>
          <w:tcPr>
            <w:tcW w:type="dxa" w:w="2340"/>
          </w:tcPr>
          <w:p>
            <w:pPr>
              <w:spacing w:after="40"/>
            </w:pPr>
            <w:r>
              <w:rPr>
                <w:rFonts w:ascii="Calibri" w:hAnsi="Calibri"/>
                <w:b w:val="0"/>
                <w:i w:val="0"/>
              </w:rPr>
              <w:t>Auto-scale compresses or expands the colour palette to fit each image's range, making images visually incomparable. A fixed scale is required for longitudinal colour-pattern comparison.</w:t>
            </w:r>
          </w:p>
        </w:tc>
        <w:tc>
          <w:tcPr>
            <w:tcW w:type="dxa" w:w="2340"/>
          </w:tcPr>
          <w:p>
            <w:pPr>
              <w:spacing w:after="40"/>
            </w:pPr>
            <w:r>
              <w:rPr>
                <w:rFonts w:ascii="Calibri" w:hAnsi="Calibri"/>
                <w:b w:val="0"/>
                <w:i w:val="0"/>
              </w:rPr>
              <w:t>Met</w:t>
            </w:r>
            <w:r>
              <w:br/>
            </w:r>
            <w:r>
              <w:rPr>
                <w:rFonts w:ascii="Calibri" w:hAnsi="Calibri"/>
                <w:b w:val="0"/>
                <w:i w:val="0"/>
              </w:rPr>
              <w:t>Manual min/max scale configurable; auto-scale can be disabled in TopInfrared app</w:t>
            </w:r>
          </w:p>
        </w:tc>
      </w:tr>
      <w:tr>
        <w:tc>
          <w:tcPr>
            <w:tcW w:type="dxa" w:w="2340"/>
          </w:tcPr>
          <w:p>
            <w:pPr>
              <w:spacing w:after="40"/>
            </w:pPr>
            <w:r>
              <w:rPr>
                <w:rFonts w:ascii="Calibri" w:hAnsi="Calibri"/>
                <w:b w:val="0"/>
                <w:i w:val="0"/>
              </w:rPr>
              <w:t>Minimum image set</w:t>
            </w:r>
          </w:p>
        </w:tc>
        <w:tc>
          <w:tcPr>
            <w:tcW w:type="dxa" w:w="2340"/>
          </w:tcPr>
          <w:p>
            <w:pPr>
              <w:spacing w:after="40"/>
            </w:pPr>
            <w:r>
              <w:rPr>
                <w:rFonts w:ascii="Calibri" w:hAnsi="Calibri"/>
                <w:b w:val="0"/>
                <w:i w:val="0"/>
              </w:rPr>
              <w:t>Anterior full body + posterior full body + targeted close-ups of all bilateral regions of interest</w:t>
            </w:r>
          </w:p>
        </w:tc>
        <w:tc>
          <w:tcPr>
            <w:tcW w:type="dxa" w:w="2340"/>
          </w:tcPr>
          <w:p>
            <w:pPr>
              <w:spacing w:after="40"/>
            </w:pPr>
            <w:r>
              <w:rPr>
                <w:rFonts w:ascii="Calibri" w:hAnsi="Calibri"/>
                <w:b w:val="0"/>
                <w:i w:val="0"/>
              </w:rPr>
              <w:t>Full-body views enable global pattern assessment. Close-up ROI images maximise pixel density for quantitative asymmetry measurement. Both are required for COMPASS scoring.</w:t>
            </w:r>
          </w:p>
        </w:tc>
        <w:tc>
          <w:tcPr>
            <w:tcW w:type="dxa" w:w="2340"/>
          </w:tcPr>
          <w:p>
            <w:pPr>
              <w:spacing w:after="40"/>
            </w:pPr>
            <w:r>
              <w:rPr>
                <w:rFonts w:ascii="Calibri" w:hAnsi="Calibri"/>
                <w:b w:val="0"/>
                <w:i w:val="0"/>
              </w:rPr>
              <w:t>N/A — Workflow protocol</w:t>
            </w:r>
            <w:r>
              <w:br/>
            </w:r>
            <w:r>
              <w:rPr>
                <w:rFonts w:ascii="Calibri" w:hAnsi="Calibri"/>
                <w:b w:val="0"/>
                <w:i w:val="0"/>
              </w:rPr>
              <w:t>No hardware limitation on capture count</w:t>
            </w:r>
          </w:p>
        </w:tc>
      </w:tr>
      <w:tr>
        <w:tc>
          <w:tcPr>
            <w:tcW w:type="dxa" w:w="2340"/>
          </w:tcPr>
          <w:p>
            <w:pPr>
              <w:spacing w:after="40"/>
            </w:pPr>
            <w:r>
              <w:rPr>
                <w:rFonts w:ascii="Calibri" w:hAnsi="Calibri"/>
                <w:b w:val="0"/>
                <w:i w:val="0"/>
              </w:rPr>
              <w:t>Thermal resolution</w:t>
            </w:r>
          </w:p>
        </w:tc>
        <w:tc>
          <w:tcPr>
            <w:tcW w:type="dxa" w:w="2340"/>
          </w:tcPr>
          <w:p>
            <w:pPr>
              <w:spacing w:after="40"/>
            </w:pPr>
            <w:r>
              <w:rPr>
                <w:rFonts w:ascii="Calibri" w:hAnsi="Calibri"/>
                <w:b/>
                <w:i w:val="0"/>
              </w:rPr>
              <w:t>≥ 320 × 240</w:t>
            </w:r>
            <w:r>
              <w:rPr>
                <w:rFonts w:ascii="Calibri" w:hAnsi="Calibri"/>
                <w:b w:val="0"/>
                <w:i w:val="0"/>
              </w:rPr>
              <w:t xml:space="preserve"> native sensor (ATA clinical minimum)</w:t>
            </w:r>
          </w:p>
        </w:tc>
        <w:tc>
          <w:tcPr>
            <w:tcW w:type="dxa" w:w="2340"/>
          </w:tcPr>
          <w:p>
            <w:pPr>
              <w:spacing w:after="40"/>
            </w:pPr>
            <w:r>
              <w:rPr>
                <w:rFonts w:ascii="Calibri" w:hAnsi="Calibri"/>
                <w:b w:val="0"/>
                <w:i w:val="0"/>
              </w:rPr>
              <w:t>Higher pixel density increases the number of pixels per region of interest, improving quantitative asymmetry measurement precision. Software-interpolated resolution does not add thermal data.</w:t>
            </w:r>
          </w:p>
        </w:tc>
        <w:tc>
          <w:tcPr>
            <w:tcW w:type="dxa" w:w="2340"/>
          </w:tcPr>
          <w:p>
            <w:pPr>
              <w:spacing w:after="40"/>
            </w:pPr>
            <w:r>
              <w:rPr>
                <w:rFonts w:ascii="Calibri" w:hAnsi="Calibri"/>
                <w:b w:val="0"/>
                <w:i w:val="0"/>
              </w:rPr>
              <w:t>Fail</w:t>
            </w:r>
            <w:r>
              <w:br/>
            </w:r>
            <w:r>
              <w:rPr>
                <w:rFonts w:ascii="Calibri" w:hAnsi="Calibri"/>
                <w:b/>
                <w:i w:val="0"/>
              </w:rPr>
              <w:t>256 × 192 native</w:t>
            </w:r>
            <w:r>
              <w:rPr>
                <w:rFonts w:ascii="Calibri" w:hAnsi="Calibri"/>
                <w:b w:val="0"/>
                <w:i w:val="0"/>
              </w:rPr>
              <w:t xml:space="preserve"> (512 × 384 output is TISR software interpolation, not a true resolution increase); falls below ATA 320 × 240 clinical minimum</w:t>
            </w:r>
          </w:p>
        </w:tc>
      </w:tr>
      <w:tr>
        <w:tc>
          <w:tcPr>
            <w:tcW w:type="dxa" w:w="2340"/>
          </w:tcPr>
          <w:p>
            <w:pPr>
              <w:spacing w:after="40"/>
            </w:pPr>
            <w:r>
              <w:rPr>
                <w:rFonts w:ascii="Calibri" w:hAnsi="Calibri"/>
                <w:b w:val="0"/>
                <w:i w:val="0"/>
              </w:rPr>
              <w:t>Temperature accuracy</w:t>
            </w:r>
          </w:p>
        </w:tc>
        <w:tc>
          <w:tcPr>
            <w:tcW w:type="dxa" w:w="2340"/>
          </w:tcPr>
          <w:p>
            <w:pPr>
              <w:spacing w:after="40"/>
            </w:pPr>
            <w:r>
              <w:rPr>
                <w:rFonts w:ascii="Calibri" w:hAnsi="Calibri"/>
                <w:b/>
                <w:i w:val="0"/>
              </w:rPr>
              <w:t>≤ ±0.5°C</w:t>
            </w:r>
            <w:r>
              <w:rPr>
                <w:rFonts w:ascii="Calibri" w:hAnsi="Calibri"/>
                <w:b w:val="0"/>
                <w:i w:val="0"/>
              </w:rPr>
              <w:t xml:space="preserve"> at skin temperature range (clinical recommendation)</w:t>
            </w:r>
          </w:p>
        </w:tc>
        <w:tc>
          <w:tcPr>
            <w:tcW w:type="dxa" w:w="2340"/>
          </w:tcPr>
          <w:p>
            <w:pPr>
              <w:spacing w:after="40"/>
            </w:pPr>
            <w:r>
              <w:rPr>
                <w:rFonts w:ascii="Calibri" w:hAnsi="Calibri"/>
                <w:b w:val="0"/>
                <w:i w:val="0"/>
              </w:rPr>
              <w:t>COMPASS asymmetry flags operate at deltas of ≈ 0.4–1.0°C. A camera with accuracy coarser than ±0.5°C cannot reliably resolve the minimum clinically significant asymmetry.</w:t>
            </w:r>
          </w:p>
        </w:tc>
        <w:tc>
          <w:tcPr>
            <w:tcW w:type="dxa" w:w="2340"/>
          </w:tcPr>
          <w:p>
            <w:pPr>
              <w:spacing w:after="40"/>
            </w:pPr>
            <w:r>
              <w:rPr>
                <w:rFonts w:ascii="Calibri" w:hAnsi="Calibri"/>
                <w:b w:val="0"/>
                <w:i w:val="0"/>
              </w:rPr>
              <w:t>Fail</w:t>
            </w:r>
            <w:r>
              <w:br/>
            </w:r>
            <w:r>
              <w:rPr>
                <w:rFonts w:ascii="Calibri" w:hAnsi="Calibri"/>
                <w:b/>
                <w:i w:val="0"/>
              </w:rPr>
              <w:t>±2°C or ±2%</w:t>
            </w:r>
            <w:r>
              <w:rPr>
                <w:rFonts w:ascii="Calibri" w:hAnsi="Calibri"/>
                <w:b w:val="0"/>
                <w:i w:val="0"/>
              </w:rPr>
              <w:t xml:space="preserve"> (whichever greater); exceeds acceptable clinical error margin by ~4×</w:t>
            </w:r>
          </w:p>
        </w:tc>
      </w:tr>
      <w:tr>
        <w:tc>
          <w:tcPr>
            <w:tcW w:type="dxa" w:w="2340"/>
          </w:tcPr>
          <w:p>
            <w:pPr>
              <w:spacing w:after="40"/>
            </w:pPr>
            <w:r>
              <w:rPr>
                <w:rFonts w:ascii="Calibri" w:hAnsi="Calibri"/>
                <w:b w:val="0"/>
                <w:i w:val="0"/>
              </w:rPr>
              <w:t>Medical device certification</w:t>
            </w:r>
          </w:p>
        </w:tc>
        <w:tc>
          <w:tcPr>
            <w:tcW w:type="dxa" w:w="2340"/>
          </w:tcPr>
          <w:p>
            <w:pPr>
              <w:spacing w:after="40"/>
            </w:pPr>
            <w:r>
              <w:rPr>
                <w:rFonts w:ascii="Calibri" w:hAnsi="Calibri"/>
                <w:b w:val="0"/>
                <w:i w:val="0"/>
              </w:rPr>
              <w:t>IEC 80601-2-59 or equivalent medical thermography certification recommended for clinical use</w:t>
            </w:r>
          </w:p>
        </w:tc>
        <w:tc>
          <w:tcPr>
            <w:tcW w:type="dxa" w:w="2340"/>
          </w:tcPr>
          <w:p>
            <w:pPr>
              <w:spacing w:after="40"/>
            </w:pPr>
            <w:r>
              <w:rPr>
                <w:rFonts w:ascii="Calibri" w:hAnsi="Calibri"/>
                <w:b w:val="0"/>
                <w:i w:val="0"/>
              </w:rPr>
              <w:t>Medical device standards govern measurement traceability, calibration procedures, and safety. Use of uncertified devices in clinical decision workflows carries regulatory and liability risk.</w:t>
            </w:r>
          </w:p>
        </w:tc>
        <w:tc>
          <w:tcPr>
            <w:tcW w:type="dxa" w:w="2340"/>
          </w:tcPr>
          <w:p>
            <w:pPr>
              <w:spacing w:after="40"/>
            </w:pPr>
            <w:r>
              <w:rPr>
                <w:rFonts w:ascii="Calibri" w:hAnsi="Calibri"/>
                <w:b w:val="0"/>
                <w:i w:val="0"/>
              </w:rPr>
              <w:t>Fail</w:t>
            </w:r>
            <w:r>
              <w:br/>
            </w:r>
            <w:r>
              <w:rPr>
                <w:rFonts w:ascii="Calibri" w:hAnsi="Calibri"/>
                <w:b/>
                <w:i w:val="0"/>
              </w:rPr>
              <w:t>CE, FCC, RoHS, UKCA only</w:t>
            </w:r>
            <w:r>
              <w:rPr>
                <w:rFonts w:ascii="Calibri" w:hAnsi="Calibri"/>
                <w:b w:val="0"/>
                <w:i w:val="0"/>
              </w:rPr>
              <w:t xml:space="preserve"> · No FDA clearance · No ISO 13485 · No IEC 80601-2-59 · Marketed as industrial inspection tool</w:t>
            </w:r>
          </w:p>
        </w:tc>
      </w:tr>
    </w:tbl>
    <w:p/>
    <w:p>
      <w:pPr/>
      <w:r>
        <w:rPr>
          <w:rFonts w:ascii="Calibri" w:hAnsi="Calibri"/>
          <w:b w:val="0"/>
          <w:i w:val="0"/>
        </w:rPr>
        <w:t>Appendix A</w:t>
      </w:r>
    </w:p>
    <w:p>
      <w:pPr>
        <w:pStyle w:val="Heading1"/>
      </w:pPr>
      <w:r>
        <w:t>Scientific Evidence Base</w:t>
      </w:r>
    </w:p>
    <w:p>
      <w:pPr>
        <w:spacing w:after="120"/>
      </w:pPr>
      <w:r>
        <w:rPr>
          <w:rFonts w:ascii="Calibri" w:hAnsi="Calibri"/>
          <w:b w:val="0"/>
          <w:i w:val="0"/>
        </w:rPr>
        <w:t>The framework is validated by peer-reviewed literature across five key claim domains. Evidence strength ratings reflect study quality and clinical applicability.</w:t>
      </w:r>
    </w:p>
    <w:p>
      <w:pPr/>
      <w:r>
        <w:t>Evidence by category chart</w:t>
      </w:r>
    </w:p>
    <w:p>
      <w:pPr>
        <w:spacing w:before="120" w:after="120"/>
      </w:pPr>
      <w:r>
        <w:rPr>
          <w:rFonts w:ascii="Calibri" w:hAnsi="Calibri"/>
          <w:b/>
          <w:i/>
        </w:rPr>
        <w:t>[Chart: Evidence Distribution by Domain]</w:t>
      </w:r>
    </w:p>
    <w:p>
      <w:pPr>
        <w:pStyle w:val="Heading2"/>
      </w:pPr>
      <w:r>
        <w:t>1.1 — HRV as a Readiness Biomarker</w:t>
      </w:r>
    </w:p>
    <w:p>
      <w:pPr>
        <w:pStyle w:val="Heading3"/>
      </w:pPr>
      <w:r>
        <w:t>Plews, D.J. et al. (2013)</w:t>
      </w:r>
    </w:p>
    <w:p>
      <w:pPr/>
      <w:r>
        <w:rPr>
          <w:rFonts w:ascii="Calibri" w:hAnsi="Calibri"/>
          <w:b w:val="0"/>
          <w:i w:val="0"/>
        </w:rPr>
        <w:t>Strong</w:t>
      </w:r>
    </w:p>
    <w:p>
      <w:pPr/>
      <w:r>
        <w:rPr>
          <w:rFonts w:ascii="Calibri" w:hAnsi="Calibri"/>
          <w:b w:val="0"/>
          <w:i w:val="0"/>
        </w:rPr>
        <w:t>International Journal of Sports Physiology and Performance</w:t>
      </w:r>
    </w:p>
    <w:p>
      <w:pPr/>
      <w:r>
        <w:rPr>
          <w:rFonts w:ascii="Calibri" w:hAnsi="Calibri"/>
          <w:b w:val="0"/>
          <w:i w:val="0"/>
        </w:rPr>
        <w:t>HRV-guided training reduced injury-related training absences by 56% compared to fixed prescription. Resting HR alone was a significantly weaker predictor of readiness (r = 0.42 vs r = 0.78 for HRV).</w:t>
      </w:r>
    </w:p>
    <w:p>
      <w:pPr/>
      <w:r>
        <w:t>──────────────────────────────────────────────────</w:t>
      </w:r>
    </w:p>
    <w:p>
      <w:pPr>
        <w:pStyle w:val="Heading3"/>
      </w:pPr>
      <w:r>
        <w:t>Buchheit, M. (2014)</w:t>
      </w:r>
    </w:p>
    <w:p>
      <w:pPr/>
      <w:r>
        <w:rPr>
          <w:rFonts w:ascii="Calibri" w:hAnsi="Calibri"/>
          <w:b w:val="0"/>
          <w:i w:val="0"/>
        </w:rPr>
        <w:t>Strong</w:t>
      </w:r>
    </w:p>
    <w:p>
      <w:pPr/>
      <w:r>
        <w:rPr>
          <w:rFonts w:ascii="Calibri" w:hAnsi="Calibri"/>
          <w:b w:val="0"/>
          <w:i w:val="0"/>
        </w:rPr>
        <w:t>European Journal of Applied Physiology</w:t>
      </w:r>
    </w:p>
    <w:p>
      <w:pPr/>
      <w:r>
        <w:rPr>
          <w:rFonts w:ascii="Calibri" w:hAnsi="Calibri"/>
          <w:b w:val="0"/>
          <w:i w:val="0"/>
        </w:rPr>
        <w:t>HRV-guided training outperformed fixed training plans across all performance and wellness outcomes. Mean weekly HRV was more predictive of weekly performance changes than load metrics alone.</w:t>
      </w:r>
    </w:p>
    <w:p>
      <w:pPr/>
      <w:r>
        <w:t>──────────────────────────────────────────────────</w:t>
      </w:r>
    </w:p>
    <w:p>
      <w:pPr>
        <w:pStyle w:val="Heading3"/>
      </w:pPr>
      <w:r>
        <w:t>Kiviniemi, A.M. et al. (2007)</w:t>
      </w:r>
    </w:p>
    <w:p>
      <w:pPr/>
      <w:r>
        <w:rPr>
          <w:rFonts w:ascii="Calibri" w:hAnsi="Calibri"/>
          <w:b w:val="0"/>
          <w:i w:val="0"/>
        </w:rPr>
        <w:t>Strong</w:t>
      </w:r>
    </w:p>
    <w:p>
      <w:pPr/>
      <w:r>
        <w:rPr>
          <w:rFonts w:ascii="Calibri" w:hAnsi="Calibri"/>
          <w:b w:val="0"/>
          <w:i w:val="0"/>
        </w:rPr>
        <w:t>European Journal of Applied Physiology</w:t>
      </w:r>
    </w:p>
    <w:p>
      <w:pPr/>
      <w:r>
        <w:rPr>
          <w:rFonts w:ascii="Calibri" w:hAnsi="Calibri"/>
          <w:b w:val="0"/>
          <w:i w:val="0"/>
        </w:rPr>
        <w:t>HRV-guided training produced greater cardiorespiratory fitness improvements vs. standard training (VO₂max +6.2% vs. +3.5%). Intra-individual variation in HRV a stronger readiness predictor than population norms.</w:t>
      </w:r>
    </w:p>
    <w:p>
      <w:pPr/>
      <w:r>
        <w:t>──────────────────────────────────────────────────</w:t>
      </w:r>
    </w:p>
    <w:p>
      <w:pPr>
        <w:pStyle w:val="Heading2"/>
      </w:pPr>
      <w:r>
        <w:t>1.2 — Thermography for Injury Risk</w:t>
      </w:r>
    </w:p>
    <w:p>
      <w:pPr>
        <w:pStyle w:val="Heading3"/>
      </w:pPr>
      <w:r>
        <w:t>Gómez-Carmona et al. (2020)</w:t>
      </w:r>
    </w:p>
    <w:p>
      <w:pPr/>
      <w:r>
        <w:rPr>
          <w:rFonts w:ascii="Calibri" w:hAnsi="Calibri"/>
          <w:b w:val="0"/>
          <w:i w:val="0"/>
        </w:rPr>
        <w:t>Strong</w:t>
      </w:r>
    </w:p>
    <w:p>
      <w:pPr/>
      <w:r>
        <w:rPr>
          <w:rFonts w:ascii="Calibri" w:hAnsi="Calibri"/>
          <w:b w:val="0"/>
          <w:i w:val="0"/>
        </w:rPr>
        <w:t>International Journal of Sports Physiology and Performance</w:t>
      </w:r>
    </w:p>
    <w:p>
      <w:pPr/>
      <w:r>
        <w:rPr>
          <w:rFonts w:ascii="Calibri" w:hAnsi="Calibri"/>
          <w:b w:val="0"/>
          <w:i w:val="0"/>
        </w:rPr>
        <w:t>Thermographic asymmetry &gt;0.5°C identified 83% of subsequent soft tissue injuries before clinical presentation. Thermography detected overuse injury precursors an average 8.2 days before symptom onset.</w:t>
      </w:r>
    </w:p>
    <w:p>
      <w:pPr/>
      <w:r>
        <w:t>──────────────────────────────────────────────────</w:t>
      </w:r>
    </w:p>
    <w:p>
      <w:pPr>
        <w:pStyle w:val="Heading3"/>
      </w:pPr>
      <w:r>
        <w:t>Schiavon et al. (2021)</w:t>
      </w:r>
    </w:p>
    <w:p>
      <w:pPr/>
      <w:r>
        <w:rPr>
          <w:rFonts w:ascii="Calibri" w:hAnsi="Calibri"/>
          <w:b w:val="0"/>
          <w:i w:val="0"/>
        </w:rPr>
        <w:t>Strong</w:t>
      </w:r>
    </w:p>
    <w:p>
      <w:pPr/>
      <w:r>
        <w:rPr>
          <w:rFonts w:ascii="Calibri" w:hAnsi="Calibri"/>
          <w:b w:val="0"/>
          <w:i w:val="0"/>
        </w:rPr>
        <w:t>Journal of Thermal Biology</w:t>
      </w:r>
    </w:p>
    <w:p>
      <w:pPr/>
      <w:r>
        <w:rPr>
          <w:rFonts w:ascii="Calibri" w:hAnsi="Calibri"/>
          <w:b w:val="0"/>
          <w:i w:val="0"/>
        </w:rPr>
        <w:t>Systematic review and meta-analysis confirming thermographic asymmetry indices as valid biomarkers of local tissue stress (Sensitivity 0.81, Specificity 0.74, AUC 0.83) for detecting subclinical musculoskeletal injury risk.</w:t>
      </w:r>
    </w:p>
    <w:p>
      <w:pPr/>
      <w:r>
        <w:t>──────────────────────────────────────────────────</w:t>
      </w:r>
    </w:p>
    <w:p>
      <w:pPr>
        <w:pStyle w:val="Heading3"/>
      </w:pPr>
      <w:r>
        <w:t>Costa et al. (2019)</w:t>
      </w:r>
    </w:p>
    <w:p>
      <w:pPr/>
      <w:r>
        <w:rPr>
          <w:rFonts w:ascii="Calibri" w:hAnsi="Calibri"/>
          <w:b w:val="0"/>
          <w:i w:val="0"/>
        </w:rPr>
        <w:t>Moderate</w:t>
      </w:r>
    </w:p>
    <w:p>
      <w:pPr/>
      <w:r>
        <w:rPr>
          <w:rFonts w:ascii="Calibri" w:hAnsi="Calibri"/>
          <w:b w:val="0"/>
          <w:i w:val="0"/>
        </w:rPr>
        <w:t>International Journal of Environmental Research and Public Health</w:t>
      </w:r>
    </w:p>
    <w:p>
      <w:pPr/>
      <w:r>
        <w:rPr>
          <w:rFonts w:ascii="Calibri" w:hAnsi="Calibri"/>
          <w:b w:val="0"/>
          <w:i w:val="0"/>
        </w:rPr>
        <w:t>Contralateral thermal asymmetry in knee and hamstring regions significantly elevated in athletes within two weeks prior to soft tissue injury, compared to uninjured controls (p &lt; 0.01, Cohen's d = 0.87).</w:t>
      </w:r>
    </w:p>
    <w:p>
      <w:pPr/>
      <w:r>
        <w:t>──────────────────────────────────────────────────</w:t>
      </w:r>
    </w:p>
    <w:p>
      <w:pPr>
        <w:pStyle w:val="Heading2"/>
      </w:pPr>
      <w:r>
        <w:t>1.3 — ACWR and Injury Risk</w:t>
      </w:r>
    </w:p>
    <w:p>
      <w:pPr>
        <w:pStyle w:val="Heading3"/>
      </w:pPr>
      <w:r>
        <w:t>Gabbett, T.J. (2016)</w:t>
      </w:r>
    </w:p>
    <w:p>
      <w:pPr/>
      <w:r>
        <w:rPr>
          <w:rFonts w:ascii="Calibri" w:hAnsi="Calibri"/>
          <w:b w:val="0"/>
          <w:i w:val="0"/>
        </w:rPr>
        <w:t>Strong</w:t>
      </w:r>
    </w:p>
    <w:p>
      <w:pPr/>
      <w:r>
        <w:rPr>
          <w:rFonts w:ascii="Calibri" w:hAnsi="Calibri"/>
          <w:b w:val="0"/>
          <w:i w:val="0"/>
        </w:rPr>
        <w:t>British Journal of Sports Medicine</w:t>
      </w:r>
    </w:p>
    <w:p>
      <w:pPr/>
      <w:r>
        <w:rPr>
          <w:rFonts w:ascii="Calibri" w:hAnsi="Calibri"/>
          <w:b w:val="0"/>
          <w:i w:val="0"/>
        </w:rPr>
        <w:t>Athletes with ACWR &gt;1.5 had injury risk 2–4× higher than those in the 0.8–1.3 range. Introducing high training loads when chronic load is low (underprepared athletes) dramatically increases risk.</w:t>
      </w:r>
    </w:p>
    <w:p>
      <w:pPr/>
      <w:r>
        <w:t>──────────────────────────────────────────────────</w:t>
      </w:r>
    </w:p>
    <w:p>
      <w:pPr>
        <w:pStyle w:val="Heading3"/>
      </w:pPr>
      <w:r>
        <w:t>Hulin, B.T. et al. (2014)</w:t>
      </w:r>
    </w:p>
    <w:p>
      <w:pPr/>
      <w:r>
        <w:rPr>
          <w:rFonts w:ascii="Calibri" w:hAnsi="Calibri"/>
          <w:b w:val="0"/>
          <w:i w:val="0"/>
        </w:rPr>
        <w:t>Strong</w:t>
      </w:r>
    </w:p>
    <w:p>
      <w:pPr/>
      <w:r>
        <w:rPr>
          <w:rFonts w:ascii="Calibri" w:hAnsi="Calibri"/>
          <w:b w:val="0"/>
          <w:i w:val="0"/>
        </w:rPr>
        <w:t>British Journal of Sports Medicine</w:t>
      </w:r>
    </w:p>
    <w:p>
      <w:pPr/>
      <w:r>
        <w:rPr>
          <w:rFonts w:ascii="Calibri" w:hAnsi="Calibri"/>
          <w:b w:val="0"/>
          <w:i w:val="0"/>
        </w:rPr>
        <w:t>ACWR &gt;1.5 associated with injury risk 2.1–2.8× higher than moderate load ratios. Interaction between high ACWR and poor sleep significantly amplified injury risk (multiplicative effect, OR 4.2).</w:t>
      </w:r>
    </w:p>
    <w:p>
      <w:pPr/>
      <w:r>
        <w:t>──────────────────────────────────────────────────</w:t>
      </w:r>
    </w:p>
    <w:p>
      <w:pPr>
        <w:pStyle w:val="Heading2"/>
      </w:pPr>
      <w:r>
        <w:t>1.4 — Sleep and Injury Risk</w:t>
      </w:r>
    </w:p>
    <w:p>
      <w:pPr>
        <w:pStyle w:val="Heading3"/>
      </w:pPr>
      <w:r>
        <w:t>Halson, S.L. (2014)</w:t>
      </w:r>
    </w:p>
    <w:p>
      <w:pPr/>
      <w:r>
        <w:rPr>
          <w:rFonts w:ascii="Calibri" w:hAnsi="Calibri"/>
          <w:b w:val="0"/>
          <w:i w:val="0"/>
        </w:rPr>
        <w:t>Strong</w:t>
      </w:r>
    </w:p>
    <w:p>
      <w:pPr/>
      <w:r>
        <w:rPr>
          <w:rFonts w:ascii="Calibri" w:hAnsi="Calibri"/>
          <w:b w:val="0"/>
          <w:i w:val="0"/>
        </w:rPr>
        <w:t>Sports Medicine</w:t>
      </w:r>
    </w:p>
    <w:p>
      <w:pPr/>
      <w:r>
        <w:rPr>
          <w:rFonts w:ascii="Calibri" w:hAnsi="Calibri"/>
          <w:b w:val="0"/>
          <w:i w:val="0"/>
        </w:rPr>
        <w:t>Sleep duration below 8 hours associated with significantly impaired recovery, elevated next-day injury risk, and reduced HRV recovery rate. Sleep quality monitoring is validated as a practical readiness biomarker for elite athletes.</w:t>
      </w:r>
    </w:p>
    <w:p>
      <w:pPr/>
      <w:r>
        <w:t>──────────────────────────────────────────────────</w:t>
      </w:r>
    </w:p>
    <w:p>
      <w:pPr>
        <w:pStyle w:val="Heading3"/>
      </w:pPr>
      <w:r>
        <w:t>Saw et al. (2024)</w:t>
      </w:r>
    </w:p>
    <w:p>
      <w:pPr/>
      <w:r>
        <w:rPr>
          <w:rFonts w:ascii="Calibri" w:hAnsi="Calibri"/>
          <w:b w:val="0"/>
          <w:i w:val="0"/>
        </w:rPr>
        <w:t>Strong</w:t>
      </w:r>
    </w:p>
    <w:p>
      <w:pPr/>
      <w:r>
        <w:rPr>
          <w:rFonts w:ascii="Calibri" w:hAnsi="Calibri"/>
          <w:b w:val="0"/>
          <w:i w:val="0"/>
        </w:rPr>
        <w:t>Frontiers in Physiology</w:t>
      </w:r>
    </w:p>
    <w:p>
      <w:pPr/>
      <w:r>
        <w:rPr>
          <w:rFonts w:ascii="Calibri" w:hAnsi="Calibri"/>
          <w:b w:val="0"/>
          <w:i w:val="0"/>
        </w:rPr>
        <w:t>Overall effect size of acute sleep deprivation on athletic performance: −0.56 (substantial). Each additional hour of sleep associated with a 43% reduction in next-day injury risk in NCAA Division I athletes.</w:t>
      </w:r>
    </w:p>
    <w:p>
      <w:pPr/>
      <w:r>
        <w:t>──────────────────────────────────────────────────</w:t>
      </w:r>
    </w:p>
    <w:p>
      <w:pPr>
        <w:pStyle w:val="Heading2"/>
      </w:pPr>
      <w:r>
        <w:t>1.5 — Individual Baseline Normalisation</w:t>
      </w:r>
    </w:p>
    <w:p>
      <w:pPr>
        <w:pStyle w:val="Heading3"/>
      </w:pPr>
      <w:r>
        <w:t>Saw, A.E., Main, L.C., &amp; Gastin, P.B. (2016)</w:t>
      </w:r>
    </w:p>
    <w:p>
      <w:pPr/>
      <w:r>
        <w:rPr>
          <w:rFonts w:ascii="Calibri" w:hAnsi="Calibri"/>
          <w:b w:val="0"/>
          <w:i w:val="0"/>
        </w:rPr>
        <w:t>Strong</w:t>
      </w:r>
    </w:p>
    <w:p>
      <w:pPr/>
      <w:r>
        <w:rPr>
          <w:rFonts w:ascii="Calibri" w:hAnsi="Calibri"/>
          <w:b w:val="0"/>
          <w:i w:val="0"/>
        </w:rPr>
        <w:t>British Journal of Sports Medicine</w:t>
      </w:r>
    </w:p>
    <w:p>
      <w:pPr/>
      <w:r>
        <w:rPr>
          <w:rFonts w:ascii="Calibri" w:hAnsi="Calibri"/>
          <w:b w:val="0"/>
          <w:i w:val="0"/>
        </w:rPr>
        <w:t>Intra-individual variability in HRV, sleep, and wellness scores is more sensitive to training load and fatigue than absolute values. Individual-referenced thresholds outperform population-referenced thresholds across all wellness biomarkers.</w:t>
      </w:r>
    </w:p>
    <w:p>
      <w:pPr/>
      <w:r>
        <w:t>──────────────────────────────────────────────────</w:t>
      </w:r>
    </w:p>
    <w:p>
      <w:pPr>
        <w:pStyle w:val="Heading3"/>
      </w:pPr>
      <w:r>
        <w:t>Claudino et al. (2024)</w:t>
      </w:r>
    </w:p>
    <w:p>
      <w:pPr/>
      <w:r>
        <w:rPr>
          <w:rFonts w:ascii="Calibri" w:hAnsi="Calibri"/>
          <w:b w:val="0"/>
          <w:i w:val="0"/>
        </w:rPr>
        <w:t>Emerging</w:t>
      </w:r>
    </w:p>
    <w:p>
      <w:pPr/>
      <w:r>
        <w:rPr>
          <w:rFonts w:ascii="Calibri" w:hAnsi="Calibri"/>
          <w:b w:val="0"/>
          <w:i w:val="0"/>
        </w:rPr>
        <w:t>British Journal of Sports Medicine</w:t>
      </w:r>
    </w:p>
    <w:p>
      <w:pPr/>
      <w:r>
        <w:rPr>
          <w:rFonts w:ascii="Calibri" w:hAnsi="Calibri"/>
          <w:b w:val="0"/>
          <w:i w:val="0"/>
        </w:rPr>
        <w:t>Machine learning models trained on individual athlete baselines significantly outperformed models trained on group norms for injury risk prediction (AUC 0.84 vs. 0.61). 28–35 days of training data required for reliable individual baseline establishment.</w:t>
      </w:r>
    </w:p>
    <w:p>
      <w:pPr/>
      <w:r>
        <w:t>──────────────────────────────────────────────────</w:t>
      </w:r>
    </w:p>
    <w:p>
      <w:pPr>
        <w:pStyle w:val="Heading2"/>
      </w:pPr>
      <w:r>
        <w:t>1.6 — Thermography Scan Frequency &amp; Monitoring Protocols</w:t>
      </w:r>
    </w:p>
    <w:p>
      <w:pPr>
        <w:spacing w:after="120"/>
      </w:pPr>
      <w:r>
        <w:rPr>
          <w:rFonts w:ascii="Calibri" w:hAnsi="Calibri"/>
          <w:b w:val="0"/>
          <w:i w:val="0"/>
        </w:rPr>
        <w:t>The literature supports increasing scan frequency when thermal asymmetry is detected, but does not prescribe specific day-interval values. The intervals used in Section 7.3 are framework design decisions directionally supported by the studies below.</w:t>
      </w:r>
    </w:p>
    <w:p>
      <w:pPr>
        <w:pStyle w:val="Heading3"/>
      </w:pPr>
      <w:r>
        <w:t>Gómez-Carmona et al. (2020)</w:t>
      </w:r>
    </w:p>
    <w:p>
      <w:pPr/>
      <w:r>
        <w:rPr>
          <w:rFonts w:ascii="Calibri" w:hAnsi="Calibri"/>
          <w:b w:val="0"/>
          <w:i w:val="0"/>
        </w:rPr>
        <w:t>Strong</w:t>
      </w:r>
    </w:p>
    <w:p>
      <w:pPr/>
      <w:r>
        <w:rPr>
          <w:rFonts w:ascii="Calibri" w:hAnsi="Calibri"/>
          <w:b w:val="0"/>
          <w:i w:val="0"/>
        </w:rPr>
        <w:t>Journal of Sport Rehabilitation, 29(8), 1222–1227</w:t>
      </w:r>
    </w:p>
    <w:p>
      <w:pPr/>
      <w:r>
        <w:rPr>
          <w:rFonts w:ascii="Calibri" w:hAnsi="Calibri"/>
          <w:b w:val="0"/>
          <w:i w:val="0"/>
        </w:rPr>
        <w:t xml:space="preserve">Prospective study in 24 professional soccer players. Daily thermography-based monitoring during preseason reduced injury incidence from 0.63 to 0.25 injuries per player and days lost from 156 to 14 days. Supports high-frequency scanning when thermal risk is elevated. </w:t>
      </w:r>
      <w:r>
        <w:rPr>
          <w:rFonts w:ascii="Calibri" w:hAnsi="Calibri"/>
          <w:b/>
          <w:i w:val="0"/>
        </w:rPr>
        <w:t>Directly supports more frequent scanning in Deceptive Readiness and Danger zones.</w:t>
      </w:r>
    </w:p>
    <w:p>
      <w:pPr/>
      <w:r>
        <w:t>──────────────────────────────────────────────────</w:t>
      </w:r>
    </w:p>
    <w:p>
      <w:pPr>
        <w:pStyle w:val="Heading3"/>
      </w:pPr>
      <w:r>
        <w:t>Arnaiz-Lastras et al. (2019)</w:t>
      </w:r>
    </w:p>
    <w:p>
      <w:pPr/>
      <w:r>
        <w:rPr>
          <w:rFonts w:ascii="Calibri" w:hAnsi="Calibri"/>
          <w:b w:val="0"/>
          <w:i w:val="0"/>
        </w:rPr>
        <w:t>Moderate</w:t>
      </w:r>
    </w:p>
    <w:p>
      <w:pPr/>
      <w:r>
        <w:rPr>
          <w:rFonts w:ascii="Calibri" w:hAnsi="Calibri"/>
          <w:b w:val="0"/>
          <w:i w:val="0"/>
        </w:rPr>
        <w:t>PMC — Pilot Study (complementary screening)</w:t>
      </w:r>
    </w:p>
    <w:p>
      <w:pPr/>
      <w:r>
        <w:rPr>
          <w:rFonts w:ascii="Calibri" w:hAnsi="Calibri"/>
          <w:b w:val="0"/>
          <w:i w:val="0"/>
        </w:rPr>
        <w:t xml:space="preserve">Twice-weekly thermography (48 hours post-match) in professional soccer. A prevention protocol was triggered when asymmetry exceeded 0.4°C. Muscle injuries reduced from 11 to 4 over the monitored period. </w:t>
      </w:r>
      <w:r>
        <w:rPr>
          <w:rFonts w:ascii="Calibri" w:hAnsi="Calibri"/>
          <w:b/>
          <w:i w:val="0"/>
        </w:rPr>
        <w:t>Directly supports the twice-weekly cadence for Return-to-Sport Rehab and elevated-risk zones.</w:t>
      </w:r>
    </w:p>
    <w:p>
      <w:pPr/>
      <w:r>
        <w:t>──────────────────────────────────────────────────</w:t>
      </w:r>
    </w:p>
    <w:p>
      <w:pPr>
        <w:pStyle w:val="Heading3"/>
      </w:pPr>
      <w:r>
        <w:t>Frontiers in Sports and Active Living (2024)</w:t>
      </w:r>
    </w:p>
    <w:p>
      <w:pPr/>
      <w:r>
        <w:rPr>
          <w:rFonts w:ascii="Calibri" w:hAnsi="Calibri"/>
          <w:b w:val="0"/>
          <w:i w:val="0"/>
        </w:rPr>
        <w:t>Emerging</w:t>
      </w:r>
    </w:p>
    <w:p>
      <w:pPr/>
      <w:r>
        <w:rPr>
          <w:rFonts w:ascii="Calibri" w:hAnsi="Calibri"/>
          <w:b w:val="0"/>
          <w:i w:val="0"/>
        </w:rPr>
        <w:t>Systematic Review — IRT &amp; Internal Load in Athletes</w:t>
      </w:r>
    </w:p>
    <w:p>
      <w:pPr/>
      <w:r>
        <w:rPr>
          <w:rFonts w:ascii="Calibri" w:hAnsi="Calibri"/>
          <w:b w:val="0"/>
          <w:i w:val="0"/>
        </w:rPr>
        <w:t>Systematic review of 13 studies (n=231 athletes, Tier 2+). IRT parameters pre/post exercise are sensitive to skeletal muscle overload and fatigue. Supports periodic scanning as a practical non-invasive load monitoring tool, though optimal intervals remain unspecified in the literature.</w:t>
      </w:r>
    </w:p>
    <w:p>
      <w:pPr/>
      <w:r>
        <w:t>──────────────────────────────────────────────────</w:t>
      </w:r>
    </w:p>
    <w:p>
      <w:pPr>
        <w:pStyle w:val="Heading2"/>
      </w:pPr>
      <w:r>
        <w:t>1.7 — Thermographic Population Normative Values</w:t>
      </w:r>
    </w:p>
    <w:p>
      <w:pPr>
        <w:spacing w:after="120"/>
      </w:pPr>
      <w:r>
        <w:rPr>
          <w:rFonts w:ascii="Calibri" w:hAnsi="Calibri"/>
          <w:b w:val="0"/>
          <w:i w:val="0"/>
        </w:rPr>
        <w:t>Foundational studies establishing what constitutes a "normal" contralateral thermal asymmetry in healthy athletes. These normative values anchor the population-based classification framework used in Section 05A and define the population fallback thresholds active during athlete onboarding.</w:t>
      </w:r>
    </w:p>
    <w:p>
      <w:pPr>
        <w:pStyle w:val="Heading3"/>
      </w:pPr>
      <w:r>
        <w:t>ThermoHuman Research Group (2022)</w:t>
      </w:r>
    </w:p>
    <w:p>
      <w:pPr/>
      <w:r>
        <w:rPr>
          <w:rFonts w:ascii="Calibri" w:hAnsi="Calibri"/>
          <w:b w:val="0"/>
          <w:i w:val="0"/>
        </w:rPr>
        <w:t>Strong</w:t>
      </w:r>
    </w:p>
    <w:p>
      <w:pPr/>
      <w:r>
        <w:rPr>
          <w:rFonts w:ascii="Calibri" w:hAnsi="Calibri"/>
          <w:b w:val="0"/>
          <w:i w:val="0"/>
        </w:rPr>
        <w:t>ThermoHuman Applied Research — High Performance Center Niedersachsen, Germany</w:t>
      </w:r>
    </w:p>
    <w:p>
      <w:pPr/>
      <w:r>
        <w:rPr>
          <w:rFonts w:ascii="Calibri" w:hAnsi="Calibri"/>
          <w:b w:val="0"/>
          <w:i w:val="0"/>
        </w:rPr>
        <w:t xml:space="preserve">Normative thermal asymmetry dataset from 950 healthy high-performance athletes without pain, injury, or influence factors. Global mean asymmetry: 0.004 ± 0.66°C, confirming bilateral thermal homeostasis. Most stable regions (chest ± 0.24°C SD; lumbar ± 0.26°C SD; vastus medialis ± 0.27°C SD). Most variable regions: heel (±3.73°C SD), wrist (±0.72°C SD). 0.3°C established as the lower alert boundary; 0.6°C as the treatment action boundary. </w:t>
      </w:r>
      <w:r>
        <w:rPr>
          <w:rFonts w:ascii="Calibri" w:hAnsi="Calibri"/>
          <w:b/>
          <w:i w:val="0"/>
        </w:rPr>
        <w:t>Directly underpins the No Finding (&lt;0.3°C) and Moderate (0.30–0.49°C) tiers of the population framework.</w:t>
      </w:r>
    </w:p>
    <w:p>
      <w:pPr/>
      <w:r>
        <w:t>──────────────────────────────────────────────────</w:t>
      </w:r>
    </w:p>
    <w:p>
      <w:pPr>
        <w:pStyle w:val="Heading3"/>
      </w:pPr>
      <w:r>
        <w:t>Uematsu et al. (1988) — Part 1: Normal Values</w:t>
      </w:r>
    </w:p>
    <w:p>
      <w:pPr/>
      <w:r>
        <w:rPr>
          <w:rFonts w:ascii="Calibri" w:hAnsi="Calibri"/>
          <w:b w:val="0"/>
          <w:i w:val="0"/>
        </w:rPr>
        <w:t>Strong</w:t>
      </w:r>
    </w:p>
    <w:p>
      <w:pPr/>
      <w:r>
        <w:rPr>
          <w:rFonts w:ascii="Calibri" w:hAnsi="Calibri"/>
          <w:b w:val="0"/>
          <w:i w:val="0"/>
        </w:rPr>
        <w:t>Journal of Neurosurgery, 69(4):552–555</w:t>
      </w:r>
    </w:p>
    <w:p>
      <w:pPr/>
      <w:r>
        <w:rPr>
          <w:rFonts w:ascii="Calibri" w:hAnsi="Calibri"/>
          <w:b w:val="0"/>
          <w:i w:val="0"/>
        </w:rPr>
        <w:t xml:space="preserve">Foundational clinical thermography study establishing normative asymmetry values from 90 asymptomatic control subjects using computerised thermometric scanning. Region-specific normal values: forehead 0.18 ± 0.18°C, leg 0.27 ± 0.20°C, foot 0.38 ± 0.31°C. Global asymptomatic ceiling: ≤ 0.38°C. Reproducibility validated across sessions. </w:t>
      </w:r>
      <w:r>
        <w:rPr>
          <w:rFonts w:ascii="Calibri" w:hAnsi="Calibri"/>
          <w:b/>
          <w:i w:val="0"/>
        </w:rPr>
        <w:t>Establishes the population-level SD framework: the per-region SD from this dataset is the reference against which the SD-based tier classifications are calibrated.</w:t>
      </w:r>
    </w:p>
    <w:p>
      <w:pPr/>
      <w:r>
        <w:t>──────────────────────────────────────────────────</w:t>
      </w:r>
    </w:p>
    <w:p>
      <w:pPr>
        <w:pStyle w:val="Heading3"/>
      </w:pPr>
      <w:r>
        <w:t>Uematsu et al. (1988) — Part 2: Clinical Application</w:t>
      </w:r>
    </w:p>
    <w:p>
      <w:pPr/>
      <w:r>
        <w:rPr>
          <w:rFonts w:ascii="Calibri" w:hAnsi="Calibri"/>
          <w:b w:val="0"/>
          <w:i w:val="0"/>
        </w:rPr>
        <w:t>Strong</w:t>
      </w:r>
    </w:p>
    <w:p>
      <w:pPr/>
      <w:r>
        <w:rPr>
          <w:rFonts w:ascii="Calibri" w:hAnsi="Calibri"/>
          <w:b w:val="0"/>
          <w:i w:val="0"/>
        </w:rPr>
        <w:t>Journal of Neurosurgery, 69(4):556–561</w:t>
      </w:r>
    </w:p>
    <w:p>
      <w:pPr/>
      <w:r>
        <w:rPr>
          <w:rFonts w:ascii="Calibri" w:hAnsi="Calibri"/>
          <w:b w:val="0"/>
          <w:i w:val="0"/>
        </w:rPr>
        <w:t xml:space="preserve">Applied the normative values from Part 1 to 144 patients with low-back pain and sciatica. When asymmetry exceeded 1 SD above the normal mean of homologous regions: PPV = 94.7%, specificity = 87.5% for detecting pathological nerve root impingement. </w:t>
      </w:r>
      <w:r>
        <w:rPr>
          <w:rFonts w:ascii="Calibri" w:hAnsi="Calibri"/>
          <w:b/>
          <w:i w:val="0"/>
        </w:rPr>
        <w:t>Establishes that 1 SD above the mean is a clinically meaningful threshold with strong diagnostic performance — the theoretical basis for the SD-based tier classification in Section 05B. A 2.0 SD personal threshold (Severe tier) would represent an even higher-confidence signal.</w:t>
      </w:r>
    </w:p>
    <w:p>
      <w:pPr/>
      <w:r>
        <w:t>──────────────────────────────────────────────────</w:t>
      </w:r>
    </w:p>
    <w:p>
      <w:pPr>
        <w:pStyle w:val="Heading2"/>
      </w:pPr>
      <w:r>
        <w:t>1.8 — SD Classification Framework in Sports Monitoring</w:t>
      </w:r>
    </w:p>
    <w:p>
      <w:pPr>
        <w:spacing w:after="120"/>
      </w:pPr>
      <w:r>
        <w:rPr>
          <w:rFonts w:ascii="Calibri" w:hAnsi="Calibri"/>
          <w:b w:val="0"/>
          <w:i w:val="0"/>
        </w:rPr>
        <w:t>Evidence supporting the use of standard deviation tiers — rather than fixed absolute values — as the authoritative classification system once an individual baseline is established. These studies underpin the COMPASS 1.5 SD alert threshold and the broader SD tier framework in Section 05B.</w:t>
      </w:r>
    </w:p>
    <w:p>
      <w:pPr>
        <w:pStyle w:val="Heading3"/>
      </w:pPr>
      <w:r>
        <w:t>Plews, D.J. et al. (2013) — SD Tier Consensus</w:t>
      </w:r>
    </w:p>
    <w:p>
      <w:pPr/>
      <w:r>
        <w:rPr>
          <w:rFonts w:ascii="Calibri" w:hAnsi="Calibri"/>
          <w:b w:val="0"/>
          <w:i w:val="0"/>
        </w:rPr>
        <w:t>Strong</w:t>
      </w:r>
    </w:p>
    <w:p>
      <w:pPr/>
      <w:r>
        <w:rPr>
          <w:rFonts w:ascii="Calibri" w:hAnsi="Calibri"/>
          <w:b w:val="0"/>
          <w:i w:val="0"/>
        </w:rPr>
        <w:t>International Journal of Sports Physiology and Performance, 8(5):461–470</w:t>
      </w:r>
    </w:p>
    <w:p>
      <w:pPr/>
      <w:r>
        <w:rPr>
          <w:rFonts w:ascii="Calibri" w:hAnsi="Calibri"/>
          <w:b w:val="0"/>
          <w:i w:val="0"/>
        </w:rPr>
        <w:t xml:space="preserve">Establishes the widely-adopted SD tier framework for individual monitoring in sport: &lt;0.5 SD = within normal variation; 1.0 SD = meaningful departure (training modification flag); 1.5 SD = clinically important; ≥2.0 SD = extreme deviation requiring clinical review. Applied here to thermography because the same intra-individual departure logic applies: the question is not "how far from population average?" but "how far from this athlete's personal norm?" </w:t>
      </w:r>
      <w:r>
        <w:rPr>
          <w:rFonts w:ascii="Calibri" w:hAnsi="Calibri"/>
          <w:b/>
          <w:i w:val="0"/>
        </w:rPr>
        <w:t>Directly supports the 1.0 / 1.5 / 2.0 SD tier boundaries used in Section 05B.</w:t>
      </w:r>
    </w:p>
    <w:p>
      <w:pPr/>
      <w:r>
        <w:t>──────────────────────────────────────────────────</w:t>
      </w:r>
    </w:p>
    <w:p>
      <w:pPr>
        <w:pStyle w:val="Heading3"/>
      </w:pPr>
      <w:r>
        <w:t>Saw, A.E., Main, L.C., &amp; Gastin, P.B. (2016) — Individual vs. Population Reference</w:t>
      </w:r>
    </w:p>
    <w:p>
      <w:pPr/>
      <w:r>
        <w:rPr>
          <w:rFonts w:ascii="Calibri" w:hAnsi="Calibri"/>
          <w:b w:val="0"/>
          <w:i w:val="0"/>
        </w:rPr>
        <w:t>Strong</w:t>
      </w:r>
    </w:p>
    <w:p>
      <w:pPr/>
      <w:r>
        <w:rPr>
          <w:rFonts w:ascii="Calibri" w:hAnsi="Calibri"/>
          <w:b w:val="0"/>
          <w:i w:val="0"/>
        </w:rPr>
        <w:t>British Journal of Sports Medicine, 50(3):192–200</w:t>
      </w:r>
    </w:p>
    <w:p>
      <w:pPr/>
      <w:r>
        <w:rPr>
          <w:rFonts w:ascii="Calibri" w:hAnsi="Calibri"/>
          <w:b w:val="0"/>
          <w:i w:val="0"/>
        </w:rPr>
        <w:t xml:space="preserve">Intra-individual variability in HRV, sleep, and wellness scores is more sensitive to training load and fatigue than absolute values. Individual-referenced thresholds outperform population-referenced thresholds across all wellness biomarkers. Below 1 SD from personal baseline = normal fluctuation; above 1.5 SD = clinically important departure. </w:t>
      </w:r>
      <w:r>
        <w:rPr>
          <w:rFonts w:ascii="Calibri" w:hAnsi="Calibri"/>
          <w:b/>
          <w:i w:val="0"/>
        </w:rPr>
        <w:t>Directly validates the principle that individual SD thresholds supersede population °C thresholds — the foundational logic of the Section 05B framework.</w:t>
      </w:r>
    </w:p>
    <w:p>
      <w:pPr/>
      <w:r>
        <w:t>──────────────────────────────────────────────────</w:t>
      </w:r>
    </w:p>
    <w:p>
      <w:pPr>
        <w:pStyle w:val="Heading3"/>
      </w:pPr>
      <w:r>
        <w:t>Claudino et al. (2024) — Individual Baselines in ML Models</w:t>
      </w:r>
    </w:p>
    <w:p>
      <w:pPr/>
      <w:r>
        <w:rPr>
          <w:rFonts w:ascii="Calibri" w:hAnsi="Calibri"/>
          <w:b w:val="0"/>
          <w:i w:val="0"/>
        </w:rPr>
        <w:t>Emerging</w:t>
      </w:r>
    </w:p>
    <w:p>
      <w:pPr/>
      <w:r>
        <w:rPr>
          <w:rFonts w:ascii="Calibri" w:hAnsi="Calibri"/>
          <w:b w:val="0"/>
          <w:i w:val="0"/>
        </w:rPr>
        <w:t>British Journal of Sports Medicine</w:t>
      </w:r>
    </w:p>
    <w:p>
      <w:pPr/>
      <w:r>
        <w:rPr>
          <w:rFonts w:ascii="Calibri" w:hAnsi="Calibri"/>
          <w:b w:val="0"/>
          <w:i w:val="0"/>
        </w:rPr>
        <w:t xml:space="preserve">Machine learning models trained on individual athlete baselines significantly outperformed models trained on group norms for injury risk prediction (AUC 0.84 vs. 0.61). 28–35 days of training data required for reliable individual baseline establishment (consistent with the 4–6 scan, 3–5 week COMPASS onboarding protocol). </w:t>
      </w:r>
      <w:r>
        <w:rPr>
          <w:rFonts w:ascii="Calibri" w:hAnsi="Calibri"/>
          <w:b/>
          <w:i w:val="0"/>
        </w:rPr>
        <w:t>Quantifies the performance gap between individual and population reference frames: the SD-based individual framework is not just conceptually superior — it is measurably more predictive.</w:t>
      </w:r>
    </w:p>
    <w:p>
      <w:pPr/>
      <w:r>
        <w:t>──────────────────────────────────────────────────</w:t>
      </w:r>
    </w:p>
    <w:p>
      <w:pPr>
        <w:pStyle w:val="Heading2"/>
      </w:pPr>
      <w:r>
        <w:t>1.9 — Thermal Asymmetry Risk Stratification Studies</w:t>
      </w:r>
    </w:p>
    <w:p>
      <w:pPr>
        <w:spacing w:after="120"/>
      </w:pPr>
      <w:r>
        <w:rPr>
          <w:rFonts w:ascii="Calibri" w:hAnsi="Calibri"/>
          <w:b w:val="0"/>
          <w:i w:val="0"/>
        </w:rPr>
        <w:t>Studies directly establishing which absolute asymmetry values (°C) correspond to clinically meaningful injury risk levels. These anchor the Moderate and High population-based tiers where the literature provides most specific threshold evidence.</w:t>
      </w:r>
    </w:p>
    <w:p>
      <w:pPr>
        <w:pStyle w:val="Heading3"/>
      </w:pPr>
      <w:r>
        <w:t>Marins, J.C.B. et al. (2014)</w:t>
      </w:r>
    </w:p>
    <w:p>
      <w:pPr/>
      <w:r>
        <w:rPr>
          <w:rFonts w:ascii="Calibri" w:hAnsi="Calibri"/>
          <w:b w:val="0"/>
          <w:i w:val="0"/>
        </w:rPr>
        <w:t>Moderate</w:t>
      </w:r>
    </w:p>
    <w:p>
      <w:pPr/>
      <w:r>
        <w:rPr>
          <w:rFonts w:ascii="Calibri" w:hAnsi="Calibri"/>
          <w:b w:val="0"/>
          <w:i w:val="0"/>
        </w:rPr>
        <w:t>International Journal of Morphology, 32(3):769–776</w:t>
      </w:r>
    </w:p>
    <w:p>
      <w:pPr/>
      <w:r>
        <w:rPr>
          <w:rFonts w:ascii="Calibri" w:hAnsi="Calibri"/>
          <w:b w:val="0"/>
          <w:i w:val="0"/>
        </w:rPr>
        <w:t xml:space="preserve">Thermal body pattern study in healthy Brazilian adults establishing region-specific normative asymmetry values and risk gradients. Asymmetry ≥ 0.3°C warrants clinical attention in major muscle groups. Values approaching 0.4°C indicate meaningfully elevated injury risk. Recommended for clinical investigation and contextualisation with load data when exceeded. </w:t>
      </w:r>
      <w:r>
        <w:rPr>
          <w:rFonts w:ascii="Calibri" w:hAnsi="Calibri"/>
          <w:b/>
          <w:i w:val="0"/>
        </w:rPr>
        <w:t>Anchors the lower boundary of the Moderate tier (0.30°C) and confirms the transition zone toward the High tier prevention threshold approaching 0.4–0.5°C.</w:t>
      </w:r>
    </w:p>
    <w:p>
      <w:pPr/>
      <w:r>
        <w:t>──────────────────────────────────────────────────</w:t>
      </w:r>
    </w:p>
    <w:p>
      <w:pPr>
        <w:pStyle w:val="Heading3"/>
      </w:pPr>
      <w:r>
        <w:t>Gómez-Carmona et al. (2020) — 0.5°C Clinical Threshold</w:t>
      </w:r>
    </w:p>
    <w:p>
      <w:pPr/>
      <w:r>
        <w:rPr>
          <w:rFonts w:ascii="Calibri" w:hAnsi="Calibri"/>
          <w:b w:val="0"/>
          <w:i w:val="0"/>
        </w:rPr>
        <w:t>Strong</w:t>
      </w:r>
    </w:p>
    <w:p>
      <w:pPr/>
      <w:r>
        <w:rPr>
          <w:rFonts w:ascii="Calibri" w:hAnsi="Calibri"/>
          <w:b w:val="0"/>
          <w:i w:val="0"/>
        </w:rPr>
        <w:t>Journal of Sport Rehabilitation, 29(8):1222–1227</w:t>
      </w:r>
    </w:p>
    <w:p>
      <w:pPr/>
      <w:r>
        <w:rPr>
          <w:rFonts w:ascii="Calibri" w:hAnsi="Calibri"/>
          <w:b w:val="0"/>
          <w:i w:val="0"/>
        </w:rPr>
        <w:t xml:space="preserve">Asymmetry &gt;0.5°C identified 83% of subsequent soft tissue injuries before symptom onset (n=24 professional players). Detection occurred an average 8.2 days prior to clinical presentation. Daily thermography protocol reduced injuries from 0.63 to 0.25 per player, and days lost from 156 to 14. </w:t>
      </w:r>
      <w:r>
        <w:rPr>
          <w:rFonts w:ascii="Calibri" w:hAnsi="Calibri"/>
          <w:b/>
          <w:i w:val="0"/>
        </w:rPr>
        <w:t>Definitively establishes 0.5°C as the lower boundary of the High tier — and confirms that the corresponding SD value (≈ 1.85 SD) sits firmly within the 1.5–1.99 SD COMPASS alert band, validating the calibration between both frameworks.</w:t>
      </w:r>
    </w:p>
    <w:p>
      <w:pPr/>
      <w:r>
        <w:t>──────────────────────────────────────────────────</w:t>
      </w:r>
    </w:p>
    <w:p>
      <w:pPr>
        <w:pStyle w:val="Heading3"/>
      </w:pPr>
      <w:r>
        <w:t>Arnaiz-Lastras et al. (2019) — 0.4°C Prevention Protocol</w:t>
      </w:r>
    </w:p>
    <w:p>
      <w:pPr/>
      <w:r>
        <w:rPr>
          <w:rFonts w:ascii="Calibri" w:hAnsi="Calibri"/>
          <w:b w:val="0"/>
          <w:i w:val="0"/>
        </w:rPr>
        <w:t>Moderate</w:t>
      </w:r>
    </w:p>
    <w:p>
      <w:pPr/>
      <w:r>
        <w:rPr>
          <w:rFonts w:ascii="Calibri" w:hAnsi="Calibri"/>
          <w:b w:val="0"/>
          <w:i w:val="0"/>
        </w:rPr>
        <w:t>PMC — Pilot Study (Complementary Screening)</w:t>
      </w:r>
    </w:p>
    <w:p>
      <w:pPr/>
      <w:r>
        <w:rPr>
          <w:rFonts w:ascii="Calibri" w:hAnsi="Calibri"/>
          <w:b w:val="0"/>
          <w:i w:val="0"/>
        </w:rPr>
        <w:t xml:space="preserve">Twice-weekly thermography (48 hours post-match) in professional soccer. Prevention protocol triggered when asymmetry exceeded 0.4°C. Muscle injuries reduced from 11 to 4 over the monitored period — a 64% reduction. </w:t>
      </w:r>
      <w:r>
        <w:rPr>
          <w:rFonts w:ascii="Calibri" w:hAnsi="Calibri"/>
          <w:b/>
          <w:i w:val="0"/>
        </w:rPr>
        <w:t>Establishes 0.4°C as an operational prevention threshold. Critically, 0.4°C ≈ 1.5 SD for major muscle groups, confirming that the COMPASS 1.5 SD alert threshold and this literature-based 0.4°C threshold are drawing the line at the same physiological signal.</w:t>
      </w:r>
    </w:p>
    <w:p>
      <w:pPr/>
      <w:r>
        <w:t>──────────────────────────────────────────────────</w:t>
      </w:r>
    </w:p>
    <w:p>
      <w:pPr>
        <w:pStyle w:val="Heading2"/>
      </w:pPr>
      <w:r>
        <w:t>1.10 — Training Load Theory &amp; the Capacity Gap Model</w:t>
      </w:r>
    </w:p>
    <w:p>
      <w:pPr>
        <w:spacing w:after="120"/>
      </w:pPr>
      <w:r>
        <w:rPr>
          <w:rFonts w:ascii="Calibri" w:hAnsi="Calibri"/>
          <w:b w:val="0"/>
          <w:i w:val="0"/>
        </w:rPr>
        <w:t>The theoretical underpinning of COMPASS's dual-axis design: why systemic load monitoring alone is insufficient for tissue-level injury risk detection, and how the IOC load-capacity model maps onto the four COMPASS zones.</w:t>
      </w:r>
    </w:p>
    <w:p>
      <w:pPr>
        <w:pStyle w:val="Heading3"/>
      </w:pPr>
      <w:r>
        <w:t>Kalkhoven, J.T., Watsford, M.L., &amp; Impellizzeri, F.M. (2021)</w:t>
      </w:r>
    </w:p>
    <w:p>
      <w:pPr/>
      <w:r>
        <w:rPr>
          <w:rFonts w:ascii="Calibri" w:hAnsi="Calibri"/>
          <w:b w:val="0"/>
          <w:i w:val="0"/>
        </w:rPr>
        <w:t>Strong</w:t>
      </w:r>
    </w:p>
    <w:p>
      <w:pPr/>
      <w:r>
        <w:rPr>
          <w:rFonts w:ascii="Calibri" w:hAnsi="Calibri"/>
          <w:b w:val="0"/>
          <w:i w:val="0"/>
        </w:rPr>
        <w:t xml:space="preserve">Sports Medicine, 51(3):469–479 · </w:t>
      </w:r>
      <w:r>
        <w:rPr>
          <w:rFonts w:ascii="Calibri" w:hAnsi="Calibri"/>
          <w:b w:val="0"/>
          <w:i w:val="0"/>
        </w:rPr>
        <w:t>PMC7534945 ↗</w:t>
      </w:r>
    </w:p>
    <w:p>
      <w:pPr/>
      <w:r>
        <w:rPr>
          <w:rFonts w:ascii="Calibri" w:hAnsi="Calibri"/>
          <w:b w:val="0"/>
          <w:i w:val="0"/>
        </w:rPr>
        <w:t xml:space="preserve">Demonstrated that training load measures — whether external (GPS, ACWR) or internal (HRV, RPE) — cannot provide a quantitative indication of whether particular load progressions will increase or decrease injury risk at the tissue level. Argued that a mechanistic, tissue-specific layer is required above and beyond systemic load monitoring. </w:t>
      </w:r>
      <w:r>
        <w:rPr>
          <w:rFonts w:ascii="Calibri" w:hAnsi="Calibri"/>
          <w:b/>
          <w:i w:val="0"/>
        </w:rPr>
        <w:t>Directly motivates the COMPASS dual-axis architecture: the Thermal Asymmetry Index provides the spatially-resolved tissue signal that no systemic metric can reach, operationalising the theoretical gap this paper identifies.</w:t>
      </w:r>
    </w:p>
    <w:p>
      <w:pPr/>
      <w:r>
        <w:t>──────────────────────────────────────────────────</w:t>
      </w:r>
    </w:p>
    <w:p>
      <w:pPr>
        <w:pStyle w:val="Heading3"/>
      </w:pPr>
      <w:r>
        <w:t>Soligard, T. et al. (2016) — IOC Consensus on Load in Sport</w:t>
      </w:r>
    </w:p>
    <w:p>
      <w:pPr/>
      <w:r>
        <w:rPr>
          <w:rFonts w:ascii="Calibri" w:hAnsi="Calibri"/>
          <w:b w:val="0"/>
          <w:i w:val="0"/>
        </w:rPr>
        <w:t>Strong</w:t>
      </w:r>
    </w:p>
    <w:p>
      <w:pPr/>
      <w:r>
        <w:rPr>
          <w:rFonts w:ascii="Calibri" w:hAnsi="Calibri"/>
          <w:b w:val="0"/>
          <w:i w:val="0"/>
        </w:rPr>
        <w:t>British Journal of Sports Medicine, 50(17):1030–1041</w:t>
      </w:r>
    </w:p>
    <w:p>
      <w:pPr/>
      <w:r>
        <w:rPr>
          <w:rFonts w:ascii="Calibri" w:hAnsi="Calibri"/>
          <w:b w:val="0"/>
          <w:i w:val="0"/>
        </w:rPr>
        <w:t xml:space="preserve">International Olympic Committee consensus statement defining injury risk as a function of the gap between an athlete's accumulated load and their capacity to absorb it: when load exceeds capacity, injury risk rises. Established the load-capacity framework as the theoretical lens for interpreting all monitoring data. </w:t>
      </w:r>
      <w:r>
        <w:rPr>
          <w:rFonts w:ascii="Calibri" w:hAnsi="Calibri"/>
          <w:b/>
          <w:i w:val="0"/>
        </w:rPr>
        <w:t>COMPASS zones map directly onto this model — Safe (no gap), Recovery (systemic capacity eroded), Deceptive Readiness (hidden local-tissue capacity gap invisible to systemic metrics), Danger (critical dual-axis gap) — providing a principled clinical interpretation for each zone beyond the score label alone.</w:t>
      </w:r>
    </w:p>
    <w:p>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2026-04-04T00:00:00Z</dcterms:modified>
  <cp:category/>
</cp:coreProperties>
</file>