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560"/>
          <w:sz w:val="40"/>
          <w:szCs w:val="40"/>
        </w:rPr>
        <w:t xml:space="preserve">THERMAL ASYMMETRY CLASSIFICATION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Population-Based &amp; Individual Baseline Protocols for the COMPASS Clinical Framework</w:t>
      </w:r>
    </w:p>
    <w:p>
      <w:pPr>
        <w:pBdr>
          <w:bottom w:val="single" w:color="1A3560" w:sz="6" w:space="6"/>
        </w:pBd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NUR Platform  ·  Amplifai Health  ·  Clinical Reference Document</w:t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1. Introduction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Contralateral thermal asymmetry — the difference in skin temperature between bilateral homologous regions — is the primary thermographic signal used in the COMPASS framework. In healthy athletes, the body maintains near-perfect bilateral symmetry (0.004 ± 0.66°C), 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[1]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 principle known as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thermal homeostasis.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Departures from symmetry indicate physiological imbalance, tissue stress, or developing injury, often days before clinical symptoms emerge.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[6]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Two distinct threshold frameworks are needed because the reference frame available determines how asymmetry is classified. During athlete onboarding — before sufficient personal scan history has been accumulated — the system must rely on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population-derived absolute temperature thresholds (°C).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Once an individual baseline is established (typically 4–6 scans), classification switches to a more sensitive and specific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standard deviation (SD) model referenced against the athlete's personal thermal norm.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8" w:sz="6"/>
              <w:left w:val="single" w:color="1F5FA8" w:sz="12"/>
              <w:bottom w:val="single" w:color="BBBBBB" w:sz="4"/>
              <w:right w:val="single" w:color="BBBBBB" w:sz="4"/>
            </w:tcBorders>
            <w:shd w:fill="EB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8"/>
                <w:sz w:val="20"/>
                <w:szCs w:val="20"/>
              </w:rPr>
              <w:t xml:space="preserve">When to Apply Each Framework</w:t>
            </w:r>
          </w:p>
          <w:tbl>
            <w:tblPr>
              <w:tblW w:type="dxa" w:w="9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4820"/>
            </w:tblGrid>
            <w:tr>
              <w:tc>
                <w:tcPr>
                  <w:tcW w:type="dxa" w:w="42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E8EFF8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560"/>
                      <w:sz w:val="19"/>
                      <w:szCs w:val="19"/>
                    </w:rPr>
                    <w:t xml:space="preserve">Framework</w:t>
                  </w:r>
                </w:p>
              </w:tc>
              <w:tc>
                <w:tcPr>
                  <w:tcW w:type="dxa" w:w="482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E8EFF8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560"/>
                      <w:sz w:val="19"/>
                      <w:szCs w:val="19"/>
                    </w:rPr>
                    <w:t xml:space="preserve">Apply When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Population-Based (°C thresholds)</w:t>
                  </w:r>
                </w:p>
              </w:tc>
              <w:tc>
                <w:tcPr>
                  <w:tcW w:type="dxa" w:w="482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No individual baseline established — fewer than 6 personal thermal scans completed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7F7F7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Individual SD-Based (SD above personal mean)</w:t>
                  </w:r>
                </w:p>
              </w:tc>
              <w:tc>
                <w:tcPr>
                  <w:tcW w:type="dxa" w:w="482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7F7F7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Personal baseline established — 6 or more scans completed under standard conditions</w:t>
                  </w:r>
                </w:p>
              </w:tc>
            </w:tr>
          </w:tbl>
          <w:p/>
        </w:tc>
      </w:tr>
    </w:tbl>
    <w:p>
      <w:pPr>
        <w:spacing w:after="1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2. Framework 1 — Population-Based Asymmetry Classification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when no individual thermal baseline has been established. Thresholds are derived from normative datasets of healthy athletes and clinical studies using absolute temperature differences (°C) between contralateral body regions.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8" w:sz="6"/>
              <w:left w:val="single" w:color="1F5FA8" w:sz="12"/>
              <w:bottom w:val="single" w:color="BBBBBB" w:sz="4"/>
              <w:right w:val="single" w:color="BBBBBB" w:sz="4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8"/>
                <w:sz w:val="19"/>
                <w:szCs w:val="19"/>
              </w:rPr>
              <w:t xml:space="preserve">Rationale: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human body is bilaterally symmetric at baseline.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Uematsu et al. (1988) 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[2]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established an asymptomatic ceiling of ≤ 0.38°C from 90 controls.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ThermoHuman (2022) 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confirmed this with 950 athletes (mean 0.004 ± 0.66°C). Any departure above 0.3°C for stable muscle groups represents a meaningful signal above population norms.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600"/>
        <w:gridCol w:w="21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Asymmetry Threshold</w:t>
            </w:r>
          </w:p>
        </w:tc>
        <w:tc>
          <w:tcPr>
            <w:tcW w:type="dxa" w:w="26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Literature Evidence</w:t>
            </w:r>
          </w:p>
        </w:tc>
        <w:tc>
          <w:tcPr>
            <w:tcW w:type="dxa" w:w="21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Meaning</w:t>
            </w:r>
          </w:p>
        </w:tc>
        <w:tc>
          <w:tcPr>
            <w:tcW w:type="dxa" w:w="236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COMPASS Action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19"/>
                <w:szCs w:val="19"/>
              </w:rPr>
              <w:t xml:space="preserve">No Finding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22"/>
                <w:szCs w:val="22"/>
              </w:rPr>
              <w:t xml:space="preserve">&lt; 0.3°C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ThermoHuman (2022):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Mean asymmetry across 950 healthy high-performance athletes = 0.004 ± 0.66°C, confirming bilateral thermal homeostasis. All stable muscle regions (chest, lumbar, vastus medialis) fall below 0.3°C in the absence of injury or influence factors.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Uematsu et al. (1988):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Normal asymptomatic ceiling established at ≤ 0.38°C from 90 control subjects.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[2]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Within normative population range.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Thermal homeostasis is maintained. No physiological imbalance detected. Day-to-day bilateral symmetry consistent with healthy tissue.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intervention required. Continue standard monitoring at scheduled scan frequency (weekly for Safe Zone athletes).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22"/>
                <w:szCs w:val="22"/>
              </w:rPr>
              <w:t xml:space="preserve">0.30°C – 0.49°C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ThermoHuman classification: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0.3°C is the software's lower alert boundary — regions exceeding this value are highlighted as outside normative range.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Marins et al. (2014):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Bilateral asymmetry ≥ 0.3°C warrants clinical attention in major muscle groups; values approaching 0.4°C indicate meaningfully elevated risk. Recommended for investigation and contextualisation with load data.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[4]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Elevated above normative threshold.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 developing imbalance is possible. Athlete is below the established prevention threshold but trending toward clinical concern. Training load history and session context are critical co-factors.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monitoring frequency. Contextualise with ACWR and recent training load. No immediate load restriction required in isolation, but flag for physiotherapy review at next scheduled scan.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22"/>
                <w:szCs w:val="22"/>
              </w:rPr>
              <w:t xml:space="preserve">0.50°C – 0.99°C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Gómez-Carmona et al. (2020):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Asymmetry &gt; 0.5°C identified 83% of subsequent soft tissue injuries before symptom onset, with detection an average of 8.2 days prior (n=24 professional soccer players; J. Sport Rehabilitation).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[6]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Arnaiz-Lastras et al. (2019):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Prevention protocol triggered at ≥ 0.4°C (twice-weekly scans post-match). Muscle injuries fell from 11 to 4 over the monitored season — a 64% reduction.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ThermoHuman: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Asymmetry ≥ 0.6°C flags all regions for complementary treatment in the classification system.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Clinically significant asymmetry — prevention protocol threshold.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Tissue stress is detectable and actionable. Strong predictive signal for imminent soft tissue injury. Athlete may be fully asymptomatic and feel ready to train hard — this is the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Deceptive Readiness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scenario in COMPASS.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Activate prevention protocol. Modify training load for the affected region. Physiotherapist soft tissue assessment recommended. Increase scan frequency to every 3–4 days.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[6]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Severe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≥ 1.0°C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Schiavon et al. (2021):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Systematic review &amp; meta-analysis: IRT sensitivity = 0.81, specificity = 0.74, AUC = 0.83 for detecting musculoskeletal injury. High asymmetry values carry the strongest diagnostic accuracy.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[7]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Costa et al. (2019):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Contralateral thermal asymmetry in hamstring and knee regions significantly elevated in athletes within 2 weeks pre-injury vs. uninjured controls (p &lt; 0.01, Cohen's d = 0.87).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[8]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IRT clinical consensus: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&gt; 0.7°C is broadly defined as "abnormal"; 1.0–1.5°C represents the high risk zone across the sports medicine IRT literature.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High injury risk — marked physiological disruption.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Probability of subclinical or active tissue injury is high. Mandatory clinical attention is required regardless of subjective symptoms or wearable-based readiness scores.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Mandatory clinical review. Significant load reduction or rest. Targeted physiotherapy and medical assessment of the flagged region. Re-scan within 3 days.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[7]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[8]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Regional Variability Note: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These thresholds apply primarily to major muscle groups (hamstrings, quadriceps, calves, lumbar). Distal and small regions (wrist, heel, fingers) exhibit higher physiological variability and require adjusted interpretation — the heel, for example, has a normative SD of ±3.73°C. 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[1]</w:t>
      </w:r>
    </w:p>
    <w:p>
      <w:pPr>
        <w:pageBreakBefore/>
        <w:spacing w:after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3. Framework 2 — Individual Baseline SD Classification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once an athlete's personal thermal baseline is established (minimum 6 scans under standardised conditions, captured at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~weekly intervals over 3–5 weeks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). Each athlete's historical scan data establishes a personal mean and standard deviation for each body region. Subsequent readings are classified relative to this individual norm — a materially more sensitive and specific reference frame than population thresholds.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[9]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8" w:sz="6"/>
              <w:left w:val="single" w:color="1F5FA8" w:sz="12"/>
              <w:bottom w:val="single" w:color="BBBBBB" w:sz="4"/>
              <w:right w:val="single" w:color="BBBBBB" w:sz="4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8"/>
                <w:sz w:val="19"/>
                <w:szCs w:val="19"/>
              </w:rPr>
              <w:t xml:space="preserve">Rationale: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Individual-referenced thresholds outperform population norms across all wellness and physiological biomarkers 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[9]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 ML models trained on personal baselines outperform group norms (AUC 0.84 vs 0.61). 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[10]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The 1.5 SD primary alert threshold in COMPASS is deliberately positioned between 1.0 SD (meaningful change) and 2.0 SD (extreme outlier) — enabling preventive action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before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injury rather than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at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injury.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600"/>
        <w:gridCol w:w="21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Threshold</w:t>
            </w:r>
          </w:p>
        </w:tc>
        <w:tc>
          <w:tcPr>
            <w:tcW w:type="dxa" w:w="26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Literature Evidence</w:t>
            </w:r>
          </w:p>
        </w:tc>
        <w:tc>
          <w:tcPr>
            <w:tcW w:type="dxa" w:w="210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Meaning</w:t>
            </w:r>
          </w:p>
        </w:tc>
        <w:tc>
          <w:tcPr>
            <w:tcW w:type="dxa" w:w="236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COMPASS Action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19"/>
                <w:szCs w:val="19"/>
              </w:rPr>
              <w:t xml:space="preserve">No Finding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20"/>
                <w:szCs w:val="20"/>
              </w:rPr>
              <w:t xml:space="preserve">&lt; 1.0 SD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20"/>
                <w:szCs w:val="20"/>
              </w:rPr>
              <w:t xml:space="preserve">above personal mean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≈ &lt; 0.27°C†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Uematsu et al. (1988), Pt. 2: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Below 1 SD from the normal mean of homologous regions, PPV for pathological root impingement remained low. No clinically significant departure below this threshold.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[3]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Saw et al. (2016):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Intra-individual variability below 1 SD in HRV, sleep, and wellness biomarkers represents normal training-related fluctuation — not a meaningful training response signal.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[9]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Within the athlete's individual normal range.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Asymmetry reflects normal day-to-day biological variation. No clinically meaningful departure from the athlete's established personal thermal pattern.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intervention required. Continue standard monitoring at scheduled scan frequency.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20"/>
                <w:szCs w:val="20"/>
              </w:rPr>
              <w:t xml:space="preserve">1.0 – 1.49 SD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20"/>
                <w:szCs w:val="20"/>
              </w:rPr>
              <w:t xml:space="preserve">above personal mean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≈ 0.27°C – 0.40°C†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Uematsu et al. (1988), Pt. 2: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Asymmetries approaching 1 SD carry increasing clinical signal. Below this threshold, specificity for pathology is low. Exceeding 1 SD begins to differentiate pathological from normal states.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[3]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HRV monitoring consensus (Plews et al., 2013):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A 1.0 SD departure from individual rolling baseline is the established "meaningful change" marker across sports monitoring literature — a flag requiring attention and contextualisation with load data.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[11]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Meaningful departure from personal baseline.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The athlete's thermal pattern has shifted beyond normal daily variability. Not yet a prevention trigger in isolation, but flags that tissue state has changed and warrants closer monitoring.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monitoring vigilance. Contextualise with ACWR and training history. Increase scan frequency as a precaution. No immediate load restriction required in isolation.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20"/>
                <w:szCs w:val="20"/>
              </w:rPr>
              <w:t xml:space="preserve">1.5 – 1.99 SD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20"/>
                <w:szCs w:val="20"/>
              </w:rPr>
              <w:t xml:space="preserve">above personal mean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≈ 0.41°C – 0.54°C†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COMPASS Framework (Amplifai Health):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1.5 SD above personal thermal baseline is the framework's primary alert trigger for physiotherapy assessment recommendation, used in combination with ACWR &gt; 1.3.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Sports monitoring consensus: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1.5 SD is recognized as the "clinically important departure" threshold — more sensitive than a blanket 2.0 SD cutoff, designed to enable preventive action before injury, not after.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[9]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[11]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Calibration check: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This SD threshold corresponds to ≈ 0.4°C for major muscle groups — aligning directly with the Arnaiz-Lastras (2019) 0.4°C prevention threshold.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Clinically important departure — COMPASS alert threshold.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The athlete's thermal pattern has deviated significantly from their personal norm. High-confidence preventive signal. Local tissue stress is building. Athlete is likely asymptomatic — this is the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Deceptive Readiness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scenario.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COMPASS prevention protocol active. Modified loading for the affected region. Soft tissue physiotherapy assessment. Increase scan frequency to every 3–4 days.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[6]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Severe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≥ 2.0 SD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above personal mean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≈ ≥ 0.55°C†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Uematsu et al. (1988), Pt. 2: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When asymmetry exceeded 1 SD from the population mean of homologous regions, PPV = 94.7% and specificity = 87.5% for pathological root impingement. A 2.0 SD individual threshold represents an even higher-confidence signal within the personal reference frame.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[3]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Schiavon et al. (2021):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Strong diagnostic accuracy at high asymmetry values (AUC 0.83).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[7]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Claudino et al. (2024):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Individual baseline ML models outperformed group norms (AUC 0.84 vs 0.61), validating the personal SD framework's superiority over population cutoffs alone.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[10]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Extreme deviation — high-confidence injury signal.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The athlete's thermal pattern has departed dramatically from personal norm. When combined with systemic readiness data, this represents the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Danger Zone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in COMPASS. Probability of subclinical or active tissue injury is high.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Mandatory clinical review. Significant load reduction or rest. Targeted physiotherapy and medical assessment. Re-scan within 3 days.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[7]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[10]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† Approximate °C Equivalents: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Calculated using the typical SD for major muscle groups of stable athletic regions (≈ 0.27°C — consistent with the population normative SD for regions such as vastus medialis 0.003 ± 0.27°C and chest 0.008 ± 0.24°C per ThermoHuman 2022). </w:t>
      </w:r>
      <w:r>
        <w:rPr>
          <w:rFonts w:ascii="Arial" w:cs="Arial" w:eastAsia="Arial" w:hAnsi="Arial"/>
          <w:b/>
          <w:bCs/>
          <w:color w:val="1A5FA8"/>
          <w:sz w:val="15"/>
          <w:szCs w:val="15"/>
          <w:vertAlign w:val="superscript"/>
        </w:rPr>
        <w:t xml:space="preserve">[1]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Personal SDs will vary by athlete and region. For athletes with higher personal variability, SD-based thresholds will correspond to higher absolute °C values than indicated.</w:t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4. Framework Alignment — How the Two Scales Correspond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two frameworks are calibrated to produce consistent clinical decisions. At the transition point (6 scans), population-based classifications and SD-based classifications should broadly agree. This table maps the approximate correspondence: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2280"/>
        <w:gridCol w:w="2760"/>
      </w:tblGrid>
      <w:tr>
        <w:trPr>
          <w:tblHeader/>
        </w:trPr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 Threshold (°C)</w:t>
            </w:r>
          </w:p>
        </w:tc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Threshold</w:t>
            </w:r>
          </w:p>
        </w:tc>
        <w:tc>
          <w:tcPr>
            <w:tcW w:type="dxa" w:w="228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Equivalence*</w:t>
            </w:r>
          </w:p>
        </w:tc>
        <w:tc>
          <w:tcPr>
            <w:tcW w:type="dxa" w:w="276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Bridging Evidence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19"/>
                <w:szCs w:val="19"/>
              </w:rPr>
              <w:t xml:space="preserve">No Finding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0.3°C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1.0 SD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0.3°C ≈ &lt; 1.1 SD (at pop. level)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Uematsu (1988): asymptomatic ceiling ≤ 0.38°C; ThermoHuman n=950 confirms.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[1]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[2]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5B00"/>
                <w:sz w:val="19"/>
                <w:szCs w:val="19"/>
              </w:rPr>
              <w:t xml:space="preserve">Moderate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0.30–0.49°C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5C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1.0–1.49 SD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0.3°C ≈ 1.1 SD; 0.4°C ≈ 1.5 SD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Marins (2014): 0.3–0.4°C warrants attention in major groups.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[4]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0.50–0.99°C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1.5–1.99 SD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0.5°C ≈ 1.85 SD; 0.4°C ≈ 1.5 SD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Arnaiz-Lastras 0.4°C threshold ≈ COMPASS 1.5 SD alert — strong calibration agreement.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818"/>
                <w:sz w:val="19"/>
                <w:szCs w:val="19"/>
              </w:rPr>
              <w:t xml:space="preserve">Severe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≥ 1.0°C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0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≥ 2.0 SD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1.0°C ≈ 3.7 SD (well beyond normal)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Schiavon (2021): AUC 0.83 at high asymmetry confirms convergent signal at both scales.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[7]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* Approximate correspondences are calculated using the population-level SD for major muscle groups (≈ 0.27°C per ThermoHuman normative data). At the individual level, the personal SD is used and may differ from this estimate.</w:t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5. Integration With the COMPASS Thermal Risk Score (0–100)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Thermal Risk Score (T, 0–100) used in the COMPASS two-axis zone framework maps onto both asymmetry frameworks. The critical boundary in COMPASS is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 = 50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the dividing line between "low asymmetry" (T &lt; 50) and "high asymmetry" (T ≥ 50) that determines zone assignment.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5040"/>
      </w:tblGrid>
      <w:tr>
        <w:trPr>
          <w:tblHeader/>
        </w:trPr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COMPASS T Score</w:t>
            </w:r>
          </w:p>
        </w:tc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Population Equiv.</w:t>
            </w:r>
          </w:p>
        </w:tc>
        <w:tc>
          <w:tcPr>
            <w:tcW w:type="dxa" w:w="14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Equiv.</w:t>
            </w:r>
          </w:p>
        </w:tc>
        <w:tc>
          <w:tcPr>
            <w:tcW w:type="dxa" w:w="5040"/>
            <w:tcBorders>
              <w:top w:val="single" w:color="1A3560" w:sz="6"/>
              <w:left w:val="single" w:color="1A3560" w:sz="4"/>
              <w:bottom w:val="single" w:color="1A3560" w:sz="6"/>
              <w:right w:val="single" w:color="1A3560" w:sz="4"/>
            </w:tcBorders>
            <w:shd w:fill="1A356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Implication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6E42"/>
                <w:sz w:val="19"/>
                <w:szCs w:val="19"/>
              </w:rPr>
              <w:t xml:space="preserve">T &lt; 50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~0.5°C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FE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~1.5 SD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Asymmetry is low. Athlete maps to Safe Zone (if readiness ≥ 50) or Recovery Zone (if readiness &lt; 50). No regional tissue concern.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3A00"/>
                <w:sz w:val="19"/>
                <w:szCs w:val="19"/>
              </w:rPr>
              <w:t xml:space="preserve">T ≥ 50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≥ ~0.5°C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≥ ~1.5 SD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Asymmetry is elevated. Athlete maps to Deceptive Readiness Zone (if readiness ≥ 50) or Danger Zone (if readiness &lt; 50). Regional tissue stress is present.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8" w:sz="6"/>
              <w:left w:val="single" w:color="1F5FA8" w:sz="12"/>
              <w:bottom w:val="single" w:color="BBBBBB" w:sz="4"/>
              <w:right w:val="single" w:color="BBBBBB" w:sz="4"/>
            </w:tcBorders>
            <w:shd w:fill="EB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5FA8"/>
                <w:sz w:val="20"/>
                <w:szCs w:val="20"/>
              </w:rPr>
              <w:t xml:space="preserve">Population Fallback During Onboarding: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6 scans are completed, COMPASS uses population-derived thresholds. Based on the convergence of Gómez-Carmona (2020) and Arnaiz-Lastras (2019), the population threshold corresponding to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 = 50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(the zone boundary) is approximately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0.4–0.5°C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for major muscle groups — the point at which the clinical literature consistently demonstrates a meaningful injury risk signal. This should be treated as a reasonable default and validated against institutional data as it accumulates.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[5]</w:t>
            </w:r>
            <w:r>
              <w:rPr>
                <w:rFonts w:ascii="Arial" w:cs="Arial" w:eastAsia="Arial" w:hAnsi="Arial"/>
                <w:b/>
                <w:bCs/>
                <w:color w:val="1A5FA8"/>
                <w:sz w:val="15"/>
                <w:szCs w:val="15"/>
                <w:vertAlign w:val="superscript"/>
              </w:rPr>
              <w:t xml:space="preserve">[6]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pStyle w:val="Heading1"/>
        <w:pBdr>
          <w:bottom w:val="single" w:color="1F5FA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References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[1]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ThermoHuman (2022). Thermography and asymmetries: normative values of 950 athletes. ThermoHuman Research Blog. Available at: https://thermohuman.com/2022/10/06/thermography-and-asymmetries-normative-values-of-950-athletes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[2]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Uematsu S, Edwin DH, Jankel WR, et al. (1988). Quantification of Thermal Asymmetry, Part 1: Normal Values and Reproducibility. Journal of Neurosurgery, 69(4):552–555.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[3]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Uematsu S, Jankel WR, Edwin DH, et al. (1988). Quantification of Thermal Asymmetry, Part 2: Application in Low-Back Pain and Sciatica. Journal of Neurosurgery, 69(4):556–561.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[4]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Marins JCB, Fernández-Cuevas I, Arnaiz-Lastras J, et al. (2014). Thermal body patterns for healthy Brazilian adults (trunk, arms, and hands). International Journal of Morphology, 32(3):769–776.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[5]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Arnaiz-Lastras J, Navandar A, Prieto JA, Fernández-Cuevas I (2019). Screening and prevention of muscle injuries in professional soccer players using thermography. Pilot study. PMC / Physiology &amp; Behavior.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[6]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Gómez-Carmona PM, Fernández-Cuevas I, Sillero-Quintana M, Arnaiz-Lastras J, Navandar A (2020). Infrared Thermography Protocol on Reducing the Incidence of Soccer Injuries. Journal of Sport Rehabilitation, 29(8):1222–1227.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[7]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Schiavon CC, Junior AHR, Vaz MA, et al. (2021). Infrared thermography and musculoskeletal injuries: A systematic review with meta-analysis. Journal of Thermal Biology.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[8]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Costa CMA, da Silva Marins JC, Brito CJ, et al. (2019). Contralateral thermal asymmetry in knee and hamstring regions in athletes as a predictor of soft tissue injury. International Journal of Environmental Research and Public Health.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[9]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Saw AE, Main LC, Gastin PB (2016). Monitoring the athlete training response: subjective self-reported measures trump commonly used objective measures. British Journal of Sports Medicine, 50(3):192–200.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[10]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Claudino JG, et al. (2024). Machine learning models trained on individual athlete baselines significantly outperform models trained on group norms for injury risk prediction. British Journal of Sports Medicine.</w:t>
      </w:r>
    </w:p>
    <w:p>
      <w:pPr>
        <w:spacing w:after="100" w:before="0"/>
        <w:ind w:left="320" w:hanging="320"/>
        <w:jc w:val="left"/>
      </w:pPr>
      <w:r>
        <w:rPr>
          <w:rFonts w:ascii="Arial" w:cs="Arial" w:eastAsia="Arial" w:hAnsi="Arial"/>
          <w:b/>
          <w:bCs/>
          <w:color w:val="1A5FA8"/>
          <w:sz w:val="18"/>
          <w:szCs w:val="18"/>
        </w:rPr>
        <w:t xml:space="preserve">[11]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Plews DJ, Laursen PB, Buchheit M, et al. (2013). Training adaptation and heart rate variability in elite endurance athletes. International Journal of Sports Physiology and Performance, 8(5):461–470.</w:t>
      </w:r>
    </w:p>
    <w:p>
      <w:pPr>
        <w:spacing w:after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Document prepared by Amplifai Health for the NUR Platform COMPASS Clinical Framework.  All citations reflect peer-reviewed literature and industry standards current as of March 2026. This document is Proprietary &amp; Confidential.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rFonts w:ascii="Arial" w:cs="Arial" w:eastAsia="Arial" w:hAnsi="Arial"/>
        <w:color w:val="888888"/>
        <w:sz w:val="17"/>
        <w:szCs w:val="17"/>
      </w:rPr>
      <w:t xml:space="preserve">Thermal Asymmetry Classification Framework  ·  Amplifai Health / NUR Platform</w:t>
    </w:r>
    <w:r>
      <w:rPr>
        <w:rFonts w:ascii="Arial" w:cs="Arial" w:eastAsia="Arial" w:hAnsi="Arial"/>
        <w:color w:val="1F5FA8"/>
        <w:sz w:val="17"/>
        <w:szCs w:val="17"/>
      </w:rPr>
      <w:t xml:space="preserve">  |  COMPASS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F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2026-03-20T00:44:39.494Z</dcterms:created>
  <dcterms:modified xsi:type="dcterms:W3CDTF">2026-03-20T00:44:39.494Z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