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60"/>
        <w:jc w:val="left"/>
      </w:pPr>
      <w:r>
        <w:rPr>
          <w:b/>
          <w:bCs/>
          <w:color w:val="2E6E8E"/>
          <w:spacing w:val="60"/>
          <w:sz w:val="26"/>
          <w:szCs w:val="26"/>
        </w:rPr>
        <w:t xml:space="preserve">AMPLIFYR GMBH</w:t>
      </w:r>
    </w:p>
    <w:p>
      <w:pPr>
        <w:pBdr>
          <w:bottom w:val="single" w:color="C4622D" w:sz="12" w:space="8"/>
        </w:pBdr>
        <w:spacing w:after="260"/>
      </w:pPr>
    </w:p>
    <w:p>
      <w:pPr>
        <w:spacing w:after="120"/>
      </w:pPr>
      <w:r>
        <w:rPr>
          <w:b/>
          <w:bCs/>
          <w:color w:val="1A2332"/>
          <w:sz w:val="56"/>
          <w:szCs w:val="56"/>
        </w:rPr>
        <w:t xml:space="preserve">Positionierung neu entwickelt</w:t>
      </w:r>
    </w:p>
    <w:p>
      <w:pPr>
        <w:spacing w:after="400"/>
      </w:pPr>
      <w:r>
        <w:rPr>
          <w:color w:val="55606E"/>
          <w:sz w:val="32"/>
          <w:szCs w:val="32"/>
        </w:rPr>
        <w:t xml:space="preserve">Strategiepapier und Website-Bauplan</w:t>
      </w:r>
    </w:p>
    <w:p>
      <w:pPr>
        <w:spacing w:after="60"/>
      </w:pPr>
      <w:r>
        <w:rPr>
          <w:i/>
          <w:iCs/>
          <w:color w:val="55606E"/>
          <w:sz w:val="20"/>
          <w:szCs w:val="20"/>
        </w:rPr>
        <w:t xml:space="preserve">Kategorie · Zielsegmente · Claim · Angebots- und Preisarchitektur · Website-Bauplan</w:t>
      </w:r>
    </w:p>
    <w:p>
      <w:pPr>
        <w:spacing w:before="5200"/>
      </w:pPr>
    </w:p>
    <w:p>
      <w:r>
        <w:rPr>
          <w:b/>
          <w:bCs/>
          <w:color w:val="1A2332"/>
          <w:sz w:val="20"/>
          <w:szCs w:val="20"/>
        </w:rPr>
        <w:t xml:space="preserve">Grundlagenentscheidung für das Unternehmen</w:t>
      </w:r>
    </w:p>
    <w:p>
      <w:r>
        <w:rPr>
          <w:color w:val="55606E"/>
          <w:sz w:val="20"/>
          <w:szCs w:val="20"/>
        </w:rPr>
        <w:t xml:space="preserve">Erstellt am 20. August 2026</w:t>
      </w:r>
    </w:p>
    <w:p>
      <w:r>
        <w:br w:type="page"/>
      </w:r>
    </w:p>
    <w:p>
      <w:pPr>
        <w:spacing w:after="200"/>
      </w:pPr>
      <w:r>
        <w:rPr>
          <w:b/>
          <w:bCs/>
          <w:color w:val="1A2332"/>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spacing w:after="160" w:before="120"/>
      </w:pPr>
      <w:r>
        <w:rPr>
          <w:b/>
          <w:bCs/>
          <w:color w:val="1A2332"/>
          <w:sz w:val="34"/>
          <w:szCs w:val="34"/>
        </w:rPr>
        <w:t xml:space="preserve">Wie dieses Dokument zu lesen ist — und meine Grundhaltung</w:t>
      </w:r>
    </w:p>
    <w:p>
      <w:pPr>
        <w:spacing w:after="120" w:line="300"/>
        <w:jc w:val="both"/>
      </w:pPr>
      <w:r>
        <w:rPr>
          <w:i w:val="false"/>
          <w:iCs w:val="false"/>
          <w:color w:val="1A2332"/>
          <w:sz w:val="21"/>
          <w:szCs w:val="21"/>
        </w:rPr>
        <w:t xml:space="preserve">Ich habe die bestehende Website, die fünf Unterseiten und beide Verkaufsdemos vollständig aufgerufen und analysiert, und ich habe den Schweizer Markt für Immobilienbewirtschaftung, Bau/Handwerk, den Wettbewerb, die Softwarelandschaft und die regulatorischen Langfristtreiber recherchiert. Belegte Zahlen sind mit Quelle versehen; wo ich schätze oder werte, sage ich es.</w:t>
      </w:r>
    </w:p>
    <w:p>
      <w:pPr>
        <w:spacing w:after="120" w:line="300"/>
        <w:jc w:val="both"/>
      </w:pPr>
      <w:r>
        <w:rPr>
          <w:i w:val="false"/>
          <w:iCs w:val="false"/>
          <w:color w:val="1A2332"/>
          <w:sz w:val="21"/>
          <w:szCs w:val="21"/>
        </w:rPr>
        <w:t xml:space="preserve">Meine Kernthese vorweg, damit Sie wissen, wohin ich Sie führe: </w:t>
      </w:r>
      <w:r>
        <w:rPr>
          <w:b/>
          <w:bCs/>
          <w:i w:val="false"/>
          <w:iCs w:val="false"/>
          <w:color w:val="1A2332"/>
          <w:sz w:val="21"/>
          <w:szCs w:val="21"/>
        </w:rPr>
        <w:t xml:space="preserve">Amplifyr hat bereits das Richtige gebaut — nur nicht dort, wo es zählt.</w:t>
      </w:r>
      <w:r>
        <w:rPr>
          <w:i w:val="false"/>
          <w:iCs w:val="false"/>
          <w:color w:val="1A2332"/>
          <w:sz w:val="21"/>
          <w:szCs w:val="21"/>
        </w:rPr>
        <w:t xml:space="preserve"> Die beiden Demos verkaufen. Die Hauptwebsite verkauft nicht. Der Weg nach vorne ist nicht eine neue Erfindung, sondern die konsequente Übertragung des Demo-Prinzips auf das ganze Unternehmen: ein Kunde, ein Schmerz, in Franken beziffert, als Alltagsgeschichte erzählt, mit vorweggenommenen Einwänden und einem klaren nächsten Schritt. Und: Sie müssen sich für eine Reihenfolge entscheiden. Zwei Zielgruppen gleichzeitig mit drei Personen aufzubauen ist der sicherste Weg, bei beiden mittelmässig zu bleiben.</w:t>
      </w:r>
    </w:p>
    <w:p>
      <w:pPr>
        <w:spacing w:after="120" w:line="300"/>
        <w:jc w:val="both"/>
      </w:pPr>
      <w:r>
        <w:rPr>
          <w:i w:val="false"/>
          <w:iCs w:val="false"/>
          <w:color w:val="1A2332"/>
          <w:sz w:val="21"/>
          <w:szCs w:val="21"/>
        </w:rPr>
        <w:t xml:space="preserve">Ich widerspreche zwei Annahmen, die in Ihrem Auftrag mitschwingen, offen — begründet in Kapitel 6 und 9: Erstens halte ich den Begriff «digitaler Generalunternehmer» als Hauptkategorie im Bau- und Immobilienkontext für riskant und rate davon ab, ihn im Schaufenster zu führen (er ist juristisch aufgeladen; Details in 6.2). Zweitens halte ich «beide Segmente gleichzeitig» für nicht durchhaltbar und empfehle eine klare Sequenz mit Bewirtschaftung als Leitsegment (Kapitel 6.5).</w:t>
      </w:r>
    </w:p>
    <w:p>
      <w:pPr>
        <w:pBdr>
          <w:bottom w:val="single" w:color="C9D3DA" w:sz="6" w:space="6"/>
        </w:pBdr>
        <w:spacing w:after="160" w:before="80"/>
      </w:pPr>
    </w:p>
    <w:p>
      <w:pPr>
        <w:pStyle w:val="Heading1"/>
        <w:pageBreakBefore/>
        <w:spacing w:after="160" w:before="120"/>
      </w:pPr>
      <w:r>
        <w:rPr>
          <w:b/>
          <w:bCs/>
          <w:color w:val="1A2332"/>
          <w:sz w:val="34"/>
          <w:szCs w:val="34"/>
        </w:rPr>
        <w:t xml:space="preserve">1. Executive Summary</w:t>
      </w:r>
    </w:p>
    <w:p>
      <w:pPr>
        <w:spacing w:after="120" w:line="300"/>
        <w:jc w:val="both"/>
      </w:pPr>
      <w:r>
        <w:rPr>
          <w:b/>
          <w:bCs/>
          <w:i w:val="false"/>
          <w:iCs w:val="false"/>
          <w:color w:val="1A2332"/>
          <w:sz w:val="21"/>
          <w:szCs w:val="21"/>
        </w:rPr>
        <w:t xml:space="preserve">Kategorie.</w:t>
      </w:r>
      <w:r>
        <w:rPr>
          <w:i w:val="false"/>
          <w:iCs w:val="false"/>
          <w:color w:val="1A2332"/>
          <w:sz w:val="21"/>
          <w:szCs w:val="21"/>
        </w:rPr>
        <w:t xml:space="preserve"> Amplifyr positioniert sich als </w:t>
      </w:r>
      <w:r>
        <w:rPr>
          <w:b/>
          <w:bCs/>
          <w:i w:val="false"/>
          <w:iCs w:val="false"/>
          <w:color w:val="1A2332"/>
          <w:sz w:val="21"/>
          <w:szCs w:val="21"/>
        </w:rPr>
        <w:t xml:space="preserve">die ausgelagerte Digital-Abteilung für die Immobilien- und Bauwirtschaft</w:t>
      </w:r>
      <w:r>
        <w:rPr>
          <w:i w:val="false"/>
          <w:iCs w:val="false"/>
          <w:color w:val="1A2332"/>
          <w:sz w:val="21"/>
          <w:szCs w:val="21"/>
        </w:rPr>
        <w:t xml:space="preserve"> — ein Anbieter, der die Systemlandschaft eines Betriebs nicht nur berät, sondern baut, verbindet und laufend betreibt. Das GU-Prinzip («ein Vertrag, ein Ansprechpartner, ein Ergebnis») bleibt als erklärende Metapher im Text erhalten, wird aber nicht als juristisch aufgeladener Titel «Generalunternehmer» ins Schaufenster gestellt.</w:t>
      </w:r>
    </w:p>
    <w:p>
      <w:pPr>
        <w:spacing w:after="120" w:line="300"/>
        <w:jc w:val="both"/>
      </w:pPr>
      <w:r>
        <w:rPr>
          <w:b/>
          <w:bCs/>
          <w:i w:val="false"/>
          <w:iCs w:val="false"/>
          <w:color w:val="1A2332"/>
          <w:sz w:val="21"/>
          <w:szCs w:val="21"/>
        </w:rPr>
        <w:t xml:space="preserve">Segmente und Sequenz.</w:t>
      </w:r>
      <w:r>
        <w:rPr>
          <w:i w:val="false"/>
          <w:iCs w:val="false"/>
          <w:color w:val="1A2332"/>
          <w:sz w:val="21"/>
          <w:szCs w:val="21"/>
        </w:rPr>
        <w:t xml:space="preserve"> Bau und Immobilien sind die richtige Klammer — aber nicht als zwei Branchen, sondern als </w:t>
      </w:r>
      <w:r>
        <w:rPr>
          <w:b/>
          <w:bCs/>
          <w:i w:val="false"/>
          <w:iCs w:val="false"/>
          <w:color w:val="1A2332"/>
          <w:sz w:val="21"/>
          <w:szCs w:val="21"/>
        </w:rPr>
        <w:t xml:space="preserve">zwei Enden derselben Wertschöpfungskette</w:t>
      </w:r>
      <w:r>
        <w:rPr>
          <w:i w:val="false"/>
          <w:iCs w:val="false"/>
          <w:color w:val="1A2332"/>
          <w:sz w:val="21"/>
          <w:szCs w:val="21"/>
        </w:rPr>
        <w:t xml:space="preserve"> (Eigentümer → Asset Management → Bewirtschaftung → Handwerk). Leitsegment für die nächsten 12 Monate ist die </w:t>
      </w:r>
      <w:r>
        <w:rPr>
          <w:b/>
          <w:bCs/>
          <w:i w:val="false"/>
          <w:iCs w:val="false"/>
          <w:color w:val="1A2332"/>
          <w:sz w:val="21"/>
          <w:szCs w:val="21"/>
        </w:rPr>
        <w:t xml:space="preserve">Immobilienbewirtschaftung / Verwaltung</w:t>
      </w:r>
      <w:r>
        <w:rPr>
          <w:i w:val="false"/>
          <w:iCs w:val="false"/>
          <w:color w:val="1A2332"/>
          <w:sz w:val="21"/>
          <w:szCs w:val="21"/>
        </w:rPr>
        <w:t xml:space="preserve">. Handwerk/Bau folgt als zweites Segment — erschlossen über die Bewirtschafter, für die der Handwerker der grösste Koordinationsschmerz ist. Der institutionelle Eigentümer ist ein Ziel für Jahr 3, kein Erstkunde.</w:t>
      </w:r>
    </w:p>
    <w:p>
      <w:pPr>
        <w:spacing w:after="120" w:line="300"/>
        <w:jc w:val="both"/>
      </w:pPr>
      <w:r>
        <w:rPr>
          <w:b/>
          <w:bCs/>
          <w:i w:val="false"/>
          <w:iCs w:val="false"/>
          <w:color w:val="1A2332"/>
          <w:sz w:val="21"/>
          <w:szCs w:val="21"/>
        </w:rPr>
        <w:t xml:space="preserve">Claim.</w:t>
      </w:r>
      <w:r>
        <w:rPr>
          <w:i w:val="false"/>
          <w:iCs w:val="false"/>
          <w:color w:val="1A2332"/>
          <w:sz w:val="21"/>
          <w:szCs w:val="21"/>
        </w:rPr>
        <w:t xml:space="preserve"> Weg von «Build the base. Lead the race.» (englisch, abstrakt, für einen 55-jährigen Betriebsinhaber wertlos). Neuer Leitclaim, direkt aus dem bereits bewährten Demo-Satz abgeleitet:</w:t>
      </w:r>
    </w:p>
    <w:p>
      <w:pPr>
        <w:pBdr>
          <w:left w:val="single" w:color="C4622D" w:sz="24" w:space="12"/>
        </w:pBdr>
        <w:shd w:fill="EEF3F6" w:color="auto" w:val="clear"/>
        <w:spacing w:after="40" w:before="60" w:line="300"/>
        <w:ind w:left="220" w:right="220"/>
      </w:pPr>
      <w:r>
        <w:rPr>
          <w:b/>
          <w:bCs/>
          <w:color w:val="1A2332"/>
          <w:sz w:val="22"/>
          <w:szCs w:val="22"/>
        </w:rPr>
        <w:t xml:space="preserve">«Sie führen Ihren Betrieb. Wir führen das Digitale.»</w:t>
      </w:r>
    </w:p>
    <w:p>
      <w:pPr>
        <w:pBdr>
          <w:left w:val="single" w:color="C4622D" w:sz="24" w:space="12"/>
        </w:pBdr>
        <w:shd w:fill="EEF3F6" w:color="auto" w:val="clear"/>
        <w:spacing w:after="160" w:before="0" w:line="300"/>
        <w:ind w:left="220" w:right="220"/>
      </w:pPr>
      <w:r>
        <w:rPr>
          <w:color w:val="1A2332"/>
          <w:sz w:val="22"/>
          <w:szCs w:val="22"/>
        </w:rPr>
        <w:t xml:space="preserve">Untertitel: </w:t>
      </w:r>
      <w:r>
        <w:rPr>
          <w:i/>
          <w:iCs/>
          <w:color w:val="1A2332"/>
          <w:sz w:val="22"/>
          <w:szCs w:val="22"/>
        </w:rPr>
        <w:t xml:space="preserve">Ein Ansprechpartner für alles, was mit Software, Website und IT zu tun hat — aufgebaut und laufend betrieben.</w:t>
      </w:r>
    </w:p>
    <w:p>
      <w:pPr>
        <w:spacing w:after="120" w:line="300"/>
        <w:jc w:val="both"/>
      </w:pPr>
      <w:r>
        <w:rPr>
          <w:i w:val="false"/>
          <w:iCs w:val="false"/>
          <w:color w:val="1A2332"/>
          <w:sz w:val="21"/>
          <w:szCs w:val="21"/>
        </w:rPr>
        <w:t xml:space="preserve">KI kommt im Claim </w:t>
      </w:r>
      <w:r>
        <w:rPr>
          <w:b/>
          <w:bCs/>
          <w:i w:val="false"/>
          <w:iCs w:val="false"/>
          <w:color w:val="1A2332"/>
          <w:sz w:val="21"/>
          <w:szCs w:val="21"/>
        </w:rPr>
        <w:t xml:space="preserve">nicht</w:t>
      </w:r>
      <w:r>
        <w:rPr>
          <w:i w:val="false"/>
          <w:iCs w:val="false"/>
          <w:color w:val="1A2332"/>
          <w:sz w:val="21"/>
          <w:szCs w:val="21"/>
        </w:rPr>
        <w:t xml:space="preserve"> vor. KI ist das Mittel, nicht das Versprechen.</w:t>
      </w:r>
    </w:p>
    <w:p>
      <w:pPr>
        <w:spacing w:after="120" w:line="300"/>
        <w:jc w:val="both"/>
      </w:pPr>
      <w:r>
        <w:rPr>
          <w:b/>
          <w:bCs/>
          <w:i w:val="false"/>
          <w:iCs w:val="false"/>
          <w:color w:val="1A2332"/>
          <w:sz w:val="21"/>
          <w:szCs w:val="21"/>
        </w:rPr>
        <w:t xml:space="preserve">Modell.</w:t>
      </w:r>
      <w:r>
        <w:rPr>
          <w:i w:val="false"/>
          <w:iCs w:val="false"/>
          <w:color w:val="1A2332"/>
          <w:sz w:val="21"/>
          <w:szCs w:val="21"/>
        </w:rPr>
        <w:t xml:space="preserve"> Beides — skalierbarer Recurring-Service und Boutique — geht zusammen, aber nur unter einer strengen Bedingung: Die standardisierte Linie muss wirklich standardisiert sein (gleiche Bausteine, gleiche Demo-Methode, gleicher Stack), und jedes Boutique-Mandat muss wiederverwendbare Bausteine in die Standardlinie zurückspeisen. Drei Pakete tragen das: das </w:t>
      </w:r>
      <w:r>
        <w:rPr>
          <w:b/>
          <w:bCs/>
          <w:i w:val="false"/>
          <w:iCs w:val="false"/>
          <w:color w:val="1A2332"/>
          <w:sz w:val="21"/>
          <w:szCs w:val="21"/>
        </w:rPr>
        <w:t xml:space="preserve">Betriebspaket</w:t>
      </w:r>
      <w:r>
        <w:rPr>
          <w:i w:val="false"/>
          <w:iCs w:val="false"/>
          <w:color w:val="1A2332"/>
          <w:sz w:val="21"/>
          <w:szCs w:val="21"/>
        </w:rPr>
        <w:t xml:space="preserve"> (monatliche Pauschale, viele KMU), die </w:t>
      </w:r>
      <w:r>
        <w:rPr>
          <w:b/>
          <w:bCs/>
          <w:i w:val="false"/>
          <w:iCs w:val="false"/>
          <w:color w:val="1A2332"/>
          <w:sz w:val="21"/>
          <w:szCs w:val="21"/>
        </w:rPr>
        <w:t xml:space="preserve">Digitalisierungspartnerschaft</w:t>
      </w:r>
      <w:r>
        <w:rPr>
          <w:i w:val="false"/>
          <w:iCs w:val="false"/>
          <w:color w:val="1A2332"/>
          <w:sz w:val="21"/>
          <w:szCs w:val="21"/>
        </w:rPr>
        <w:t xml:space="preserve"> (wenige grosse Kunden, hohe Tickets) und als Einstieg der bezahlte </w:t>
      </w:r>
      <w:r>
        <w:rPr>
          <w:b/>
          <w:bCs/>
          <w:i w:val="false"/>
          <w:iCs w:val="false"/>
          <w:color w:val="1A2332"/>
          <w:sz w:val="21"/>
          <w:szCs w:val="21"/>
        </w:rPr>
        <w:t xml:space="preserve">Digitalisierungs-Fahrplan</w:t>
      </w:r>
      <w:r>
        <w:rPr>
          <w:i w:val="false"/>
          <w:iCs w:val="false"/>
          <w:color w:val="1A2332"/>
          <w:sz w:val="21"/>
          <w:szCs w:val="21"/>
        </w:rPr>
        <w:t xml:space="preserve"> statt der heutigen kostenlosen Potenzialanalyse.</w:t>
      </w:r>
    </w:p>
    <w:p>
      <w:pPr>
        <w:spacing w:after="120" w:line="300"/>
        <w:jc w:val="both"/>
      </w:pPr>
      <w:r>
        <w:rPr>
          <w:b/>
          <w:bCs/>
          <w:i w:val="false"/>
          <w:iCs w:val="false"/>
          <w:color w:val="1A2332"/>
          <w:sz w:val="21"/>
          <w:szCs w:val="21"/>
        </w:rPr>
        <w:t xml:space="preserve">Die ersten drei Schritte.</w:t>
      </w:r>
    </w:p>
    <w:p>
      <w:pPr>
        <w:pStyle w:val="ListParagraph"/>
        <w:numPr>
          <w:ilvl w:val="0"/>
          <w:numId w:val="2"/>
        </w:numPr>
        <w:spacing w:after="60" w:line="288"/>
      </w:pPr>
      <w:r>
        <w:rPr>
          <w:color w:val="1A2332"/>
          <w:sz w:val="21"/>
          <w:szCs w:val="21"/>
        </w:rPr>
        <w:t xml:space="preserve">Hauptwebsite auf das Demo-Prinzip umbauen: eine fokussierte Startseite plus zwei Segmentseiten, MSP aus der Top-Navigation entfernen, «Build the base. Lead the race.» und die McKinsey-Statistik streichen.</w:t>
      </w:r>
    </w:p>
    <w:p>
      <w:pPr>
        <w:pStyle w:val="ListParagraph"/>
        <w:numPr>
          <w:ilvl w:val="0"/>
          <w:numId w:val="2"/>
        </w:numPr>
        <w:spacing w:after="60" w:line="288"/>
      </w:pPr>
      <w:r>
        <w:rPr>
          <w:color w:val="1A2332"/>
          <w:sz w:val="21"/>
          <w:szCs w:val="21"/>
        </w:rPr>
        <w:t xml:space="preserve">«Demo statt Offerte» zur benannten Methode machen und die personalisierte Demo als kostenlosen Einstiegshaken produktisieren — bei gleichzeitiger rechtlicher Absicherung der Demo-Seiten (noindex, Einwilligung, siehe Kapitel 10).</w:t>
      </w:r>
    </w:p>
    <w:p>
      <w:pPr>
        <w:pStyle w:val="ListParagraph"/>
        <w:numPr>
          <w:ilvl w:val="0"/>
          <w:numId w:val="2"/>
        </w:numPr>
        <w:spacing w:after="60" w:line="288"/>
      </w:pPr>
      <w:r>
        <w:rPr>
          <w:color w:val="1A2332"/>
          <w:sz w:val="21"/>
          <w:szCs w:val="21"/>
        </w:rPr>
        <w:t xml:space="preserve">Leitsegment Bewirtschaftung: fünf bis acht Zielkunden über Timos Netzwerk und SVIT-Kanäle mit personalisierten Demos ansprechen, den ersten bezahlten Fahrplan verkaufen, die erste nennbare Referenz gewinnen.</w:t>
      </w:r>
    </w:p>
    <w:p>
      <w:pPr>
        <w:pBdr>
          <w:bottom w:val="single" w:color="C9D3DA" w:sz="6" w:space="6"/>
        </w:pBdr>
        <w:spacing w:after="160" w:before="80"/>
      </w:pPr>
    </w:p>
    <w:p>
      <w:pPr>
        <w:pStyle w:val="Heading1"/>
        <w:pageBreakBefore/>
        <w:spacing w:after="160" w:before="120"/>
      </w:pPr>
      <w:r>
        <w:rPr>
          <w:b/>
          <w:bCs/>
          <w:color w:val="1A2332"/>
          <w:sz w:val="34"/>
          <w:szCs w:val="34"/>
        </w:rPr>
        <w:t xml:space="preserve">2. Diagnose des heutigen Auftritts</w:t>
      </w:r>
    </w:p>
    <w:p>
      <w:pPr>
        <w:spacing w:after="120" w:line="300"/>
        <w:jc w:val="both"/>
      </w:pPr>
      <w:r>
        <w:rPr>
          <w:i w:val="false"/>
          <w:iCs w:val="false"/>
          <w:color w:val="1A2332"/>
          <w:sz w:val="21"/>
          <w:szCs w:val="21"/>
        </w:rPr>
        <w:t xml:space="preserve">Die Selbstdiagnose der Gründer ist präzise: «Unser Auftritt ist schön und fancy, aber er verkauft nichts, und es ist nicht klar, was eigentlich unser Unternehmenszweck ist.» Das stimmt. Ich zeige an den konkreten Seiten, warum.</w:t>
      </w:r>
    </w:p>
    <w:p>
      <w:pPr>
        <w:pStyle w:val="Heading2"/>
        <w:spacing w:after="100" w:before="240"/>
      </w:pPr>
      <w:r>
        <w:rPr>
          <w:b/>
          <w:bCs/>
          <w:color w:val="1A2332"/>
          <w:sz w:val="24"/>
          <w:szCs w:val="24"/>
        </w:rPr>
        <w:t xml:space="preserve">2.1 Was funktioniert</w:t>
      </w:r>
    </w:p>
    <w:p>
      <w:pPr>
        <w:spacing w:after="120" w:line="300"/>
        <w:jc w:val="both"/>
      </w:pPr>
      <w:r>
        <w:rPr>
          <w:i w:val="false"/>
          <w:iCs w:val="false"/>
          <w:color w:val="1A2332"/>
          <w:sz w:val="21"/>
          <w:szCs w:val="21"/>
        </w:rPr>
        <w:t xml:space="preserve">Die </w:t>
      </w:r>
      <w:r>
        <w:rPr>
          <w:b/>
          <w:bCs/>
          <w:i w:val="false"/>
          <w:iCs w:val="false"/>
          <w:color w:val="1A2332"/>
          <w:sz w:val="21"/>
          <w:szCs w:val="21"/>
        </w:rPr>
        <w:t xml:space="preserve">Demos</w:t>
      </w:r>
      <w:r>
        <w:rPr>
          <w:i w:val="false"/>
          <w:iCs w:val="false"/>
          <w:color w:val="1A2332"/>
          <w:sz w:val="21"/>
          <w:szCs w:val="21"/>
        </w:rPr>
        <w:t xml:space="preserve"> funktionieren. Beide. Und zwar aus vier Gründen, die die Hauptwebsite nicht hat:</w:t>
      </w:r>
    </w:p>
    <w:p>
      <w:pPr>
        <w:spacing w:after="120" w:line="300"/>
        <w:jc w:val="both"/>
      </w:pPr>
      <w:r>
        <w:rPr>
          <w:i w:val="false"/>
          <w:iCs w:val="false"/>
          <w:color w:val="1A2332"/>
          <w:sz w:val="21"/>
          <w:szCs w:val="21"/>
        </w:rPr>
        <w:t xml:space="preserve">Erstens </w:t>
      </w:r>
      <w:r>
        <w:rPr>
          <w:b/>
          <w:bCs/>
          <w:i w:val="false"/>
          <w:iCs w:val="false"/>
          <w:color w:val="1A2332"/>
          <w:sz w:val="21"/>
          <w:szCs w:val="21"/>
        </w:rPr>
        <w:t xml:space="preserve">Personalisierung.</w:t>
      </w:r>
      <w:r>
        <w:rPr>
          <w:i w:val="false"/>
          <w:iCs w:val="false"/>
          <w:color w:val="1A2332"/>
          <w:sz w:val="21"/>
          <w:szCs w:val="21"/>
        </w:rPr>
        <w:t xml:space="preserve"> Die Picassino-Demo eröffnet mit «So wird Picassino 2026 optimal digitalisiert» — der Kunde liest seinen eigenen Namen in der ersten Zeile. Die Göldi-Demo mit «Die Kapazität steckt schon in Ihrem Betrieb». Der Besucher sieht sofort </w:t>
      </w:r>
      <w:r>
        <w:rPr>
          <w:i w:val="false"/>
          <w:iCs w:val="false"/>
          <w:color w:val="1A2332"/>
          <w:sz w:val="21"/>
          <w:szCs w:val="21"/>
        </w:rPr>
        <w:t xml:space="preserve">seinen</w:t>
      </w:r>
      <w:r>
        <w:rPr>
          <w:i w:val="false"/>
          <w:iCs w:val="false"/>
          <w:color w:val="1A2332"/>
          <w:sz w:val="21"/>
          <w:szCs w:val="21"/>
        </w:rPr>
        <w:t xml:space="preserve"> Betrieb, nicht eine Kategorie.</w:t>
      </w:r>
    </w:p>
    <w:p>
      <w:pPr>
        <w:spacing w:after="120" w:line="300"/>
        <w:jc w:val="both"/>
      </w:pPr>
      <w:r>
        <w:rPr>
          <w:i w:val="false"/>
          <w:iCs w:val="false"/>
          <w:color w:val="1A2332"/>
          <w:sz w:val="21"/>
          <w:szCs w:val="21"/>
        </w:rPr>
        <w:t xml:space="preserve">Zweitens </w:t>
      </w:r>
      <w:r>
        <w:rPr>
          <w:b/>
          <w:bCs/>
          <w:i w:val="false"/>
          <w:iCs w:val="false"/>
          <w:color w:val="1A2332"/>
          <w:sz w:val="21"/>
          <w:szCs w:val="21"/>
        </w:rPr>
        <w:t xml:space="preserve">Konkretheit in Franken.</w:t>
      </w:r>
      <w:r>
        <w:rPr>
          <w:i w:val="false"/>
          <w:iCs w:val="false"/>
          <w:color w:val="1A2332"/>
          <w:sz w:val="21"/>
          <w:szCs w:val="21"/>
        </w:rPr>
        <w:t xml:space="preserve"> Der Picassino-Kostenrechner beziffert den Administrationsaufwand postengenau (Offerten 3 Std./Woche, Rapporte 2, Belege 2, Telefon 2) und landet bei «Admin-Arbeit kostet Sie 23'400 CHF pro Jahr». Der Göldi-Kapazitätsrechner rechnet nicht in Kosten, sondern in freigesetzter Kapazität — eine klügere Übersetzung, weil sie nicht sparen, sondern gewinnen verspricht.</w:t>
      </w:r>
    </w:p>
    <w:p>
      <w:pPr>
        <w:spacing w:after="120" w:line="300"/>
        <w:jc w:val="both"/>
      </w:pPr>
      <w:r>
        <w:rPr>
          <w:i w:val="false"/>
          <w:iCs w:val="false"/>
          <w:color w:val="1A2332"/>
          <w:sz w:val="21"/>
          <w:szCs w:val="21"/>
        </w:rPr>
        <w:t xml:space="preserve">Drittens </w:t>
      </w:r>
      <w:r>
        <w:rPr>
          <w:b/>
          <w:bCs/>
          <w:i w:val="false"/>
          <w:iCs w:val="false"/>
          <w:color w:val="1A2332"/>
          <w:sz w:val="21"/>
          <w:szCs w:val="21"/>
        </w:rPr>
        <w:t xml:space="preserve">Narrativ statt Katalog.</w:t>
      </w:r>
      <w:r>
        <w:rPr>
          <w:i w:val="false"/>
          <w:iCs w:val="false"/>
          <w:color w:val="1A2332"/>
          <w:sz w:val="21"/>
          <w:szCs w:val="21"/>
        </w:rPr>
        <w:t xml:space="preserve"> Die Göldi-Demo erzählt «Der Versammlungsabend im März» und «Der Wasserschaden am Sonntag» — zwei konkrete Alltagsszenarien mit klarem Vorher/Nachher. Der beste Satz der ganzen Amplifyr-Präsenz steht hier: </w:t>
      </w:r>
      <w:r>
        <w:rPr>
          <w:b/>
          <w:bCs/>
          <w:i w:val="false"/>
          <w:iCs w:val="false"/>
          <w:color w:val="1A2332"/>
          <w:sz w:val="21"/>
          <w:szCs w:val="21"/>
        </w:rPr>
        <w:t xml:space="preserve">«Software kann jeder kaufen. Das Zusammenspiel nicht.»</w:t>
      </w:r>
      <w:r>
        <w:rPr>
          <w:i w:val="false"/>
          <w:iCs w:val="false"/>
          <w:color w:val="1A2332"/>
          <w:sz w:val="21"/>
          <w:szCs w:val="21"/>
        </w:rPr>
        <w:t xml:space="preserve"> Das ist Ihr Differenzierungsargument in einem Satz. Es gehört auf die Startseite.</w:t>
      </w:r>
    </w:p>
    <w:p>
      <w:pPr>
        <w:spacing w:after="120" w:line="300"/>
        <w:jc w:val="both"/>
      </w:pPr>
      <w:r>
        <w:rPr>
          <w:i w:val="false"/>
          <w:iCs w:val="false"/>
          <w:color w:val="1A2332"/>
          <w:sz w:val="21"/>
          <w:szCs w:val="21"/>
        </w:rPr>
        <w:t xml:space="preserve">Viertens </w:t>
      </w:r>
      <w:r>
        <w:rPr>
          <w:b/>
          <w:bCs/>
          <w:i w:val="false"/>
          <w:iCs w:val="false"/>
          <w:color w:val="1A2332"/>
          <w:sz w:val="21"/>
          <w:szCs w:val="21"/>
        </w:rPr>
        <w:t xml:space="preserve">Einwandbehandlung und Vertrauensanker.</w:t>
      </w:r>
      <w:r>
        <w:rPr>
          <w:i w:val="false"/>
          <w:iCs w:val="false"/>
          <w:color w:val="1A2332"/>
          <w:sz w:val="21"/>
          <w:szCs w:val="21"/>
        </w:rPr>
        <w:t xml:space="preserve"> Die Göldi-Demo nimmt «Wir haben ImmoTop2 und unseren IT-Support» vorweg und beantwortet ihn durch die tatsächliche ImmoTop2-Anbindung. Sie nennt echte Partner mit Zahlen (Woonig, «2'500+ durchgeführte eVotings»; Maxïe Kücük-Richter, eidg. FA, SVIT-Dozentin; CORA Immobilien). Das ersetzt die fehlende eigene Referenzliste.</w:t>
      </w:r>
    </w:p>
    <w:p>
      <w:pPr>
        <w:spacing w:after="120" w:line="300"/>
        <w:jc w:val="both"/>
      </w:pPr>
      <w:r>
        <w:rPr>
          <w:i w:val="false"/>
          <w:iCs w:val="false"/>
          <w:color w:val="1A2332"/>
          <w:sz w:val="21"/>
          <w:szCs w:val="21"/>
        </w:rPr>
        <w:t xml:space="preserve">Von den Hauptseiten funktioniert einzig die </w:t>
      </w:r>
      <w:r>
        <w:rPr>
          <w:b/>
          <w:bCs/>
          <w:i w:val="false"/>
          <w:iCs w:val="false"/>
          <w:color w:val="1A2332"/>
          <w:sz w:val="21"/>
          <w:szCs w:val="21"/>
        </w:rPr>
        <w:t xml:space="preserve">Handwerker-Seite</w:t>
      </w:r>
      <w:r>
        <w:rPr>
          <w:i w:val="false"/>
          <w:iCs w:val="false"/>
          <w:color w:val="1A2332"/>
          <w:sz w:val="21"/>
          <w:szCs w:val="21"/>
        </w:rPr>
        <w:t xml:space="preserve"> annähernd — weil sie die Demo-Struktur kopiert (Kostenrechner, 7-Phasen-Ablauf, Team mit Handwerksbezug). Sie ist der bereits vorhandene Brückenkopf. Und die </w:t>
      </w:r>
      <w:r>
        <w:rPr>
          <w:b/>
          <w:bCs/>
          <w:i w:val="false"/>
          <w:iCs w:val="false"/>
          <w:color w:val="1A2332"/>
          <w:sz w:val="21"/>
          <w:szCs w:val="21"/>
        </w:rPr>
        <w:t xml:space="preserve">Webdesign-Seite</w:t>
      </w:r>
      <w:r>
        <w:rPr>
          <w:i w:val="false"/>
          <w:iCs w:val="false"/>
          <w:color w:val="1A2332"/>
          <w:sz w:val="21"/>
          <w:szCs w:val="21"/>
        </w:rPr>
        <w:t xml:space="preserve"> enthält das beste CTA-Angebot der ganzen Präsenz: «Demo in 48h — kostenlos. Keine Kreditkarte. Kein Risiko.» Das ist echte Risikoumkehr — sie steht nur an der falschen Stelle (versteckt auf einer Unterseite statt im Zentrum).</w:t>
      </w:r>
    </w:p>
    <w:p>
      <w:pPr>
        <w:pStyle w:val="Heading2"/>
        <w:spacing w:after="100" w:before="240"/>
      </w:pPr>
      <w:r>
        <w:rPr>
          <w:b/>
          <w:bCs/>
          <w:color w:val="1A2332"/>
          <w:sz w:val="24"/>
          <w:szCs w:val="24"/>
        </w:rPr>
        <w:t xml:space="preserve">2.2 Was nicht funktioniert — und warum</w:t>
      </w:r>
    </w:p>
    <w:p>
      <w:pPr>
        <w:spacing w:after="120" w:line="300"/>
        <w:jc w:val="both"/>
      </w:pPr>
      <w:r>
        <w:rPr>
          <w:b/>
          <w:bCs/>
          <w:i w:val="false"/>
          <w:iCs w:val="false"/>
          <w:color w:val="1A2332"/>
          <w:sz w:val="21"/>
          <w:szCs w:val="21"/>
        </w:rPr>
        <w:t xml:space="preserve">Der Auftritt bildet Ihre interne Organisation ab, nicht die Welt des Kunden.</w:t>
      </w:r>
      <w:r>
        <w:rPr>
          <w:i w:val="false"/>
          <w:iCs w:val="false"/>
          <w:color w:val="1A2332"/>
          <w:sz w:val="21"/>
          <w:szCs w:val="21"/>
        </w:rPr>
        <w:t xml:space="preserve"> Das ist der Kardinalfehler. Die drei Säulen «01 Fundament / IT-Lösungen · 02 Effizienz / KI-Transformation · 03 Wirkung / Digitaler Auftritt» sind eine Beschreibung, wie </w:t>
      </w:r>
      <w:r>
        <w:rPr>
          <w:i w:val="false"/>
          <w:iCs w:val="false"/>
          <w:color w:val="1A2332"/>
          <w:sz w:val="21"/>
          <w:szCs w:val="21"/>
        </w:rPr>
        <w:t xml:space="preserve">Sie</w:t>
      </w:r>
      <w:r>
        <w:rPr>
          <w:i w:val="false"/>
          <w:iCs w:val="false"/>
          <w:color w:val="1A2332"/>
          <w:sz w:val="21"/>
          <w:szCs w:val="21"/>
        </w:rPr>
        <w:t xml:space="preserve"> sich aufteilen (Sinan / David / Timo). Ein Malermeister denkt nicht in «Fundament, Effizienz, Wirkung». Er denkt in «Ich ersaufe im Papierkram» und «Ich verpasse Anrufe von Kunden». Die KI-Transformations-Seite verschärft das noch: Sie präsentiert «Acht Abteilungen · ein Weg» plus vier interne Bereiche — zwölf Kästchen, die den Besucher erschlagen, statt einen Schmerz zu treffen.</w:t>
      </w:r>
    </w:p>
    <w:p>
      <w:pPr>
        <w:spacing w:after="120" w:line="300"/>
        <w:jc w:val="both"/>
      </w:pPr>
      <w:r>
        <w:rPr>
          <w:b/>
          <w:bCs/>
          <w:i w:val="false"/>
          <w:iCs w:val="false"/>
          <w:color w:val="1A2332"/>
          <w:sz w:val="21"/>
          <w:szCs w:val="21"/>
        </w:rPr>
        <w:t xml:space="preserve">Abstraktion statt Betroffenheit.</w:t>
      </w:r>
      <w:r>
        <w:rPr>
          <w:i w:val="false"/>
          <w:iCs w:val="false"/>
          <w:color w:val="1A2332"/>
          <w:sz w:val="21"/>
          <w:szCs w:val="21"/>
        </w:rPr>
        <w:t xml:space="preserve"> «Transformation amplified», «IT amplified», «Bereit, Ihren Betrieb zu verstärken?» — der Besucher muss den Nutzen selbst auf sich übersetzen. Das tut niemand. Der «amplified»-Baukasten wirkt zudem wie ein Muster ohne Inhalt.</w:t>
      </w:r>
    </w:p>
    <w:p>
      <w:pPr>
        <w:spacing w:after="120" w:line="300"/>
        <w:jc w:val="both"/>
      </w:pPr>
      <w:r>
        <w:rPr>
          <w:b/>
          <w:bCs/>
          <w:i w:val="false"/>
          <w:iCs w:val="false"/>
          <w:color w:val="1A2332"/>
          <w:sz w:val="21"/>
          <w:szCs w:val="21"/>
        </w:rPr>
        <w:t xml:space="preserve">Fehlende Preisanker trotz Preisversprechen.</w:t>
      </w:r>
      <w:r>
        <w:rPr>
          <w:i w:val="false"/>
          <w:iCs w:val="false"/>
          <w:color w:val="1A2332"/>
          <w:sz w:val="21"/>
          <w:szCs w:val="21"/>
        </w:rPr>
        <w:t xml:space="preserve"> Die IT-Seite verspricht «Klare Spielregeln, planbare Kosten», «keine bösen Überraschungen, keine versteckten Kosten» — und nennt keine einzige Zahl. Die Webdesign-Seite hat ein Menü «Pakete &amp; Preise», das ins Leere führt. Wer Kostenklarheit verspricht und keine liefert, erzeugt Misstrauen, nicht Vertrauen.</w:t>
      </w:r>
    </w:p>
    <w:p>
      <w:pPr>
        <w:spacing w:after="120" w:line="300"/>
        <w:jc w:val="both"/>
      </w:pPr>
      <w:r>
        <w:rPr>
          <w:b/>
          <w:bCs/>
          <w:i w:val="false"/>
          <w:iCs w:val="false"/>
          <w:color w:val="1A2332"/>
          <w:sz w:val="21"/>
          <w:szCs w:val="21"/>
        </w:rPr>
        <w:t xml:space="preserve">CTA-Zersplitterung.</w:t>
      </w:r>
      <w:r>
        <w:rPr>
          <w:i w:val="false"/>
          <w:iCs w:val="false"/>
          <w:color w:val="1A2332"/>
          <w:sz w:val="21"/>
          <w:szCs w:val="21"/>
        </w:rPr>
        <w:t xml:space="preserve"> Über die Seiten verteilt konkurrieren mindestens sechs verschiedene Handlungsaufforderungen: «Potenzialanalyse anfragen», «Kostenlose Einschätzung anfragen», «Kostenloses Erstgespräch», «Kostenlose IT-Bestandsaufnahme», «IT-Audit anfragen», «30-Minuten-Termin buchen». Sechs Angebote sind kein Angebot. Der Besucher weiss nicht, was der eine nächste Schritt ist.</w:t>
      </w:r>
    </w:p>
    <w:p>
      <w:pPr>
        <w:spacing w:after="120" w:line="300"/>
        <w:jc w:val="both"/>
      </w:pPr>
      <w:r>
        <w:rPr>
          <w:b/>
          <w:bCs/>
          <w:i w:val="false"/>
          <w:iCs w:val="false"/>
          <w:color w:val="1A2332"/>
          <w:sz w:val="21"/>
          <w:szCs w:val="21"/>
        </w:rPr>
        <w:t xml:space="preserve">Markensprach-Inkonsistenz.</w:t>
      </w:r>
      <w:r>
        <w:rPr>
          <w:i w:val="false"/>
          <w:iCs w:val="false"/>
          <w:color w:val="1A2332"/>
          <w:sz w:val="21"/>
          <w:szCs w:val="21"/>
        </w:rPr>
        <w:t xml:space="preserve"> Die englische Tagline «Build the base. Lead the race.» steht neben dem deutschen «amplified»-Baukasten und dem Purpose-Satz «Wir schaffen das digitale Fundament, damit Ihre Vision Realität wird». Drei verschiedene Tonlagen, keine trägt.</w:t>
      </w:r>
    </w:p>
    <w:p>
      <w:pPr>
        <w:spacing w:after="120" w:line="300"/>
        <w:jc w:val="both"/>
      </w:pPr>
      <w:r>
        <w:rPr>
          <w:b/>
          <w:bCs/>
          <w:i w:val="false"/>
          <w:iCs w:val="false"/>
          <w:color w:val="1A2332"/>
          <w:sz w:val="21"/>
          <w:szCs w:val="21"/>
        </w:rPr>
        <w:t xml:space="preserve">Sorgfaltsdefizite, die Vertrauen kosten.</w:t>
      </w:r>
      <w:r>
        <w:rPr>
          <w:i w:val="false"/>
          <w:iCs w:val="false"/>
          <w:color w:val="1A2332"/>
          <w:sz w:val="21"/>
          <w:szCs w:val="21"/>
        </w:rPr>
        <w:t xml:space="preserve"> Auf der Über-uns-Seite — der Vertrauensseite — steht der Tippfehler «Wir begleiten Schweizer KMU unternemerisch». Auf der Webdesign-Seite heisst der Chatbot-Berater «Sinan Ekici», im Team «Sinan Sen». Für einen Dienstleister, der «Gesamtverantwortung» verspricht, sind das teure Kleinigkeiten: Wer die eigene Seite nicht fehlerfrei hält, dem traut man das System des Kunden nicht zu.</w:t>
      </w:r>
    </w:p>
    <w:p>
      <w:pPr>
        <w:spacing w:after="120" w:line="300"/>
        <w:jc w:val="both"/>
      </w:pPr>
      <w:r>
        <w:rPr>
          <w:b/>
          <w:bCs/>
          <w:i w:val="false"/>
          <w:iCs w:val="false"/>
          <w:color w:val="1A2332"/>
          <w:sz w:val="21"/>
          <w:szCs w:val="21"/>
        </w:rPr>
        <w:t xml:space="preserve">Die McKinsey-Statistik ist ein Eigentor.</w:t>
      </w:r>
      <w:r>
        <w:rPr>
          <w:i w:val="false"/>
          <w:iCs w:val="false"/>
          <w:color w:val="1A2332"/>
          <w:sz w:val="21"/>
          <w:szCs w:val="21"/>
        </w:rPr>
        <w:t xml:space="preserve"> «57 % Automatisierungspotenzial der Arbeitsstunden durch agentische KI» klingt beeindruckend und sagt dem Betriebsinhaber nichts über </w:t>
      </w:r>
      <w:r>
        <w:rPr>
          <w:i w:val="false"/>
          <w:iCs w:val="false"/>
          <w:color w:val="1A2332"/>
          <w:sz w:val="21"/>
          <w:szCs w:val="21"/>
        </w:rPr>
        <w:t xml:space="preserve">seinen</w:t>
      </w:r>
      <w:r>
        <w:rPr>
          <w:i w:val="false"/>
          <w:iCs w:val="false"/>
          <w:color w:val="1A2332"/>
          <w:sz w:val="21"/>
          <w:szCs w:val="21"/>
        </w:rPr>
        <w:t xml:space="preserve"> Betrieb. Schlimmer: Sie weckt die Angst, wegrationalisiert zu werden («57 % meiner Leute weg?»), statt Entlastung zu versprechen. Die Göldi-Demo macht es richtig, indem sie Zeitgewinn als Kapazität framt, nicht als Kürzung.</w:t>
      </w:r>
    </w:p>
    <w:p>
      <w:pPr>
        <w:pStyle w:val="Heading2"/>
        <w:spacing w:after="100" w:before="240"/>
      </w:pPr>
      <w:r>
        <w:rPr>
          <w:b/>
          <w:bCs/>
          <w:color w:val="1A2332"/>
          <w:sz w:val="24"/>
          <w:szCs w:val="24"/>
        </w:rPr>
        <w:t xml:space="preserve">2.3 Was daraus folgt</w:t>
      </w:r>
    </w:p>
    <w:p>
      <w:pPr>
        <w:spacing w:after="120" w:line="300"/>
        <w:jc w:val="both"/>
      </w:pPr>
      <w:r>
        <w:rPr>
          <w:i w:val="false"/>
          <w:iCs w:val="false"/>
          <w:color w:val="1A2332"/>
          <w:sz w:val="21"/>
          <w:szCs w:val="21"/>
        </w:rPr>
        <w:t xml:space="preserve">Die Demos sind nicht nur besser als die Hauptwebsite — sie sind das </w:t>
      </w:r>
      <w:r>
        <w:rPr>
          <w:b/>
          <w:bCs/>
          <w:i w:val="false"/>
          <w:iCs w:val="false"/>
          <w:color w:val="1A2332"/>
          <w:sz w:val="21"/>
          <w:szCs w:val="21"/>
        </w:rPr>
        <w:t xml:space="preserve">Beweisstück, dass Sie die richtige Methode bereits beherrschen.</w:t>
      </w:r>
      <w:r>
        <w:rPr>
          <w:i w:val="false"/>
          <w:iCs w:val="false"/>
          <w:color w:val="1A2332"/>
          <w:sz w:val="21"/>
          <w:szCs w:val="21"/>
        </w:rPr>
        <w:t xml:space="preserve"> Der Fehler ist nicht Unvermögen, sondern dass die Hauptwebsite noch nach dem alten Muster gebaut ist (Leistungskatalog, Innensicht, Technologie im Schaufenster), während die Demos nach dem neuen Muster funktionieren (Kundensicht, ein Schmerz, Franken, Geschichte, Einwand, ein CTA). Die ganze folgende Empfehlung ist im Kern: </w:t>
      </w:r>
      <w:r>
        <w:rPr>
          <w:b/>
          <w:bCs/>
          <w:i w:val="false"/>
          <w:iCs w:val="false"/>
          <w:color w:val="1A2332"/>
          <w:sz w:val="21"/>
          <w:szCs w:val="21"/>
        </w:rPr>
        <w:t xml:space="preserve">Machen Sie die Hauptwebsite zur Demo.</w:t>
      </w:r>
    </w:p>
    <w:p>
      <w:pPr>
        <w:pBdr>
          <w:bottom w:val="single" w:color="C9D3DA" w:sz="6" w:space="6"/>
        </w:pBdr>
        <w:spacing w:after="160" w:before="80"/>
      </w:pPr>
    </w:p>
    <w:p>
      <w:pPr>
        <w:pStyle w:val="Heading1"/>
        <w:pageBreakBefore/>
        <w:spacing w:after="160" w:before="120"/>
      </w:pPr>
      <w:r>
        <w:rPr>
          <w:b/>
          <w:bCs/>
          <w:color w:val="1A2332"/>
          <w:sz w:val="34"/>
          <w:szCs w:val="34"/>
        </w:rPr>
        <w:t xml:space="preserve">3. Marktanalyse</w:t>
      </w:r>
    </w:p>
    <w:p>
      <w:pPr>
        <w:pStyle w:val="Heading2"/>
        <w:spacing w:after="100" w:before="240"/>
      </w:pPr>
      <w:r>
        <w:rPr>
          <w:b/>
          <w:bCs/>
          <w:color w:val="1A2332"/>
          <w:sz w:val="24"/>
          <w:szCs w:val="24"/>
        </w:rPr>
        <w:t xml:space="preserve">3.1 Immobilienbewirtschaftung / Verwaltung Schweiz</w:t>
      </w:r>
    </w:p>
    <w:p>
      <w:pPr>
        <w:spacing w:after="120" w:line="300"/>
        <w:jc w:val="both"/>
      </w:pPr>
      <w:r>
        <w:rPr>
          <w:b/>
          <w:bCs/>
          <w:i w:val="false"/>
          <w:iCs w:val="false"/>
          <w:color w:val="1A2332"/>
          <w:sz w:val="21"/>
          <w:szCs w:val="21"/>
        </w:rPr>
        <w:t xml:space="preserve">Marktgrösse und Struktur.</w:t>
      </w:r>
      <w:r>
        <w:rPr>
          <w:i w:val="false"/>
          <w:iCs w:val="false"/>
          <w:color w:val="1A2332"/>
          <w:sz w:val="21"/>
          <w:szCs w:val="21"/>
        </w:rPr>
        <w:t xml:space="preserve"> Je nach Abgrenzung nennt der SVIT rund 22'400 Unternehmen in Verwaltung und Vermarktung von Immobilien für Dritte (inkl. sehr vieler Kleinst- und reiner Maklerbetriebe); 43 % dieser Firmen haben 5–9 Mitarbeitende, das Segment ist also stark kleingewerblich geprägt (SVIT, Frühjahr 2026). Eine engere Definition substanzieller Dienstleistungsfirmen kommt auf rund 3'500 aktive Firmen mit etwa 25'000 Beschäftigten und CHF 4–5 Mrd. Jahresumsatz (Val Index / Walder Capital). </w:t>
      </w:r>
      <w:r>
        <w:rPr>
          <w:i w:val="false"/>
          <w:iCs w:val="false"/>
          <w:color w:val="1A2332"/>
          <w:sz w:val="21"/>
          <w:szCs w:val="21"/>
        </w:rPr>
        <w:t xml:space="preserve">Meine Einschätzung:</w:t>
      </w:r>
      <w:r>
        <w:rPr>
          <w:i w:val="false"/>
          <w:iCs w:val="false"/>
          <w:color w:val="1A2332"/>
          <w:sz w:val="21"/>
          <w:szCs w:val="21"/>
        </w:rPr>
        <w:t xml:space="preserve"> Ihre realistische adressierbare Zielgruppe im Leitsegment liegt im niedrigen vierstelligen Bereich — die Firmen, die gross genug sind, um ein Digitalisierungsbudget zu haben, aber zu klein für eine eigene IT-Abteilung. Das sind genau die Bewirtschafter mit etwa 5 bis 50 Mitarbeitenden.</w:t>
      </w:r>
    </w:p>
    <w:p>
      <w:pPr>
        <w:spacing w:after="120" w:line="300"/>
        <w:jc w:val="both"/>
      </w:pPr>
      <w:r>
        <w:rPr>
          <w:b/>
          <w:bCs/>
          <w:i w:val="false"/>
          <w:iCs w:val="false"/>
          <w:color w:val="1A2332"/>
          <w:sz w:val="21"/>
          <w:szCs w:val="21"/>
        </w:rPr>
        <w:t xml:space="preserve">Verwaltungsvolumen.</w:t>
      </w:r>
      <w:r>
        <w:rPr>
          <w:i w:val="false"/>
          <w:iCs w:val="false"/>
          <w:color w:val="1A2332"/>
          <w:sz w:val="21"/>
          <w:szCs w:val="21"/>
        </w:rPr>
        <w:t xml:space="preserve"> Die Schweiz hat rund 4,84 Mio. Wohnungen (Ende 2024) und etwa 2,4 Mio. Mieterhaushalte; die Mieterquote von rund 64 % ist eine der höchsten Europas (BFS / JLL). Das professionell bewirtschaftete Volumen geht in die Millionen Einheiten.</w:t>
      </w:r>
    </w:p>
    <w:p>
      <w:pPr>
        <w:spacing w:after="120" w:line="300"/>
        <w:jc w:val="both"/>
      </w:pPr>
      <w:r>
        <w:rPr>
          <w:b/>
          <w:bCs/>
          <w:i w:val="false"/>
          <w:iCs w:val="false"/>
          <w:color w:val="1A2332"/>
          <w:sz w:val="21"/>
          <w:szCs w:val="21"/>
        </w:rPr>
        <w:t xml:space="preserve">Eigentümerstruktur — wichtig für Kapitel 4.</w:t>
      </w:r>
      <w:r>
        <w:rPr>
          <w:i w:val="false"/>
          <w:iCs w:val="false"/>
          <w:color w:val="1A2332"/>
          <w:sz w:val="21"/>
          <w:szCs w:val="21"/>
        </w:rPr>
        <w:t xml:space="preserve"> Mietwohnungen gehören zu 45–49 % Privatpersonen, zu rund 33 % institutionellen Anlegern (Pensionskassen, Versicherer, Fonds), 8 % Genossenschaften, 7 % Immobiliengesellschaften. Der institutionelle Anteil stieg von 23 % (2000) auf 33 % (2019) und wächst weiter (Raiffeisen/watson, JLL). Das heisst: Ein wachsender Teil der Auftraggeber Ihrer Bewirtschafter-Kunden sind reporting-getriebene Profis.</w:t>
      </w:r>
    </w:p>
    <w:p>
      <w:pPr>
        <w:spacing w:after="120" w:line="300"/>
        <w:jc w:val="both"/>
      </w:pPr>
      <w:r>
        <w:rPr>
          <w:b/>
          <w:bCs/>
          <w:i w:val="false"/>
          <w:iCs w:val="false"/>
          <w:color w:val="1A2332"/>
          <w:sz w:val="21"/>
          <w:szCs w:val="21"/>
        </w:rPr>
        <w:t xml:space="preserve">Konsolidierung.</w:t>
      </w:r>
      <w:r>
        <w:rPr>
          <w:i w:val="false"/>
          <w:iCs w:val="false"/>
          <w:color w:val="1A2332"/>
          <w:sz w:val="21"/>
          <w:szCs w:val="21"/>
        </w:rPr>
        <w:t xml:space="preserve"> Der Markt konsolidiert spürbar: Livit (Swiss Life) betreut rund 199'000 Objekte, Wincasa (seit 2023 zu Implenia) über 250'000, Privera hat 2024 Verit übernommen (immobilienbusiness.ch, baublatt.ch). Treiber ist auch die Nachfolge — über 60 % der Firmeninhaber sind über 55 (Val Index). </w:t>
      </w:r>
      <w:r>
        <w:rPr>
          <w:i w:val="false"/>
          <w:iCs w:val="false"/>
          <w:color w:val="1A2332"/>
          <w:sz w:val="21"/>
          <w:szCs w:val="21"/>
        </w:rPr>
        <w:t xml:space="preserve">Folge für Sie:</w:t>
      </w:r>
      <w:r>
        <w:rPr>
          <w:i w:val="false"/>
          <w:iCs w:val="false"/>
          <w:color w:val="1A2332"/>
          <w:sz w:val="21"/>
          <w:szCs w:val="21"/>
        </w:rPr>
        <w:t xml:space="preserve"> Die grossen Player bauen eigene Digitalkompetenz auf und sind für Sie unerreichbar. Ihr Markt sind die vielen mittelgrossen, inhabergeführten Bewirtschafter, die zwischen «zu klein für eigene IT» und «zu stolz, um von einem Grossen geschluckt zu werden» stehen — und die genau deshalb Digitalisierung als Überlebens- und Nachfolgethema brauchen.</w:t>
      </w:r>
    </w:p>
    <w:p>
      <w:pPr>
        <w:spacing w:after="120" w:line="300"/>
        <w:jc w:val="both"/>
      </w:pPr>
      <w:r>
        <w:rPr>
          <w:b/>
          <w:bCs/>
          <w:i w:val="false"/>
          <w:iCs w:val="false"/>
          <w:color w:val="1A2332"/>
          <w:sz w:val="21"/>
          <w:szCs w:val="21"/>
        </w:rPr>
        <w:t xml:space="preserve">Ökonomie.</w:t>
      </w:r>
      <w:r>
        <w:rPr>
          <w:i w:val="false"/>
          <w:iCs w:val="false"/>
          <w:color w:val="1A2332"/>
          <w:sz w:val="21"/>
          <w:szCs w:val="21"/>
        </w:rPr>
        <w:t xml:space="preserve"> Bewirtschaftungshonorare liegen klassisch bei 4–6 % des Bruttomietzinses bzw. bei STWEG ab rund CHF 2'000 Grundhonorar plus CHF 350–500 pro Einheit/Jahr (gryps.ch). Beratung durch eidg. dipl. Immobilientreuhänder kostet CHF 145–200/Std. Die Honorare stehen unter Druck; Pauschal-pro-Einheit-Modelle verdrängen zunehmend die Prozentlogik. Das ist Ihr ökonomisches Argument: Wenn das Honorar pro Einheit sinkt, muss der Bewirtschafter mehr Einheiten pro Kopf schaffen — das geht nur über Produktivität.</w:t>
      </w:r>
    </w:p>
    <w:p>
      <w:pPr>
        <w:spacing w:after="120" w:line="300"/>
        <w:jc w:val="both"/>
      </w:pPr>
      <w:r>
        <w:rPr>
          <w:b/>
          <w:bCs/>
          <w:i w:val="false"/>
          <w:iCs w:val="false"/>
          <w:color w:val="1A2332"/>
          <w:sz w:val="21"/>
          <w:szCs w:val="21"/>
        </w:rPr>
        <w:t xml:space="preserve">Produktivität und Personal.</w:t>
      </w:r>
      <w:r>
        <w:rPr>
          <w:i w:val="false"/>
          <w:iCs w:val="false"/>
          <w:color w:val="1A2332"/>
          <w:sz w:val="21"/>
          <w:szCs w:val="21"/>
        </w:rPr>
        <w:t xml:space="preserve"> Als Richtwert (deutscher Benchmark, für die Schweiz nicht sauber belegt) gelten 150–300 Einheiten pro Bewirtschafter als gut strukturiert, 300–500 als anspruchsvoll, über 500 als Überlastung (persoperm.de). Der Fachkräftemangel ist in der Bewirtschaftung besonders akut und die Fluktuation hoch (adimmo.ch). </w:t>
      </w:r>
      <w:r>
        <w:rPr>
          <w:i w:val="false"/>
          <w:iCs w:val="false"/>
          <w:color w:val="1A2332"/>
          <w:sz w:val="21"/>
          <w:szCs w:val="21"/>
        </w:rPr>
        <w:t xml:space="preserve">Das ist der Kern Ihres Wertversprechens im Leitsegment:</w:t>
      </w:r>
      <w:r>
        <w:rPr>
          <w:i w:val="false"/>
          <w:iCs w:val="false"/>
          <w:color w:val="1A2332"/>
          <w:sz w:val="21"/>
          <w:szCs w:val="21"/>
        </w:rPr>
        <w:t xml:space="preserve"> Sie verkaufen nicht «Digitalisierung», Sie verkaufen «mehr Einheiten pro Kopf ohne mehr Leute» — in einem Markt, der keine Leute findet.</w:t>
      </w:r>
    </w:p>
    <w:p>
      <w:pPr>
        <w:spacing w:after="120" w:line="300"/>
        <w:jc w:val="both"/>
      </w:pPr>
      <w:r>
        <w:rPr>
          <w:b/>
          <w:bCs/>
          <w:i w:val="false"/>
          <w:iCs w:val="false"/>
          <w:color w:val="1A2332"/>
          <w:sz w:val="21"/>
          <w:szCs w:val="21"/>
        </w:rPr>
        <w:t xml:space="preserve">Digitalisierungsgrad — die eigentliche Chance.</w:t>
      </w:r>
      <w:r>
        <w:rPr>
          <w:i w:val="false"/>
          <w:iCs w:val="false"/>
          <w:color w:val="1A2332"/>
          <w:sz w:val="21"/>
          <w:szCs w:val="21"/>
        </w:rPr>
        <w:t xml:space="preserve"> Der pom+ «Digital Real Estate Index» liegt 2026 bei 4,3 von 10 (Bewirtschaftung 4,6, Bau 4,0), nach 4,0 in 2025 und 4,6 in 2024 — die Branche stagniert seit Jahren im unteren Mittelfeld (pom+). Entscheidend ist der KI-Befund: 75 % sehen hohen oder sehr hohen Nutzen von KI, aber nur 16 % setzen sie aktiv ein (pom+ 2025). Die HSLU verortet die Bewirtschaftung «grösstenteils zwischen Phase 1 (Erfassung) und Phase 2 (Standardisierung)»; intelligente Steuerung/KI (Phase 3) ist selten (HSLU Immobilienblog). </w:t>
      </w:r>
      <w:r>
        <w:rPr>
          <w:i w:val="false"/>
          <w:iCs w:val="false"/>
          <w:color w:val="1A2332"/>
          <w:sz w:val="21"/>
          <w:szCs w:val="21"/>
        </w:rPr>
        <w:t xml:space="preserve">Der Kernsatz für Ihre Positionierung:</w:t>
      </w:r>
      <w:r>
        <w:rPr>
          <w:i w:val="false"/>
          <w:iCs w:val="false"/>
          <w:color w:val="1A2332"/>
          <w:sz w:val="21"/>
          <w:szCs w:val="21"/>
        </w:rPr>
        <w:t xml:space="preserve"> Nutzen erkannt, Anwendungsfälle fehlen. Genau diese Lücke — nicht «ob», sondern «wie konkret bei mir» — füllen Ihre Demos.</w:t>
      </w:r>
    </w:p>
    <w:p>
      <w:pPr>
        <w:spacing w:after="120" w:line="300"/>
        <w:jc w:val="both"/>
      </w:pPr>
      <w:r>
        <w:rPr>
          <w:b/>
          <w:bCs/>
          <w:i w:val="false"/>
          <w:iCs w:val="false"/>
          <w:color w:val="1A2332"/>
          <w:sz w:val="21"/>
          <w:szCs w:val="21"/>
        </w:rPr>
        <w:t xml:space="preserve">Softwarelandschaft und Medienbrüche.</w:t>
      </w:r>
      <w:r>
        <w:rPr>
          <w:i w:val="false"/>
          <w:iCs w:val="false"/>
          <w:color w:val="1A2332"/>
          <w:sz w:val="21"/>
          <w:szCs w:val="21"/>
        </w:rPr>
        <w:t xml:space="preserve"> ImmoTop2 (W&amp;W) ist das am weitesten verbreitete ERP der CH-Bewirtschaftung, Rimo R5 die Grosskundenvariante, Garaio REM verwaltet rund 1,5 Mio. Mietobjekte, AbaImmo (Abacus) ist stark bei Genossenschaften (emonitor.ch, wwimmo.ch). Darüber liegen Mieterportale (Casavi, Allthings), Vermarktung (Flatfox, Emonitor) und Kommunikations-/Versammlungstools (Woonig). Der zentrale Medienbruch: «Ein ERP-System ist nicht dasselbe wie eine Vermietungslösung» (emonitor). An den Übergängen ERP ↔ Vermarktung ↔ Mieterportal ↔ Schaden/Handwerker ↔ Buchhaltung entstehen Doppelerfassung und Datenlücken. </w:t>
      </w:r>
      <w:r>
        <w:rPr>
          <w:i w:val="false"/>
          <w:iCs w:val="false"/>
          <w:color w:val="1A2332"/>
          <w:sz w:val="21"/>
          <w:szCs w:val="21"/>
        </w:rPr>
        <w:t xml:space="preserve">Das ist Ihr Spielfeld:</w:t>
      </w:r>
      <w:r>
        <w:rPr>
          <w:i w:val="false"/>
          <w:iCs w:val="false"/>
          <w:color w:val="1A2332"/>
          <w:sz w:val="21"/>
          <w:szCs w:val="21"/>
        </w:rPr>
        <w:t xml:space="preserve"> Sie verkaufen nicht ein weiteres Tool, sondern das Zusammenspiel der vorhandenen — «Software kann jeder kaufen. Das Zusammenspiel nicht.»</w:t>
      </w:r>
    </w:p>
    <w:p>
      <w:pPr>
        <w:spacing w:after="120" w:line="300"/>
        <w:jc w:val="both"/>
      </w:pPr>
      <w:r>
        <w:rPr>
          <w:b/>
          <w:bCs/>
          <w:i w:val="false"/>
          <w:iCs w:val="false"/>
          <w:color w:val="1A2332"/>
          <w:sz w:val="21"/>
          <w:szCs w:val="21"/>
        </w:rPr>
        <w:t xml:space="preserve">Pain Points, nach Grösse und Zahlungsbereitschaft getrennt.</w:t>
      </w:r>
      <w:r>
        <w:rPr>
          <w:i w:val="false"/>
          <w:iCs w:val="false"/>
          <w:color w:val="1A2332"/>
          <w:sz w:val="21"/>
          <w:szCs w:val="21"/>
        </w:rPr>
        <w:t xml:space="preserve"> Die </w:t>
      </w:r>
      <w:r>
        <w:rPr>
          <w:i w:val="false"/>
          <w:iCs w:val="false"/>
          <w:color w:val="1A2332"/>
          <w:sz w:val="21"/>
          <w:szCs w:val="21"/>
        </w:rPr>
        <w:t xml:space="preserve">grösste operative Last</w:t>
      </w:r>
      <w:r>
        <w:rPr>
          <w:i w:val="false"/>
          <w:iCs w:val="false"/>
          <w:color w:val="1A2332"/>
          <w:sz w:val="21"/>
          <w:szCs w:val="21"/>
        </w:rPr>
        <w:t xml:space="preserve"> mit dem besten Automatisierungshebel: Mieteranfragen und Erreichbarkeit (Telefon/Ticketing) sowie Schadens- und Handwerkerkoordination — hohes Volumen, hohe Frustration, direkt KI-tauglich (immosense.ai, HSLU). Die </w:t>
      </w:r>
      <w:r>
        <w:rPr>
          <w:i w:val="false"/>
          <w:iCs w:val="false"/>
          <w:color w:val="1A2332"/>
          <w:sz w:val="21"/>
          <w:szCs w:val="21"/>
        </w:rPr>
        <w:t xml:space="preserve">höchste Zahlungsbereitschaft</w:t>
      </w:r>
      <w:r>
        <w:rPr>
          <w:i w:val="false"/>
          <w:iCs w:val="false"/>
          <w:color w:val="1A2332"/>
          <w:sz w:val="21"/>
          <w:szCs w:val="21"/>
        </w:rPr>
        <w:t xml:space="preserve"> liegt dort, wo direkt Personalkosten sinken oder Pflichten bedient werden: Nebenkostenabrechnung, Rechnungsprüfung, und — mit den härtesten Anforderungen — das Eigentümerreporting. Wer entscheidet: bei der internen Effizienz die Bewirtschaftungsfirma selbst (schneller Entscheid, Inhaber/GL); bei STWEG-Themen die Eigentümerversammlung (langsam, Konsens); bei Reporting-Themen das Zusammenspiel institutioneller Eigentümer und Bewirtschafter.</w:t>
      </w:r>
    </w:p>
    <w:p>
      <w:pPr>
        <w:pStyle w:val="Heading2"/>
        <w:spacing w:after="100" w:before="240"/>
      </w:pPr>
      <w:r>
        <w:rPr>
          <w:b/>
          <w:bCs/>
          <w:color w:val="1A2332"/>
          <w:sz w:val="24"/>
          <w:szCs w:val="24"/>
        </w:rPr>
        <w:t xml:space="preserve">3.2 Bau und Handwerk Schweiz</w:t>
      </w:r>
    </w:p>
    <w:p>
      <w:pPr>
        <w:spacing w:after="120" w:line="300"/>
        <w:jc w:val="both"/>
      </w:pPr>
      <w:r>
        <w:rPr>
          <w:b/>
          <w:bCs/>
          <w:i w:val="false"/>
          <w:iCs w:val="false"/>
          <w:color w:val="1A2332"/>
          <w:sz w:val="21"/>
          <w:szCs w:val="21"/>
        </w:rPr>
        <w:t xml:space="preserve">Marktgrösse.</w:t>
      </w:r>
      <w:r>
        <w:rPr>
          <w:i w:val="false"/>
          <w:iCs w:val="false"/>
          <w:color w:val="1A2332"/>
          <w:sz w:val="21"/>
          <w:szCs w:val="21"/>
        </w:rPr>
        <w:t xml:space="preserve"> Die gesamte Bauwirtschaft umfasst über 75'000 Unternehmen, rund 500'000 Beschäftigte (jede zehnte Arbeitsstelle) und über CHF 65 Mrd. Umsatz, rund 12 % des BIP (Bauenschweiz). Das Bauhauptgewerbe allein: rund 23 Mrd. CHF verbaut 2024, 40 % davon aus öffentlichen Aufträgen (SBV). Die Bauinvestitionen lagen 2023 bei rund CHF 61 Mrd. (BFS/Bauenschweiz); die KOF erwartet für 2026 ein leichtes nominales Plus (baublatt.ch).</w:t>
      </w:r>
    </w:p>
    <w:p>
      <w:pPr>
        <w:spacing w:after="120" w:line="300"/>
        <w:jc w:val="both"/>
      </w:pPr>
      <w:r>
        <w:rPr>
          <w:b/>
          <w:bCs/>
          <w:i w:val="false"/>
          <w:iCs w:val="false"/>
          <w:color w:val="1A2332"/>
          <w:sz w:val="21"/>
          <w:szCs w:val="21"/>
        </w:rPr>
        <w:t xml:space="preserve">Struktur — Ihr Zielsegment.</w:t>
      </w:r>
      <w:r>
        <w:rPr>
          <w:i w:val="false"/>
          <w:iCs w:val="false"/>
          <w:color w:val="1A2332"/>
          <w:sz w:val="21"/>
          <w:szCs w:val="21"/>
        </w:rPr>
        <w:t xml:space="preserve"> Rund 90 % aller Schweizer Unternehmen sind Mikrobetriebe (1–9 Mitarbeitende); im Baunebengewerbe sind über 90 % KMU, im Bauhauptgewerbe über 70 % (Bauenschweiz, sgv). Der Markt ist also zahlenmässig riesig, aber von sehr kleinen, inhabergeführten Betrieben dominiert. </w:t>
      </w:r>
      <w:r>
        <w:rPr>
          <w:i w:val="false"/>
          <w:iCs w:val="false"/>
          <w:color w:val="1A2332"/>
          <w:sz w:val="21"/>
          <w:szCs w:val="21"/>
        </w:rPr>
        <w:t xml:space="preserve">Folge:</w:t>
      </w:r>
      <w:r>
        <w:rPr>
          <w:i w:val="false"/>
          <w:iCs w:val="false"/>
          <w:color w:val="1A2332"/>
          <w:sz w:val="21"/>
          <w:szCs w:val="21"/>
        </w:rPr>
        <w:t xml:space="preserve"> Grosse Reichweite, aber kleiner Ticketwert pro Betrieb und ein zeitarmer, skeptischer Entscheider (der Inhaber/Meister ist Käufer, Anwender und Buchhalter in einer Person).</w:t>
      </w:r>
    </w:p>
    <w:p>
      <w:pPr>
        <w:spacing w:after="120" w:line="300"/>
        <w:jc w:val="both"/>
      </w:pPr>
      <w:r>
        <w:rPr>
          <w:b/>
          <w:bCs/>
          <w:i w:val="false"/>
          <w:iCs w:val="false"/>
          <w:color w:val="1A2332"/>
          <w:sz w:val="21"/>
          <w:szCs w:val="21"/>
        </w:rPr>
        <w:t xml:space="preserve">Ökonomie.</w:t>
      </w:r>
      <w:r>
        <w:rPr>
          <w:i w:val="false"/>
          <w:iCs w:val="false"/>
          <w:color w:val="1A2332"/>
          <w:sz w:val="21"/>
          <w:szCs w:val="21"/>
        </w:rPr>
        <w:t xml:space="preserve"> Die EBIT-Margen sind strukturell dünn: Planung 6,3 %, Hochbau 5,1 %, Tiefbau 5,4 % (PwC, Erwartung 2023). </w:t>
      </w:r>
      <w:r>
        <w:rPr>
          <w:i w:val="false"/>
          <w:iCs w:val="false"/>
          <w:color w:val="1A2332"/>
          <w:sz w:val="21"/>
          <w:szCs w:val="21"/>
        </w:rPr>
        <w:t xml:space="preserve">Das ist ein starkes Verkaufsargument:</w:t>
      </w:r>
      <w:r>
        <w:rPr>
          <w:i w:val="false"/>
          <w:iCs w:val="false"/>
          <w:color w:val="1A2332"/>
          <w:sz w:val="21"/>
          <w:szCs w:val="21"/>
        </w:rPr>
        <w:t xml:space="preserve"> Bei 5 % EBIT wirkt jede über Software eingesparte unproduktive Stunde überproportional auf den Gewinn — eine eingesparte Adminstunde ist mehr wert als eine zusätzliche verkaufte Stunde.</w:t>
      </w:r>
    </w:p>
    <w:p>
      <w:pPr>
        <w:spacing w:after="120" w:line="300"/>
        <w:jc w:val="both"/>
      </w:pPr>
      <w:r>
        <w:rPr>
          <w:b/>
          <w:bCs/>
          <w:i w:val="false"/>
          <w:iCs w:val="false"/>
          <w:color w:val="1A2332"/>
          <w:sz w:val="21"/>
          <w:szCs w:val="21"/>
        </w:rPr>
        <w:t xml:space="preserve">Administrationszeit.</w:t>
      </w:r>
      <w:r>
        <w:rPr>
          <w:i w:val="false"/>
          <w:iCs w:val="false"/>
          <w:color w:val="1A2332"/>
          <w:sz w:val="21"/>
          <w:szCs w:val="21"/>
        </w:rPr>
        <w:t xml:space="preserve"> Belastbare Schweiz-Zahlen sind rar; die konkretesten Werte stammen aus Deutschland und Anbietermodellen. Eine DE-Studie (HERO/Statista 2025) nennt für Betriebe mit digitalen Komplettlösungen teils über 20 Std./Woche Einsparung; ein CH-Anbietermodell (Baunex) rechnet für ein 8-Personen-Team 264 eingesparte Stunden/Jahr bei der Rapportierung. </w:t>
      </w:r>
      <w:r>
        <w:rPr>
          <w:i w:val="false"/>
          <w:iCs w:val="false"/>
          <w:color w:val="1A2332"/>
          <w:sz w:val="21"/>
          <w:szCs w:val="21"/>
        </w:rPr>
        <w:t xml:space="preserve">Meine Empfehlung:</w:t>
      </w:r>
      <w:r>
        <w:rPr>
          <w:i w:val="false"/>
          <w:iCs w:val="false"/>
          <w:color w:val="1A2332"/>
          <w:sz w:val="21"/>
          <w:szCs w:val="21"/>
        </w:rPr>
        <w:t xml:space="preserve"> im Marketing als Schätzung führen («10–20 % der Zeit von Inhabern und Vorarbeitern gehen in Administration»), nicht als belegte CH-Zahl — und stattdessen mit dem personalisierten Rechner arbeiten, der den echten Betrieb rechnet (wie in der Picassino-Demo).</w:t>
      </w:r>
    </w:p>
    <w:p>
      <w:pPr>
        <w:spacing w:after="120" w:line="300"/>
        <w:jc w:val="both"/>
      </w:pPr>
      <w:r>
        <w:rPr>
          <w:b/>
          <w:bCs/>
          <w:i w:val="false"/>
          <w:iCs w:val="false"/>
          <w:color w:val="1A2332"/>
          <w:sz w:val="21"/>
          <w:szCs w:val="21"/>
        </w:rPr>
        <w:t xml:space="preserve">Pain Points.</w:t>
      </w:r>
      <w:r>
        <w:rPr>
          <w:i w:val="false"/>
          <w:iCs w:val="false"/>
          <w:color w:val="1A2332"/>
          <w:sz w:val="21"/>
          <w:szCs w:val="21"/>
        </w:rPr>
        <w:t xml:space="preserve"> Der grösste und am besten belegte: der Fachkräfte- und Lehrlingsmangel. Der SBV rechnet bis 2040 mit 16 % Unterdeckung (gemessen am Bauvolumen), bei Maurern rund 30 %, und beziffert die Kosten auf bis zu CHF 800 Mio./Jahr — und positioniert Digitalisierung/Produktivität selbst als die Hälfte der Lösung (baumeister.swiss). </w:t>
      </w:r>
      <w:r>
        <w:rPr>
          <w:i w:val="false"/>
          <w:iCs w:val="false"/>
          <w:color w:val="1A2332"/>
          <w:sz w:val="21"/>
          <w:szCs w:val="21"/>
        </w:rPr>
        <w:t xml:space="preserve">Das ist Ihr Ankerargument:</w:t>
      </w:r>
      <w:r>
        <w:rPr>
          <w:i w:val="false"/>
          <w:iCs w:val="false"/>
          <w:color w:val="1A2332"/>
          <w:sz w:val="21"/>
          <w:szCs w:val="21"/>
        </w:rPr>
        <w:t xml:space="preserve"> «Software ersetzt keine Handwerker, aber macht die vorhandenen produktiver.» Am stärksten mit Produkten adressiert (= höchste Zahlungsbereitschaft) sind Baustellenrapport und Zeiterfassung, gefolgt von der Kette Offerte → Rapport → Rechnung und dem margenrelevanten Nachtrags-/Regiemanagement.</w:t>
      </w:r>
    </w:p>
    <w:p>
      <w:pPr>
        <w:spacing w:after="120" w:line="300"/>
        <w:jc w:val="both"/>
      </w:pPr>
      <w:r>
        <w:rPr>
          <w:b/>
          <w:bCs/>
          <w:i w:val="false"/>
          <w:iCs w:val="false"/>
          <w:color w:val="1A2332"/>
          <w:sz w:val="21"/>
          <w:szCs w:val="21"/>
        </w:rPr>
        <w:t xml:space="preserve">Softwarelandschaft und die Lücke.</w:t>
      </w:r>
      <w:r>
        <w:rPr>
          <w:i w:val="false"/>
          <w:iCs w:val="false"/>
          <w:color w:val="1A2332"/>
          <w:sz w:val="21"/>
          <w:szCs w:val="21"/>
        </w:rPr>
        <w:t xml:space="preserve"> Der SBV vergleicht offiziell fünf ERP (AbaBau, BauBit PRO, BauPlus, SORBA, WinBau). Der wunde Punkt: Buchhaltungstools wie bexio «können kein Bau» (keine Kalkulation, kein Ausmass, kein Rapport), während Bau-Gesamtlösungen wie Sorba oder Baubit für Kleinstbetriebe schwer und teuer sind (blog.sorba.ch, baunex.ch). Dazwischen klafft die Lücke «einfach und durchgängig von Offerte bis Rechnung» für den 1–20-Personen-Betrieb — genau das Segment, das den Markt dominiert.</w:t>
      </w:r>
    </w:p>
    <w:p>
      <w:pPr>
        <w:spacing w:after="120" w:line="300"/>
        <w:jc w:val="both"/>
      </w:pPr>
      <w:r>
        <w:rPr>
          <w:b/>
          <w:bCs/>
          <w:i w:val="false"/>
          <w:iCs w:val="false"/>
          <w:color w:val="1A2332"/>
          <w:sz w:val="21"/>
          <w:szCs w:val="21"/>
        </w:rPr>
        <w:t xml:space="preserve">Kanäle.</w:t>
      </w:r>
      <w:r>
        <w:rPr>
          <w:i w:val="false"/>
          <w:iCs w:val="false"/>
          <w:color w:val="1A2332"/>
          <w:sz w:val="21"/>
          <w:szCs w:val="21"/>
        </w:rPr>
        <w:t xml:space="preserve"> Erreichbar über den Gewerbeverband sgv (über 600'000 KMU, breit), den SBV (fokussiert aufs Bauhauptgewerbe, treibt Digitalisierung aktiv), suissetec (rund 3'600 Mitgliedsbetriebe Gebäudetechnik, klar segmentierbar) und vor allem die kantonalen Gewerbe- und Baumeisterverbände (beste konkrete Erreichbarkeit über lokale Events und Newsletter).</w:t>
      </w:r>
    </w:p>
    <w:p>
      <w:pPr>
        <w:pStyle w:val="Heading2"/>
        <w:spacing w:after="100" w:before="240"/>
      </w:pPr>
      <w:r>
        <w:rPr>
          <w:b/>
          <w:bCs/>
          <w:color w:val="1A2332"/>
          <w:sz w:val="24"/>
          <w:szCs w:val="24"/>
        </w:rPr>
        <w:t xml:space="preserve">3.3 Eigentümer- und Asset-Manager-Perspektive</w:t>
      </w:r>
    </w:p>
    <w:p>
      <w:pPr>
        <w:spacing w:after="120" w:line="300"/>
        <w:jc w:val="both"/>
      </w:pPr>
      <w:r>
        <w:rPr>
          <w:i w:val="false"/>
          <w:iCs w:val="false"/>
          <w:color w:val="1A2332"/>
          <w:sz w:val="21"/>
          <w:szCs w:val="21"/>
        </w:rPr>
        <w:t xml:space="preserve">Die für Eigentümer entscheidungsrelevanten Daten — Zustand, CAPEX-Bedarf, CO2 — entstehen ganz unten in der Kette: im Rapport des Handwerkers (verbaute Komponenten, Restlebensdauer, Heizungstyp) und im ERP des Bewirtschafters (Verbräuche, Instandhaltungsaufträge). Das Kernproblem institutioneller Eigentümer ist laut EBP nicht fehlende Daten, sondern «deren Qualität, Aktualität und Verknüpfung über den Lebenszyklus» — Daten werden «häufig nicht vollständig übergeben, mehrfach erfasst oder in unterschiedlichen Systemen verwaltet» (EBP). Der Engpass ist die verlustfreie Weiterleitung von der operativen Basis bis in die Portfolio-/Reporting-Ebene. Ich werte diese Perspektive in Kapitel 6.4 strategisch aus — sie ist der Grund, warum «unten anfangen» langfristig die stärkere Position ist.</w:t>
      </w:r>
    </w:p>
    <w:p>
      <w:pPr>
        <w:pStyle w:val="Heading2"/>
        <w:spacing w:after="100" w:before="240"/>
      </w:pPr>
      <w:r>
        <w:rPr>
          <w:b/>
          <w:bCs/>
          <w:color w:val="1A2332"/>
          <w:sz w:val="24"/>
          <w:szCs w:val="24"/>
        </w:rPr>
        <w:t xml:space="preserve">3.4 Regulatorische Langfristtreiber — warum dieser Markt zehn Jahre Arbeit erzeugt</w:t>
      </w:r>
    </w:p>
    <w:p>
      <w:pPr>
        <w:spacing w:after="120" w:line="300"/>
        <w:jc w:val="both"/>
      </w:pPr>
      <w:r>
        <w:rPr>
          <w:i w:val="false"/>
          <w:iCs w:val="false"/>
          <w:color w:val="1A2332"/>
          <w:sz w:val="21"/>
          <w:szCs w:val="21"/>
        </w:rPr>
        <w:t xml:space="preserve">Drei Kräfte sorgen dafür, dass Bau und Immobilien über die nächste Dekade Zahlungsbereitschaft erzeugen — unabhängig von der Konjunktur:</w:t>
      </w:r>
    </w:p>
    <w:p>
      <w:pPr>
        <w:spacing w:after="120" w:line="300"/>
        <w:jc w:val="both"/>
      </w:pPr>
      <w:r>
        <w:rPr>
          <w:b/>
          <w:bCs/>
          <w:i w:val="false"/>
          <w:iCs w:val="false"/>
          <w:color w:val="1A2332"/>
          <w:sz w:val="21"/>
          <w:szCs w:val="21"/>
        </w:rPr>
        <w:t xml:space="preserve">Dekarbonisierung und Sanierungsstau.</w:t>
      </w:r>
      <w:r>
        <w:rPr>
          <w:i w:val="false"/>
          <w:iCs w:val="false"/>
          <w:color w:val="1A2332"/>
          <w:sz w:val="21"/>
          <w:szCs w:val="21"/>
        </w:rPr>
        <w:t xml:space="preserve"> Die Sanierungsrate der Gebäudehülle liegt bei rund 1–1,5 %/Jahr (BFE, Raiffeisen), während Netto-Null 2050 rund das Doppelte bis Dreifache erfordern würde. Über die Hälfte der Gebäude ist älter als 40 Jahre, rund drei Viertel noch fossil beheizt; der Investitionsbedarf des Sanierungsstaus wird auf rund CHF 50 Mrd. geschätzt (Raiffeisen). Gebäude verursachen über 40 % des Energieverbrauchs und rund ein Viertel der CO2-Emissionen. Die MuKEn 2025 (von der EnDK am 29.8.2025 verabschiedet) verschärfen Neubau- und Sanierungsanforderungen und führen erstmals Grenzwerte für graue Energie ein; das revidierte CO2-Gesetz (seit 1.1.2025) und das Klimagesetz verankern die Ziele (EnDK, BAFU, BAZG). Jeder Sanierungszyklus erzeugt Planungs-, Dokumentations- und Datenbedarf.</w:t>
      </w:r>
    </w:p>
    <w:p>
      <w:pPr>
        <w:spacing w:after="120" w:line="300"/>
        <w:jc w:val="both"/>
      </w:pPr>
      <w:r>
        <w:rPr>
          <w:b/>
          <w:bCs/>
          <w:i w:val="false"/>
          <w:iCs w:val="false"/>
          <w:color w:val="1A2332"/>
          <w:sz w:val="21"/>
          <w:szCs w:val="21"/>
        </w:rPr>
        <w:t xml:space="preserve">Verpflichtendes ESG-/CO2-Reporting.</w:t>
      </w:r>
      <w:r>
        <w:rPr>
          <w:i w:val="false"/>
          <w:iCs w:val="false"/>
          <w:color w:val="1A2332"/>
          <w:sz w:val="21"/>
          <w:szCs w:val="21"/>
        </w:rPr>
        <w:t xml:space="preserve"> Die AMAS-Selbstregulierung verlangt für Schweizer Immobilienfonds seit Geschäftsjahr 2024 verpflichtend das Reporting von Energieverbrauch und CO2-Emissionen, methodisch abgestützt auf REIDA (am-switzerland.ch). Der REIDA-CO2-Benchmark umfasst bereits 90 Portfolios, rund 7'790 Liegenschaften und CHF 240 Mrd. Marktwert, geprüft nach ISAE 3000 (reida.ch). GRESB wächst global weiter. Das ist ein laufender, prüfbarer Datenbedarf, der nur mit einer sauberen Datenkette aus dem Betrieb erfüllbar ist.</w:t>
      </w:r>
    </w:p>
    <w:p>
      <w:pPr>
        <w:spacing w:after="120" w:line="300"/>
        <w:jc w:val="both"/>
      </w:pPr>
      <w:r>
        <w:rPr>
          <w:b/>
          <w:bCs/>
          <w:i w:val="false"/>
          <w:iCs w:val="false"/>
          <w:color w:val="1A2332"/>
          <w:sz w:val="21"/>
          <w:szCs w:val="21"/>
        </w:rPr>
        <w:t xml:space="preserve">Referenzzins und Mietrecht.</w:t>
      </w:r>
      <w:r>
        <w:rPr>
          <w:i w:val="false"/>
          <w:iCs w:val="false"/>
          <w:color w:val="1A2332"/>
          <w:sz w:val="21"/>
          <w:szCs w:val="21"/>
        </w:rPr>
        <w:t xml:space="preserve"> Der hypothekarische Referenzzinssatz liegt aktuell bei 1,25 % (seit 2.9.2025, unverändert per 2.6.2026; BWO). Jede Änderung löst massenhafte, fristgebundene Mietzinsanpassungen aus — ein wiederkehrender, datenintensiver Prozess mit hohem Automatisierungshebel im Bewirtschaftungssegment.</w:t>
      </w:r>
    </w:p>
    <w:p>
      <w:pPr>
        <w:spacing w:after="120" w:line="300"/>
        <w:jc w:val="both"/>
      </w:pPr>
      <w:r>
        <w:rPr>
          <w:b/>
          <w:bCs/>
          <w:i w:val="false"/>
          <w:iCs w:val="false"/>
          <w:color w:val="1A2332"/>
          <w:sz w:val="21"/>
          <w:szCs w:val="21"/>
        </w:rPr>
        <w:t xml:space="preserve">Datenschutz als Verkaufsargument.</w:t>
      </w:r>
      <w:r>
        <w:rPr>
          <w:i w:val="false"/>
          <w:iCs w:val="false"/>
          <w:color w:val="1A2332"/>
          <w:sz w:val="21"/>
          <w:szCs w:val="21"/>
        </w:rPr>
        <w:t xml:space="preserve"> Bewirtschafter bearbeiten sensible Mieterdaten (Bonität, Betreibungen, Familienverhältnisse) im Auftrag der Eigentümer — sie sind damit typischerweise Auftragsbearbeiter nach revDSG und brauchen Bearbeitungsverzeichnis und Auftragsbearbeitungsverträge; Auslandhosting löst Zusatzpflichten aus, Bussen reichen bis CHF 250'000 (MLL, swissstaffing). </w:t>
      </w:r>
      <w:r>
        <w:rPr>
          <w:i w:val="false"/>
          <w:iCs w:val="false"/>
          <w:color w:val="1A2332"/>
          <w:sz w:val="21"/>
          <w:szCs w:val="21"/>
        </w:rPr>
        <w:t xml:space="preserve">Daraus wird ein Argument, keine Pflicht:</w:t>
      </w:r>
      <w:r>
        <w:rPr>
          <w:i w:val="false"/>
          <w:iCs w:val="false"/>
          <w:color w:val="1A2332"/>
          <w:sz w:val="21"/>
          <w:szCs w:val="21"/>
        </w:rPr>
        <w:t xml:space="preserve"> «Datenhaltung in der Schweiz, revDSG-konforme Auftragsbearbeitung ab Werk» ist ein belastbarer Vertrauensvorteil gegenüber internationalen Cloud-Anbietern — besonders gegenüber institutionellen Eigentümern mit strenger Governance.</w:t>
      </w:r>
    </w:p>
    <w:p>
      <w:pPr>
        <w:pBdr>
          <w:bottom w:val="single" w:color="C9D3DA" w:sz="6" w:space="6"/>
        </w:pBdr>
        <w:spacing w:after="160" w:before="80"/>
      </w:pPr>
    </w:p>
    <w:p>
      <w:pPr>
        <w:pStyle w:val="Heading1"/>
        <w:pageBreakBefore/>
        <w:spacing w:after="160" w:before="120"/>
      </w:pPr>
      <w:r>
        <w:rPr>
          <w:b/>
          <w:bCs/>
          <w:color w:val="1A2332"/>
          <w:sz w:val="34"/>
          <w:szCs w:val="34"/>
        </w:rPr>
        <w:t xml:space="preserve">4. Wettbewerb und die offene Positionierungslücke</w:t>
      </w:r>
    </w:p>
    <w:p>
      <w:pPr>
        <w:spacing w:after="120" w:line="300"/>
        <w:jc w:val="both"/>
      </w:pPr>
      <w:r>
        <w:rPr>
          <w:b/>
          <w:bCs/>
          <w:i w:val="false"/>
          <w:iCs w:val="false"/>
          <w:color w:val="1A2332"/>
          <w:sz w:val="21"/>
          <w:szCs w:val="21"/>
        </w:rPr>
        <w:t xml:space="preserve">Die grossen Berater bedienen die Grossen.</w:t>
      </w:r>
      <w:r>
        <w:rPr>
          <w:i w:val="false"/>
          <w:iCs w:val="false"/>
          <w:color w:val="1A2332"/>
          <w:sz w:val="21"/>
          <w:szCs w:val="21"/>
        </w:rPr>
        <w:t xml:space="preserve"> pom+ Consulting («Let's make it real») verbindet «Organisation, Immobilien und IT-Systeme» und berät Flughafen Zürich, Roche, Swiss Re, UBS, SBB — Grossorganisationen und öffentliche Hand (pom.ch). Wüest Partner dominiert Bewertung und Marktdaten und verkauft die Datenplattform «Wüest Dimensions» an institutionelle Investoren (wuestpartner.com). EBP und Drees &amp; Sommer beraten Grossprojekte strategisch (Drees &amp; Sommer mit ausgeprägtem «Digital Real Estate»-Portfolio, dreso.com); Intep ist auf Nachhaltigkeit/LEED fokussiert. Gemeinsam ist ihnen: Sie </w:t>
      </w:r>
      <w:r>
        <w:rPr>
          <w:b/>
          <w:bCs/>
          <w:i w:val="false"/>
          <w:iCs w:val="false"/>
          <w:color w:val="1A2332"/>
          <w:sz w:val="21"/>
          <w:szCs w:val="21"/>
        </w:rPr>
        <w:t xml:space="preserve">beraten strategisch, betreiben aber nichts laufend</w:t>
      </w:r>
      <w:r>
        <w:rPr>
          <w:i w:val="false"/>
          <w:iCs w:val="false"/>
          <w:color w:val="1A2332"/>
          <w:sz w:val="21"/>
          <w:szCs w:val="21"/>
        </w:rPr>
        <w:t xml:space="preserve"> — und sie sind für einen inhabergeführten Bewirtschafter mit 20 Leuten oder einen Malerbetrieb zu gross, zu teuer, zu abstrakt.</w:t>
      </w:r>
    </w:p>
    <w:p>
      <w:pPr>
        <w:spacing w:after="120" w:line="300"/>
        <w:jc w:val="both"/>
      </w:pPr>
      <w:r>
        <w:rPr>
          <w:b/>
          <w:bCs/>
          <w:i w:val="false"/>
          <w:iCs w:val="false"/>
          <w:color w:val="1A2332"/>
          <w:sz w:val="21"/>
          <w:szCs w:val="21"/>
        </w:rPr>
        <w:t xml:space="preserve">Die Handwerks-Digitalisierer verkaufen Tools, nicht Umsetzung.</w:t>
      </w:r>
      <w:r>
        <w:rPr>
          <w:i w:val="false"/>
          <w:iCs w:val="false"/>
          <w:color w:val="1A2332"/>
          <w:sz w:val="21"/>
          <w:szCs w:val="21"/>
        </w:rPr>
        <w:t xml:space="preserve"> In Deutschland ist das Feld dicht (Streit, hero-software, handwerkdigital.de). In der Schweiz ist es dünn und fragmentiert (Baunex, SORBA, gemeinsamDIGITAL) — und dort dominieren Softwarehersteller. Ein neutraler Umsetzungs- und Betriebspartner, der tool-übergreifend auswählt, integriert und dann </w:t>
      </w:r>
      <w:r>
        <w:rPr>
          <w:i w:val="false"/>
          <w:iCs w:val="false"/>
          <w:color w:val="1A2332"/>
          <w:sz w:val="21"/>
          <w:szCs w:val="21"/>
        </w:rPr>
        <w:t xml:space="preserve">laufend betreibt</w:t>
      </w:r>
      <w:r>
        <w:rPr>
          <w:i w:val="false"/>
          <w:iCs w:val="false"/>
          <w:color w:val="1A2332"/>
          <w:sz w:val="21"/>
          <w:szCs w:val="21"/>
        </w:rPr>
        <w:t xml:space="preserve">, fehlt.</w:t>
      </w:r>
    </w:p>
    <w:p>
      <w:pPr>
        <w:spacing w:after="120" w:line="300"/>
        <w:jc w:val="both"/>
      </w:pPr>
      <w:r>
        <w:rPr>
          <w:b/>
          <w:bCs/>
          <w:i w:val="false"/>
          <w:iCs w:val="false"/>
          <w:color w:val="1A2332"/>
          <w:sz w:val="21"/>
          <w:szCs w:val="21"/>
        </w:rPr>
        <w:t xml:space="preserve">Die PropTech/ConTech-Szene wächst, die Anwenderadoption nicht.</w:t>
      </w:r>
      <w:r>
        <w:rPr>
          <w:i w:val="false"/>
          <w:iCs w:val="false"/>
          <w:color w:val="1A2332"/>
          <w:sz w:val="21"/>
          <w:szCs w:val="21"/>
        </w:rPr>
        <w:t xml:space="preserve"> Die PropTech Map Switzerland zählte im November 2025 rund 486 PropTechs (nach 429 im Juli 2024); über 80 % nutzen bereits KI (swissproptech.ch). Aber die Adoption bei den Anwendern — Bewirtschafter, Bauunternehmen, Handwerker — hinkt hinterher (bestätigt durch den pom+-«Stillstand»-Befund). Es gibt genug Tools. Es fehlt jemand, der sie beim KMU zum Laufen bringt.</w:t>
      </w:r>
    </w:p>
    <w:p>
      <w:pPr>
        <w:spacing w:after="120" w:line="300"/>
        <w:jc w:val="both"/>
      </w:pPr>
      <w:r>
        <w:rPr>
          <w:b/>
          <w:bCs/>
          <w:i w:val="false"/>
          <w:iCs w:val="false"/>
          <w:color w:val="1A2332"/>
          <w:sz w:val="21"/>
          <w:szCs w:val="21"/>
        </w:rPr>
        <w:t xml:space="preserve">«KI-Agentur» ist als Positionierung verbrannt.</w:t>
      </w:r>
      <w:r>
        <w:rPr>
          <w:i w:val="false"/>
          <w:iCs w:val="false"/>
          <w:color w:val="1A2332"/>
          <w:sz w:val="21"/>
          <w:szCs w:val="21"/>
        </w:rPr>
        <w:t xml:space="preserve"> Das Feld der KI-/Automatisierungsagenturen im DACH-Raum ist übersättigt und ranking-getrieben; nahezu identisches Kernangebot (Chatbots, Lead-Automatisierung), gleiche Tool-Stacks, Differenzierung nur über Branchenfokus (influencermarketinghub.com). Wer sich als «KI-Agentur» positioniert, wird zur austauschbaren Ware. Deshalb: KI nicht ins Schaufenster.</w:t>
      </w:r>
    </w:p>
    <w:p>
      <w:pPr>
        <w:spacing w:after="120" w:line="300"/>
        <w:jc w:val="both"/>
      </w:pPr>
      <w:r>
        <w:rPr>
          <w:b/>
          <w:bCs/>
          <w:i w:val="false"/>
          <w:iCs w:val="false"/>
          <w:color w:val="1A2332"/>
          <w:sz w:val="21"/>
          <w:szCs w:val="21"/>
        </w:rPr>
        <w:t xml:space="preserve">Die Lücke — in einem Satz.</w:t>
      </w:r>
      <w:r>
        <w:rPr>
          <w:i w:val="false"/>
          <w:iCs w:val="false"/>
          <w:color w:val="1A2332"/>
          <w:sz w:val="21"/>
          <w:szCs w:val="21"/>
        </w:rPr>
        <w:t xml:space="preserve"> Niemand im Schweizer Markt besetzt </w:t>
      </w:r>
      <w:r>
        <w:rPr>
          <w:i w:val="false"/>
          <w:iCs w:val="false"/>
          <w:color w:val="1A2332"/>
          <w:sz w:val="21"/>
          <w:szCs w:val="21"/>
        </w:rPr>
        <w:t xml:space="preserve">«ein Partner von der Strategie bis zum laufenden Betrieb, tool-übergreifend, lokal, für kleine und mittlere Betriebe entlang der Kette Bau–Immobilien».</w:t>
      </w:r>
      <w:r>
        <w:rPr>
          <w:i w:val="false"/>
          <w:iCs w:val="false"/>
          <w:color w:val="1A2332"/>
          <w:sz w:val="21"/>
          <w:szCs w:val="21"/>
        </w:rPr>
        <w:t xml:space="preserve"> Die grossen Berater betreiben nicht. Die Softwarehäuser beraten und betreiben nicht neutral. Die KI-Agenturen haben keine Branchentiefe. Genau in diese Lücke passt Amplifyr — vorausgesetzt, sie führt Verantwortungsübernahme und Branchentiefe im Schaufenster und die Technologie im Maschinenraum.</w:t>
      </w:r>
    </w:p>
    <w:p>
      <w:pPr>
        <w:spacing w:after="120" w:line="300"/>
        <w:jc w:val="both"/>
      </w:pPr>
      <w:r>
        <w:rPr>
          <w:i w:val="false"/>
          <w:iCs w:val="false"/>
          <w:color w:val="1A2332"/>
          <w:sz w:val="21"/>
          <w:szCs w:val="21"/>
        </w:rPr>
        <w:t xml:space="preserve">Prüfhinweis:</w:t>
      </w:r>
      <w:r>
        <w:rPr>
          <w:i w:val="false"/>
          <w:iCs w:val="false"/>
          <w:color w:val="1A2332"/>
          <w:sz w:val="21"/>
          <w:szCs w:val="21"/>
        </w:rPr>
        <w:t xml:space="preserve"> Die Aussage «Begriff/Position frei» beruht auf Negativ-Suchbefunden, nicht auf einer markenrechtlichen Prüfung. Vor finaler Namens-/Claim-Festlegung empfehle ich eine IGE- und Handelsregisterrecherche (Kapitel 10).</w:t>
      </w:r>
    </w:p>
    <w:p>
      <w:pPr>
        <w:pBdr>
          <w:bottom w:val="single" w:color="C9D3DA" w:sz="6" w:space="6"/>
        </w:pBdr>
        <w:spacing w:after="160" w:before="80"/>
      </w:pPr>
    </w:p>
    <w:p>
      <w:pPr>
        <w:pStyle w:val="Heading1"/>
        <w:pageBreakBefore/>
        <w:spacing w:after="160" w:before="120"/>
      </w:pPr>
      <w:r>
        <w:rPr>
          <w:b/>
          <w:bCs/>
          <w:color w:val="1A2332"/>
          <w:sz w:val="34"/>
          <w:szCs w:val="34"/>
        </w:rPr>
        <w:t xml:space="preserve">5. Positionierungsoptionen</w:t>
      </w:r>
    </w:p>
    <w:p>
      <w:pPr>
        <w:spacing w:after="120" w:line="300"/>
        <w:jc w:val="both"/>
      </w:pPr>
      <w:r>
        <w:rPr>
          <w:i w:val="false"/>
          <w:iCs w:val="false"/>
          <w:color w:val="1A2332"/>
          <w:sz w:val="21"/>
          <w:szCs w:val="21"/>
        </w:rPr>
        <w:t xml:space="preserve">Vier ernstgemeinte Alternativen — keine Strohmänner. Jede ist in sich schlüssig; sie unterscheiden sich darin, </w:t>
      </w:r>
      <w:r>
        <w:rPr>
          <w:i w:val="false"/>
          <w:iCs w:val="false"/>
          <w:color w:val="1A2332"/>
          <w:sz w:val="21"/>
          <w:szCs w:val="21"/>
        </w:rPr>
        <w:t xml:space="preserve">wie eng</w:t>
      </w:r>
      <w:r>
        <w:rPr>
          <w:i w:val="false"/>
          <w:iCs w:val="false"/>
          <w:color w:val="1A2332"/>
          <w:sz w:val="21"/>
          <w:szCs w:val="21"/>
        </w:rPr>
        <w:t xml:space="preserve"> Amplifyr sich bindet und </w:t>
      </w:r>
      <w:r>
        <w:rPr>
          <w:i w:val="false"/>
          <w:iCs w:val="false"/>
          <w:color w:val="1A2332"/>
          <w:sz w:val="21"/>
          <w:szCs w:val="21"/>
        </w:rPr>
        <w:t xml:space="preserve">was</w:t>
      </w:r>
      <w:r>
        <w:rPr>
          <w:i w:val="false"/>
          <w:iCs w:val="false"/>
          <w:color w:val="1A2332"/>
          <w:sz w:val="21"/>
          <w:szCs w:val="21"/>
        </w:rPr>
        <w:t xml:space="preserve"> im Schaufenster steht. Die Bewertungsmatrix und meine Wahl folgen in 5.5 und Kapitel 6.</w:t>
      </w:r>
    </w:p>
    <w:p>
      <w:pPr>
        <w:pStyle w:val="Heading2"/>
        <w:spacing w:after="100" w:before="240"/>
      </w:pPr>
      <w:r>
        <w:rPr>
          <w:b/>
          <w:bCs/>
          <w:color w:val="1A2332"/>
          <w:sz w:val="24"/>
          <w:szCs w:val="24"/>
        </w:rPr>
        <w:t xml:space="preserve">5.1 Option A — «Die ausgelagerte Digital-Abteilung für Immobilien und Bau»</w:t>
      </w:r>
    </w:p>
    <w:p>
      <w:pPr>
        <w:spacing w:after="120" w:line="300"/>
        <w:jc w:val="both"/>
      </w:pPr>
      <w:r>
        <w:rPr>
          <w:b/>
          <w:bCs/>
          <w:i w:val="false"/>
          <w:iCs w:val="false"/>
          <w:color w:val="1A2332"/>
          <w:sz w:val="21"/>
          <w:szCs w:val="21"/>
        </w:rPr>
        <w:t xml:space="preserve">Kategorie:</w:t>
      </w:r>
      <w:r>
        <w:rPr>
          <w:i w:val="false"/>
          <w:iCs w:val="false"/>
          <w:color w:val="1A2332"/>
          <w:sz w:val="21"/>
          <w:szCs w:val="21"/>
        </w:rPr>
        <w:t xml:space="preserve"> Externe Digital-/Betriebsabteilung mit Branchenfokus. Amplifyr ist der eine Ansprechpartner, der Systeme baut, verbindet und laufend betreibt.</w:t>
      </w:r>
    </w:p>
    <w:p>
      <w:pPr>
        <w:spacing w:after="120" w:line="300"/>
        <w:jc w:val="both"/>
      </w:pPr>
      <w:r>
        <w:rPr>
          <w:b/>
          <w:bCs/>
          <w:i w:val="false"/>
          <w:iCs w:val="false"/>
          <w:color w:val="1A2332"/>
          <w:sz w:val="21"/>
          <w:szCs w:val="21"/>
        </w:rPr>
        <w:t xml:space="preserve">Zielkunde:</w:t>
      </w:r>
      <w:r>
        <w:rPr>
          <w:i w:val="false"/>
          <w:iCs w:val="false"/>
          <w:color w:val="1A2332"/>
          <w:sz w:val="21"/>
          <w:szCs w:val="21"/>
        </w:rPr>
        <w:t xml:space="preserve"> Inhabergeführte Bewirtschafter und Bau-/Handwerksbetriebe (rund 5–50 Mitarbeitende), die zu klein für eigene IT und zu gross für «machen wir nebenbei» sind.</w:t>
      </w:r>
    </w:p>
    <w:p>
      <w:pPr>
        <w:spacing w:after="120" w:line="300"/>
        <w:jc w:val="both"/>
      </w:pPr>
      <w:r>
        <w:rPr>
          <w:b/>
          <w:bCs/>
          <w:i w:val="false"/>
          <w:iCs w:val="false"/>
          <w:color w:val="1A2332"/>
          <w:sz w:val="21"/>
          <w:szCs w:val="21"/>
        </w:rPr>
        <w:t xml:space="preserve">Claim:</w:t>
      </w:r>
      <w:r>
        <w:rPr>
          <w:i w:val="false"/>
          <w:iCs w:val="false"/>
          <w:color w:val="1A2332"/>
          <w:sz w:val="21"/>
          <w:szCs w:val="21"/>
        </w:rPr>
        <w:t xml:space="preserve"> «Sie führen Ihren Betrieb. Wir führen das Digitale.»</w:t>
      </w:r>
    </w:p>
    <w:p>
      <w:pPr>
        <w:spacing w:after="120" w:line="300"/>
        <w:jc w:val="both"/>
      </w:pPr>
      <w:r>
        <w:rPr>
          <w:b/>
          <w:bCs/>
          <w:i w:val="false"/>
          <w:iCs w:val="false"/>
          <w:color w:val="1A2332"/>
          <w:sz w:val="21"/>
          <w:szCs w:val="21"/>
        </w:rPr>
        <w:t xml:space="preserve">Geschäftsmodell:</w:t>
      </w:r>
      <w:r>
        <w:rPr>
          <w:i w:val="false"/>
          <w:iCs w:val="false"/>
          <w:color w:val="1A2332"/>
          <w:sz w:val="21"/>
          <w:szCs w:val="21"/>
        </w:rPr>
        <w:t xml:space="preserve"> Recurring-Betriebspaket (monatliche Pauschale) als Basis, Boutique-Partnerschaften für grössere Kunden, bezahlter Fahrplan als Einstieg. MSP steckt im Betriebspaket, nicht im Schaufenster.</w:t>
      </w:r>
    </w:p>
    <w:p>
      <w:pPr>
        <w:spacing w:after="120" w:line="300"/>
        <w:jc w:val="both"/>
      </w:pPr>
      <w:r>
        <w:rPr>
          <w:b/>
          <w:bCs/>
          <w:i w:val="false"/>
          <w:iCs w:val="false"/>
          <w:color w:val="1A2332"/>
          <w:sz w:val="21"/>
          <w:szCs w:val="21"/>
        </w:rPr>
        <w:t xml:space="preserve">Chancen:</w:t>
      </w:r>
      <w:r>
        <w:rPr>
          <w:i w:val="false"/>
          <w:iCs w:val="false"/>
          <w:color w:val="1A2332"/>
          <w:sz w:val="21"/>
          <w:szCs w:val="21"/>
        </w:rPr>
        <w:t xml:space="preserve"> Trifft die offene Marktlücke exakt (Beratung + Betrieb aus einer Hand für KMU). Trägt beide Zielsegmente unter einem Dach. «Abteilung» ist für jeden Betriebsinhaber sofort verständlich (er weiss, was eine Buchhaltung oder Personalabteilung ist). Recurring = planbarer Cashflow.</w:t>
      </w:r>
    </w:p>
    <w:p>
      <w:pPr>
        <w:spacing w:after="120" w:line="300"/>
        <w:jc w:val="both"/>
      </w:pPr>
      <w:r>
        <w:rPr>
          <w:b/>
          <w:bCs/>
          <w:i w:val="false"/>
          <w:iCs w:val="false"/>
          <w:color w:val="1A2332"/>
          <w:sz w:val="21"/>
          <w:szCs w:val="21"/>
        </w:rPr>
        <w:t xml:space="preserve">Risiken:</w:t>
      </w:r>
      <w:r>
        <w:rPr>
          <w:i w:val="false"/>
          <w:iCs w:val="false"/>
          <w:color w:val="1A2332"/>
          <w:sz w:val="21"/>
          <w:szCs w:val="21"/>
        </w:rPr>
        <w:t xml:space="preserve"> «Digital-Abteilung» ist noch generisch, wenn nicht mit konkreten Use Cases gefüllt. Verantwortungsversprechen braucht saubere SLA-/Haftungsdefinition (Kapitel 10).</w:t>
      </w:r>
    </w:p>
    <w:p>
      <w:pPr>
        <w:spacing w:after="120" w:line="300"/>
        <w:jc w:val="both"/>
      </w:pPr>
      <w:r>
        <w:rPr>
          <w:b/>
          <w:bCs/>
          <w:i w:val="false"/>
          <w:iCs w:val="false"/>
          <w:color w:val="1A2332"/>
          <w:sz w:val="21"/>
          <w:szCs w:val="21"/>
        </w:rPr>
        <w:t xml:space="preserve">Voraussetzungen:</w:t>
      </w:r>
      <w:r>
        <w:rPr>
          <w:i w:val="false"/>
          <w:iCs w:val="false"/>
          <w:color w:val="1A2332"/>
          <w:sz w:val="21"/>
          <w:szCs w:val="21"/>
        </w:rPr>
        <w:t xml:space="preserve"> Produktisierte Bausteine, damit drei Köpfe viele Kunden bedienen können; klarer Leistungsumfang, damit «Gesamtverantwortung» nicht grenzenlos wird.</w:t>
      </w:r>
    </w:p>
    <w:p>
      <w:pPr>
        <w:pStyle w:val="Heading2"/>
        <w:spacing w:after="100" w:before="240"/>
      </w:pPr>
      <w:r>
        <w:rPr>
          <w:b/>
          <w:bCs/>
          <w:color w:val="1A2332"/>
          <w:sz w:val="24"/>
          <w:szCs w:val="24"/>
        </w:rPr>
        <w:t xml:space="preserve">5.2 Option B — «Der digitale Generalunternehmer für Bau und Immobilien»</w:t>
      </w:r>
    </w:p>
    <w:p>
      <w:pPr>
        <w:spacing w:after="120" w:line="300"/>
        <w:jc w:val="both"/>
      </w:pPr>
      <w:r>
        <w:rPr>
          <w:b/>
          <w:bCs/>
          <w:i w:val="false"/>
          <w:iCs w:val="false"/>
          <w:color w:val="1A2332"/>
          <w:sz w:val="21"/>
          <w:szCs w:val="21"/>
        </w:rPr>
        <w:t xml:space="preserve">Kategorie:</w:t>
      </w:r>
      <w:r>
        <w:rPr>
          <w:i w:val="false"/>
          <w:iCs w:val="false"/>
          <w:color w:val="1A2332"/>
          <w:sz w:val="21"/>
          <w:szCs w:val="21"/>
        </w:rPr>
        <w:t xml:space="preserve"> Digitaler GU — ein Vertrag, ein Verantwortlicher, koordinierte «Subunternehmer» (Softwareanbieter), garantiertes Resultat. (Wird auf der Handwerker-Seite bereits verwendet.)</w:t>
      </w:r>
    </w:p>
    <w:p>
      <w:pPr>
        <w:spacing w:after="120" w:line="300"/>
        <w:jc w:val="both"/>
      </w:pPr>
      <w:r>
        <w:rPr>
          <w:b/>
          <w:bCs/>
          <w:i w:val="false"/>
          <w:iCs w:val="false"/>
          <w:color w:val="1A2332"/>
          <w:sz w:val="21"/>
          <w:szCs w:val="21"/>
        </w:rPr>
        <w:t xml:space="preserve">Zielkunde:</w:t>
      </w:r>
      <w:r>
        <w:rPr>
          <w:i w:val="false"/>
          <w:iCs w:val="false"/>
          <w:color w:val="1A2332"/>
          <w:sz w:val="21"/>
          <w:szCs w:val="21"/>
        </w:rPr>
        <w:t xml:space="preserve"> wie A.</w:t>
      </w:r>
    </w:p>
    <w:p>
      <w:pPr>
        <w:spacing w:after="120" w:line="300"/>
        <w:jc w:val="both"/>
      </w:pPr>
      <w:r>
        <w:rPr>
          <w:b/>
          <w:bCs/>
          <w:i w:val="false"/>
          <w:iCs w:val="false"/>
          <w:color w:val="1A2332"/>
          <w:sz w:val="21"/>
          <w:szCs w:val="21"/>
        </w:rPr>
        <w:t xml:space="preserve">Claim:</w:t>
      </w:r>
      <w:r>
        <w:rPr>
          <w:i w:val="false"/>
          <w:iCs w:val="false"/>
          <w:color w:val="1A2332"/>
          <w:sz w:val="21"/>
          <w:szCs w:val="21"/>
        </w:rPr>
        <w:t xml:space="preserve"> «Ihr digitaler Generalunternehmer — ein Vertrag, ein Ergebnis.»</w:t>
      </w:r>
    </w:p>
    <w:p>
      <w:pPr>
        <w:spacing w:after="120" w:line="300"/>
        <w:jc w:val="both"/>
      </w:pPr>
      <w:r>
        <w:rPr>
          <w:b/>
          <w:bCs/>
          <w:i w:val="false"/>
          <w:iCs w:val="false"/>
          <w:color w:val="1A2332"/>
          <w:sz w:val="21"/>
          <w:szCs w:val="21"/>
        </w:rPr>
        <w:t xml:space="preserve">Geschäftsmodell:</w:t>
      </w:r>
      <w:r>
        <w:rPr>
          <w:i w:val="false"/>
          <w:iCs w:val="false"/>
          <w:color w:val="1A2332"/>
          <w:sz w:val="21"/>
          <w:szCs w:val="21"/>
        </w:rPr>
        <w:t xml:space="preserve"> wie A.</w:t>
      </w:r>
    </w:p>
    <w:p>
      <w:pPr>
        <w:spacing w:after="120" w:line="300"/>
        <w:jc w:val="both"/>
      </w:pPr>
      <w:r>
        <w:rPr>
          <w:b/>
          <w:bCs/>
          <w:i w:val="false"/>
          <w:iCs w:val="false"/>
          <w:color w:val="1A2332"/>
          <w:sz w:val="21"/>
          <w:szCs w:val="21"/>
        </w:rPr>
        <w:t xml:space="preserve">Chancen:</w:t>
      </w:r>
      <w:r>
        <w:rPr>
          <w:i w:val="false"/>
          <w:iCs w:val="false"/>
          <w:color w:val="1A2332"/>
          <w:sz w:val="21"/>
          <w:szCs w:val="21"/>
        </w:rPr>
        <w:t xml:space="preserve"> Die Metapher ist in Bau und Immobilien brillant, weil der Kunde einen GU </w:t>
      </w:r>
      <w:r>
        <w:rPr>
          <w:i w:val="false"/>
          <w:iCs w:val="false"/>
          <w:color w:val="1A2332"/>
          <w:sz w:val="21"/>
          <w:szCs w:val="21"/>
        </w:rPr>
        <w:t xml:space="preserve">kennt</w:t>
      </w:r>
      <w:r>
        <w:rPr>
          <w:i w:val="false"/>
          <w:iCs w:val="false"/>
          <w:color w:val="1A2332"/>
          <w:sz w:val="21"/>
          <w:szCs w:val="21"/>
        </w:rPr>
        <w:t xml:space="preserve">: eine Nummer, die man anruft, wenn etwas nicht funktioniert. Der Begriff ist als Marke im DACH-Raum faktisch nicht besetzt. Er transportiert Verantwortungsübernahme in einem Wort.</w:t>
      </w:r>
    </w:p>
    <w:p>
      <w:pPr>
        <w:spacing w:after="120" w:line="300"/>
        <w:jc w:val="both"/>
      </w:pPr>
      <w:r>
        <w:rPr>
          <w:b/>
          <w:bCs/>
          <w:i w:val="false"/>
          <w:iCs w:val="false"/>
          <w:color w:val="1A2332"/>
          <w:sz w:val="21"/>
          <w:szCs w:val="21"/>
        </w:rPr>
        <w:t xml:space="preserve">Risiken:</w:t>
      </w:r>
      <w:r>
        <w:rPr>
          <w:i w:val="false"/>
          <w:iCs w:val="false"/>
          <w:color w:val="1A2332"/>
          <w:sz w:val="21"/>
          <w:szCs w:val="21"/>
        </w:rPr>
        <w:t xml:space="preserve"> </w:t>
      </w:r>
      <w:r>
        <w:rPr>
          <w:i w:val="false"/>
          <w:iCs w:val="false"/>
          <w:color w:val="1A2332"/>
          <w:sz w:val="21"/>
          <w:szCs w:val="21"/>
        </w:rPr>
        <w:t xml:space="preserve">Hier liegt das Problem.</w:t>
      </w:r>
      <w:r>
        <w:rPr>
          <w:i w:val="false"/>
          <w:iCs w:val="false"/>
          <w:color w:val="1A2332"/>
          <w:sz w:val="21"/>
          <w:szCs w:val="21"/>
        </w:rPr>
        <w:t xml:space="preserve"> «Generalunternehmer» ist im Schweizer Bau juristisch schwer aufgeladen — Werkvertrag (Art. 363 ff. OR), meist Pauschal-/Festpreis, Termin- und Kostengarantie, alleinige und volle Verantwortung fürs Gesamtprojekt, bei Vereinbarung SIA 118, faktisch Solidarhaftungserwartung (weka.ch, rischbaurecht.ch). Ein 3-Personen-</w:t>
      </w:r>
      <w:r>
        <w:rPr>
          <w:i w:val="false"/>
          <w:iCs w:val="false"/>
          <w:color w:val="1A2332"/>
          <w:sz w:val="21"/>
          <w:szCs w:val="21"/>
        </w:rPr>
        <w:t xml:space="preserve">Digitalisierungs</w:t>
      </w:r>
      <w:r>
        <w:rPr>
          <w:i w:val="false"/>
          <w:iCs w:val="false"/>
          <w:color w:val="1A2332"/>
          <w:sz w:val="21"/>
          <w:szCs w:val="21"/>
        </w:rPr>
        <w:t xml:space="preserve">dienstleister, der so auftritt, weckt unbeabsichtigte Garantie- und Haftungserwartungen und riskiert Verwechslung mit echten Bau-GU. Genau die Zielgruppe, die den Begriff am besten versteht, versteht ihn auch am wörtlichsten.</w:t>
      </w:r>
    </w:p>
    <w:p>
      <w:pPr>
        <w:spacing w:after="120" w:line="300"/>
        <w:jc w:val="both"/>
      </w:pPr>
      <w:r>
        <w:rPr>
          <w:b/>
          <w:bCs/>
          <w:i w:val="false"/>
          <w:iCs w:val="false"/>
          <w:color w:val="1A2332"/>
          <w:sz w:val="21"/>
          <w:szCs w:val="21"/>
        </w:rPr>
        <w:t xml:space="preserve">Voraussetzungen:</w:t>
      </w:r>
      <w:r>
        <w:rPr>
          <w:i w:val="false"/>
          <w:iCs w:val="false"/>
          <w:color w:val="1A2332"/>
          <w:sz w:val="21"/>
          <w:szCs w:val="21"/>
        </w:rPr>
        <w:t xml:space="preserve"> Nur tragbar mit expliziter Abgrenzung («kein Bau-GU, keine Werkvertragshaftung») — was den Begriff im selben Atemzug entwertet.</w:t>
      </w:r>
    </w:p>
    <w:p>
      <w:pPr>
        <w:pStyle w:val="Heading2"/>
        <w:spacing w:after="100" w:before="240"/>
      </w:pPr>
      <w:r>
        <w:rPr>
          <w:b/>
          <w:bCs/>
          <w:color w:val="1A2332"/>
          <w:sz w:val="24"/>
          <w:szCs w:val="24"/>
        </w:rPr>
        <w:t xml:space="preserve">5.3 Option C — «Wir übernehmen Ihre Administration» (Service statt Software)</w:t>
      </w:r>
    </w:p>
    <w:p>
      <w:pPr>
        <w:spacing w:after="120" w:line="300"/>
        <w:jc w:val="both"/>
      </w:pPr>
      <w:r>
        <w:rPr>
          <w:b/>
          <w:bCs/>
          <w:i w:val="false"/>
          <w:iCs w:val="false"/>
          <w:color w:val="1A2332"/>
          <w:sz w:val="21"/>
          <w:szCs w:val="21"/>
        </w:rPr>
        <w:t xml:space="preserve">Kategorie:</w:t>
      </w:r>
      <w:r>
        <w:rPr>
          <w:i w:val="false"/>
          <w:iCs w:val="false"/>
          <w:color w:val="1A2332"/>
          <w:sz w:val="21"/>
          <w:szCs w:val="21"/>
        </w:rPr>
        <w:t xml:space="preserve"> Ausgelagerte Betriebsadministration / «Backoffice as a Service» für Bau und Immobilien — verkauft wird das Ergebnis (weniger Papierkram, mehr Kapazität), nicht das System.</w:t>
      </w:r>
    </w:p>
    <w:p>
      <w:pPr>
        <w:spacing w:after="120" w:line="300"/>
        <w:jc w:val="both"/>
      </w:pPr>
      <w:r>
        <w:rPr>
          <w:b/>
          <w:bCs/>
          <w:i w:val="false"/>
          <w:iCs w:val="false"/>
          <w:color w:val="1A2332"/>
          <w:sz w:val="21"/>
          <w:szCs w:val="21"/>
        </w:rPr>
        <w:t xml:space="preserve">Zielkunde:</w:t>
      </w:r>
      <w:r>
        <w:rPr>
          <w:i w:val="false"/>
          <w:iCs w:val="false"/>
          <w:color w:val="1A2332"/>
          <w:sz w:val="21"/>
          <w:szCs w:val="21"/>
        </w:rPr>
        <w:t xml:space="preserve"> wie A, mit Schwerpunkt auf den administrativen Schmerz.</w:t>
      </w:r>
    </w:p>
    <w:p>
      <w:pPr>
        <w:spacing w:after="120" w:line="300"/>
        <w:jc w:val="both"/>
      </w:pPr>
      <w:r>
        <w:rPr>
          <w:b/>
          <w:bCs/>
          <w:i w:val="false"/>
          <w:iCs w:val="false"/>
          <w:color w:val="1A2332"/>
          <w:sz w:val="21"/>
          <w:szCs w:val="21"/>
        </w:rPr>
        <w:t xml:space="preserve">Claim:</w:t>
      </w:r>
      <w:r>
        <w:rPr>
          <w:i w:val="false"/>
          <w:iCs w:val="false"/>
          <w:color w:val="1A2332"/>
          <w:sz w:val="21"/>
          <w:szCs w:val="21"/>
        </w:rPr>
        <w:t xml:space="preserve"> «Weniger Büro. Mehr Betrieb.» / «Wir nehmen Ihnen das Büro ab.»</w:t>
      </w:r>
    </w:p>
    <w:p>
      <w:pPr>
        <w:spacing w:after="120" w:line="300"/>
        <w:jc w:val="both"/>
      </w:pPr>
      <w:r>
        <w:rPr>
          <w:b/>
          <w:bCs/>
          <w:i w:val="false"/>
          <w:iCs w:val="false"/>
          <w:color w:val="1A2332"/>
          <w:sz w:val="21"/>
          <w:szCs w:val="21"/>
        </w:rPr>
        <w:t xml:space="preserve">Geschäftsmodell:</w:t>
      </w:r>
      <w:r>
        <w:rPr>
          <w:i w:val="false"/>
          <w:iCs w:val="false"/>
          <w:color w:val="1A2332"/>
          <w:sz w:val="21"/>
          <w:szCs w:val="21"/>
        </w:rPr>
        <w:t xml:space="preserve"> Recurring, ergebnisbasiert; Amplifyr betreibt Prozesse (Telefon/Anfragen, Offerten, Rapporte, Rechnungslauf) teils selbst, teils automatisiert.</w:t>
      </w:r>
    </w:p>
    <w:p>
      <w:pPr>
        <w:spacing w:after="120" w:line="300"/>
        <w:jc w:val="both"/>
      </w:pPr>
      <w:r>
        <w:rPr>
          <w:b/>
          <w:bCs/>
          <w:i w:val="false"/>
          <w:iCs w:val="false"/>
          <w:color w:val="1A2332"/>
          <w:sz w:val="21"/>
          <w:szCs w:val="21"/>
        </w:rPr>
        <w:t xml:space="preserve">Chancen:</w:t>
      </w:r>
      <w:r>
        <w:rPr>
          <w:i w:val="false"/>
          <w:iCs w:val="false"/>
          <w:color w:val="1A2332"/>
          <w:sz w:val="21"/>
          <w:szCs w:val="21"/>
        </w:rPr>
        <w:t xml:space="preserve"> Maximale Verständlichkeit und Betroffenheit — trifft den meistgenannten Schmerz direkt. Nah an dem, was die Demos versprechen.</w:t>
      </w:r>
    </w:p>
    <w:p>
      <w:pPr>
        <w:spacing w:after="120" w:line="300"/>
        <w:jc w:val="both"/>
      </w:pPr>
      <w:r>
        <w:rPr>
          <w:b/>
          <w:bCs/>
          <w:i w:val="false"/>
          <w:iCs w:val="false"/>
          <w:color w:val="1A2332"/>
          <w:sz w:val="21"/>
          <w:szCs w:val="21"/>
        </w:rPr>
        <w:t xml:space="preserve">Risiken:</w:t>
      </w:r>
      <w:r>
        <w:rPr>
          <w:i w:val="false"/>
          <w:iCs w:val="false"/>
          <w:color w:val="1A2332"/>
          <w:sz w:val="21"/>
          <w:szCs w:val="21"/>
        </w:rPr>
        <w:t xml:space="preserve"> Kippt leicht ins BPO-/Outsourcing-Geschäft (Sie </w:t>
      </w:r>
      <w:r>
        <w:rPr>
          <w:i w:val="false"/>
          <w:iCs w:val="false"/>
          <w:color w:val="1A2332"/>
          <w:sz w:val="21"/>
          <w:szCs w:val="21"/>
        </w:rPr>
        <w:t xml:space="preserve">arbeiten</w:t>
      </w:r>
      <w:r>
        <w:rPr>
          <w:i w:val="false"/>
          <w:iCs w:val="false"/>
          <w:color w:val="1A2332"/>
          <w:sz w:val="21"/>
          <w:szCs w:val="21"/>
        </w:rPr>
        <w:t xml:space="preserve"> dann für den Kunden statt ihn zu befähigen) — das ist personalintensiv und skaliert mit drei Köpfen schlecht. Verwischt die IT-/Systemkompetenz von Sinan, die ein echtes Asset ist. Verschenkt die verteidigungsfähige Datenketten-Position (Kapitel 6.4).</w:t>
      </w:r>
    </w:p>
    <w:p>
      <w:pPr>
        <w:spacing w:after="120" w:line="300"/>
        <w:jc w:val="both"/>
      </w:pPr>
      <w:r>
        <w:rPr>
          <w:b/>
          <w:bCs/>
          <w:i w:val="false"/>
          <w:iCs w:val="false"/>
          <w:color w:val="1A2332"/>
          <w:sz w:val="21"/>
          <w:szCs w:val="21"/>
        </w:rPr>
        <w:t xml:space="preserve">Voraussetzungen:</w:t>
      </w:r>
      <w:r>
        <w:rPr>
          <w:i w:val="false"/>
          <w:iCs w:val="false"/>
          <w:color w:val="1A2332"/>
          <w:sz w:val="21"/>
          <w:szCs w:val="21"/>
        </w:rPr>
        <w:t xml:space="preserve"> Strikte Automatisierung statt Handarbeit; sonst wird aus Service Maloche.</w:t>
      </w:r>
    </w:p>
    <w:p>
      <w:pPr>
        <w:pStyle w:val="Heading2"/>
        <w:spacing w:after="100" w:before="240"/>
      </w:pPr>
      <w:r>
        <w:rPr>
          <w:b/>
          <w:bCs/>
          <w:color w:val="1A2332"/>
          <w:sz w:val="24"/>
          <w:szCs w:val="24"/>
        </w:rPr>
        <w:t xml:space="preserve">5.4 Option D — «Digitalisierungsberatung für Bau und Immobilien» (klassisch)</w:t>
      </w:r>
    </w:p>
    <w:p>
      <w:pPr>
        <w:spacing w:after="120" w:line="300"/>
        <w:jc w:val="both"/>
      </w:pPr>
      <w:r>
        <w:rPr>
          <w:b/>
          <w:bCs/>
          <w:i w:val="false"/>
          <w:iCs w:val="false"/>
          <w:color w:val="1A2332"/>
          <w:sz w:val="21"/>
          <w:szCs w:val="21"/>
        </w:rPr>
        <w:t xml:space="preserve">Kategorie:</w:t>
      </w:r>
      <w:r>
        <w:rPr>
          <w:i w:val="false"/>
          <w:iCs w:val="false"/>
          <w:color w:val="1A2332"/>
          <w:sz w:val="21"/>
          <w:szCs w:val="21"/>
        </w:rPr>
        <w:t xml:space="preserve"> Spezialisierte Beratung/Umsetzung, projektbasiert — das kleine, nahbare Gegenstück zu pom+.</w:t>
      </w:r>
    </w:p>
    <w:p>
      <w:pPr>
        <w:spacing w:after="120" w:line="300"/>
        <w:jc w:val="both"/>
      </w:pPr>
      <w:r>
        <w:rPr>
          <w:b/>
          <w:bCs/>
          <w:i w:val="false"/>
          <w:iCs w:val="false"/>
          <w:color w:val="1A2332"/>
          <w:sz w:val="21"/>
          <w:szCs w:val="21"/>
        </w:rPr>
        <w:t xml:space="preserve">Zielkunde:</w:t>
      </w:r>
      <w:r>
        <w:rPr>
          <w:i w:val="false"/>
          <w:iCs w:val="false"/>
          <w:color w:val="1A2332"/>
          <w:sz w:val="21"/>
          <w:szCs w:val="21"/>
        </w:rPr>
        <w:t xml:space="preserve"> eher grössere Bewirtschafter und Bauunternehmen mit Digitalisierungsbudget.</w:t>
      </w:r>
    </w:p>
    <w:p>
      <w:pPr>
        <w:spacing w:after="120" w:line="300"/>
        <w:jc w:val="both"/>
      </w:pPr>
      <w:r>
        <w:rPr>
          <w:b/>
          <w:bCs/>
          <w:i w:val="false"/>
          <w:iCs w:val="false"/>
          <w:color w:val="1A2332"/>
          <w:sz w:val="21"/>
          <w:szCs w:val="21"/>
        </w:rPr>
        <w:t xml:space="preserve">Claim:</w:t>
      </w:r>
      <w:r>
        <w:rPr>
          <w:i w:val="false"/>
          <w:iCs w:val="false"/>
          <w:color w:val="1A2332"/>
          <w:sz w:val="21"/>
          <w:szCs w:val="21"/>
        </w:rPr>
        <w:t xml:space="preserve"> «Digitalisierung, die im Betrieb ankommt.»</w:t>
      </w:r>
    </w:p>
    <w:p>
      <w:pPr>
        <w:spacing w:after="120" w:line="300"/>
        <w:jc w:val="both"/>
      </w:pPr>
      <w:r>
        <w:rPr>
          <w:b/>
          <w:bCs/>
          <w:i w:val="false"/>
          <w:iCs w:val="false"/>
          <w:color w:val="1A2332"/>
          <w:sz w:val="21"/>
          <w:szCs w:val="21"/>
        </w:rPr>
        <w:t xml:space="preserve">Geschäftsmodell:</w:t>
      </w:r>
      <w:r>
        <w:rPr>
          <w:i w:val="false"/>
          <w:iCs w:val="false"/>
          <w:color w:val="1A2332"/>
          <w:sz w:val="21"/>
          <w:szCs w:val="21"/>
        </w:rPr>
        <w:t xml:space="preserve"> Beratungs-/Projektmandate (Tagessatz), optional Betrieb als Zusatz.</w:t>
      </w:r>
    </w:p>
    <w:p>
      <w:pPr>
        <w:spacing w:after="120" w:line="300"/>
        <w:jc w:val="both"/>
      </w:pPr>
      <w:r>
        <w:rPr>
          <w:b/>
          <w:bCs/>
          <w:i w:val="false"/>
          <w:iCs w:val="false"/>
          <w:color w:val="1A2332"/>
          <w:sz w:val="21"/>
          <w:szCs w:val="21"/>
        </w:rPr>
        <w:t xml:space="preserve">Chancen:</w:t>
      </w:r>
      <w:r>
        <w:rPr>
          <w:i w:val="false"/>
          <w:iCs w:val="false"/>
          <w:color w:val="1A2332"/>
          <w:sz w:val="21"/>
          <w:szCs w:val="21"/>
        </w:rPr>
        <w:t xml:space="preserve"> Höhere Einzeltickets, klarer Referenzaufbau, Timos Profil (MSc Real Estate &amp; Finance, MIT-Zertifikat) passt.</w:t>
      </w:r>
    </w:p>
    <w:p>
      <w:pPr>
        <w:spacing w:after="120" w:line="300"/>
        <w:jc w:val="both"/>
      </w:pPr>
      <w:r>
        <w:rPr>
          <w:b/>
          <w:bCs/>
          <w:i w:val="false"/>
          <w:iCs w:val="false"/>
          <w:color w:val="1A2332"/>
          <w:sz w:val="21"/>
          <w:szCs w:val="21"/>
        </w:rPr>
        <w:t xml:space="preserve">Risiken:</w:t>
      </w:r>
      <w:r>
        <w:rPr>
          <w:i w:val="false"/>
          <w:iCs w:val="false"/>
          <w:color w:val="1A2332"/>
          <w:sz w:val="21"/>
          <w:szCs w:val="21"/>
        </w:rPr>
        <w:t xml:space="preserve"> Projektgeschäft ist der </w:t>
      </w:r>
      <w:r>
        <w:rPr>
          <w:i w:val="false"/>
          <w:iCs w:val="false"/>
          <w:color w:val="1A2332"/>
          <w:sz w:val="21"/>
          <w:szCs w:val="21"/>
        </w:rPr>
        <w:t xml:space="preserve">unzuverlässigste</w:t>
      </w:r>
      <w:r>
        <w:rPr>
          <w:i w:val="false"/>
          <w:iCs w:val="false"/>
          <w:color w:val="1A2332"/>
          <w:sz w:val="21"/>
          <w:szCs w:val="21"/>
        </w:rPr>
        <w:t xml:space="preserve"> Cashflow für ein junges Unternehmen ohne Referenzen — genau das Gegenteil dessen, was Sie brauchen. Konkurriert direkt mit etablierten Beratern auf deren Feld. Kein Recurring, kein Netzwerkeffekt. Verschenkt Sinans Betriebskompetenz.</w:t>
      </w:r>
    </w:p>
    <w:p>
      <w:pPr>
        <w:spacing w:after="120" w:line="300"/>
        <w:jc w:val="both"/>
      </w:pPr>
      <w:r>
        <w:rPr>
          <w:b/>
          <w:bCs/>
          <w:i w:val="false"/>
          <w:iCs w:val="false"/>
          <w:color w:val="1A2332"/>
          <w:sz w:val="21"/>
          <w:szCs w:val="21"/>
        </w:rPr>
        <w:t xml:space="preserve">Voraussetzungen:</w:t>
      </w:r>
      <w:r>
        <w:rPr>
          <w:i w:val="false"/>
          <w:iCs w:val="false"/>
          <w:color w:val="1A2332"/>
          <w:sz w:val="21"/>
          <w:szCs w:val="21"/>
        </w:rPr>
        <w:t xml:space="preserve"> Referenzdichte und Reputation, die Sie noch nicht haben.</w:t>
      </w:r>
    </w:p>
    <w:p>
      <w:pPr>
        <w:pStyle w:val="Heading2"/>
        <w:spacing w:after="100" w:before="240"/>
      </w:pPr>
      <w:r>
        <w:rPr>
          <w:b/>
          <w:bCs/>
          <w:color w:val="1A2332"/>
          <w:sz w:val="24"/>
          <w:szCs w:val="24"/>
        </w:rPr>
        <w:t xml:space="preserve">5.5 Bewertungsmatrix</w:t>
      </w:r>
    </w:p>
    <w:p>
      <w:pPr>
        <w:spacing w:after="120" w:line="300"/>
        <w:jc w:val="both"/>
      </w:pPr>
      <w:r>
        <w:rPr>
          <w:i w:val="false"/>
          <w:iCs w:val="false"/>
          <w:color w:val="1A2332"/>
          <w:sz w:val="21"/>
          <w:szCs w:val="21"/>
        </w:rPr>
        <w:t xml:space="preserve">Skala 1 (schwach) bis 5 (stark).</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1872"/>
        <w:gridCol w:w="1872"/>
        <w:gridCol w:w="1872"/>
        <w:gridCol w:w="1872"/>
        <w:gridCol w:w="1872"/>
      </w:tblGrid>
      <w:tr>
        <w:trPr>
          <w:tblHeader/>
        </w:trPr>
        <w:tc>
          <w:tcPr>
            <w:tcW w:type="dxa" w:w="1872"/>
            <w:shd w:fill="2E6E8E" w:color="auto" w:val="clear"/>
            <w:tcMar>
              <w:top w:type="dxa" w:w="60"/>
              <w:left w:type="dxa" w:w="100"/>
              <w:bottom w:type="dxa" w:w="60"/>
              <w:right w:type="dxa" w:w="100"/>
            </w:tcMar>
          </w:tcPr>
          <w:p>
            <w:pPr>
              <w:spacing w:after="20" w:before="20"/>
            </w:pPr>
            <w:r>
              <w:rPr>
                <w:b/>
                <w:bCs/>
                <w:color w:val="FFFFFF"/>
                <w:sz w:val="18"/>
                <w:szCs w:val="18"/>
              </w:rPr>
              <w:t xml:space="preserve">Kriterium</w:t>
            </w:r>
          </w:p>
        </w:tc>
        <w:tc>
          <w:tcPr>
            <w:tcW w:type="dxa" w:w="1872"/>
            <w:shd w:fill="2E6E8E" w:color="auto" w:val="clear"/>
            <w:tcMar>
              <w:top w:type="dxa" w:w="60"/>
              <w:left w:type="dxa" w:w="100"/>
              <w:bottom w:type="dxa" w:w="60"/>
              <w:right w:type="dxa" w:w="100"/>
            </w:tcMar>
          </w:tcPr>
          <w:p>
            <w:pPr>
              <w:spacing w:after="20" w:before="20"/>
            </w:pPr>
            <w:r>
              <w:rPr>
                <w:b/>
                <w:bCs/>
                <w:color w:val="FFFFFF"/>
                <w:sz w:val="18"/>
                <w:szCs w:val="18"/>
              </w:rPr>
              <w:t xml:space="preserve">A: Digital-Abteilung</w:t>
            </w:r>
          </w:p>
        </w:tc>
        <w:tc>
          <w:tcPr>
            <w:tcW w:type="dxa" w:w="1872"/>
            <w:shd w:fill="2E6E8E" w:color="auto" w:val="clear"/>
            <w:tcMar>
              <w:top w:type="dxa" w:w="60"/>
              <w:left w:type="dxa" w:w="100"/>
              <w:bottom w:type="dxa" w:w="60"/>
              <w:right w:type="dxa" w:w="100"/>
            </w:tcMar>
          </w:tcPr>
          <w:p>
            <w:pPr>
              <w:spacing w:after="20" w:before="20"/>
            </w:pPr>
            <w:r>
              <w:rPr>
                <w:b/>
                <w:bCs/>
                <w:color w:val="FFFFFF"/>
                <w:sz w:val="18"/>
                <w:szCs w:val="18"/>
              </w:rPr>
              <w:t xml:space="preserve">B: Digitaler GU</w:t>
            </w:r>
          </w:p>
        </w:tc>
        <w:tc>
          <w:tcPr>
            <w:tcW w:type="dxa" w:w="1872"/>
            <w:shd w:fill="2E6E8E" w:color="auto" w:val="clear"/>
            <w:tcMar>
              <w:top w:type="dxa" w:w="60"/>
              <w:left w:type="dxa" w:w="100"/>
              <w:bottom w:type="dxa" w:w="60"/>
              <w:right w:type="dxa" w:w="100"/>
            </w:tcMar>
          </w:tcPr>
          <w:p>
            <w:pPr>
              <w:spacing w:after="20" w:before="20"/>
            </w:pPr>
            <w:r>
              <w:rPr>
                <w:b/>
                <w:bCs/>
                <w:color w:val="FFFFFF"/>
                <w:sz w:val="18"/>
                <w:szCs w:val="18"/>
              </w:rPr>
              <w:t xml:space="preserve">C: Administration übernehmen</w:t>
            </w:r>
          </w:p>
        </w:tc>
        <w:tc>
          <w:tcPr>
            <w:tcW w:type="dxa" w:w="1872"/>
            <w:shd w:fill="2E6E8E" w:color="auto" w:val="clear"/>
            <w:tcMar>
              <w:top w:type="dxa" w:w="60"/>
              <w:left w:type="dxa" w:w="100"/>
              <w:bottom w:type="dxa" w:w="60"/>
              <w:right w:type="dxa" w:w="100"/>
            </w:tcMar>
          </w:tcPr>
          <w:p>
            <w:pPr>
              <w:spacing w:after="20" w:before="20"/>
            </w:pPr>
            <w:r>
              <w:rPr>
                <w:b/>
                <w:bCs/>
                <w:color w:val="FFFFFF"/>
                <w:sz w:val="18"/>
                <w:szCs w:val="18"/>
              </w:rPr>
              <w:t xml:space="preserve">D: Beratung</w:t>
            </w:r>
          </w:p>
        </w:tc>
      </w:tr>
      <w:tr>
        <w:trPr>
          <w:tblHeader w:val="false"/>
        </w:trPr>
        <w:tc>
          <w:tcPr>
            <w:tcW w:type="dxa" w:w="1872"/>
            <w:tcMar>
              <w:top w:type="dxa" w:w="60"/>
              <w:left w:type="dxa" w:w="100"/>
              <w:bottom w:type="dxa" w:w="60"/>
              <w:right w:type="dxa" w:w="100"/>
            </w:tcMar>
          </w:tcPr>
          <w:p>
            <w:pPr>
              <w:spacing w:after="20" w:before="20"/>
            </w:pPr>
            <w:r>
              <w:rPr>
                <w:color w:val="1A2332"/>
                <w:sz w:val="18"/>
                <w:szCs w:val="18"/>
              </w:rPr>
              <w:t xml:space="preserve">Verständlich für 55-j. Betriebsinhaber</w:t>
            </w:r>
          </w:p>
        </w:tc>
        <w:tc>
          <w:tcPr>
            <w:tcW w:type="dxa" w:w="1872"/>
            <w:tcMar>
              <w:top w:type="dxa" w:w="60"/>
              <w:left w:type="dxa" w:w="100"/>
              <w:bottom w:type="dxa" w:w="60"/>
              <w:right w:type="dxa" w:w="100"/>
            </w:tcMar>
          </w:tcPr>
          <w:p>
            <w:pPr>
              <w:spacing w:after="20" w:before="20"/>
            </w:pPr>
            <w:r>
              <w:rPr>
                <w:color w:val="1A2332"/>
                <w:sz w:val="18"/>
                <w:szCs w:val="18"/>
              </w:rPr>
              <w:t xml:space="preserve">4</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3</w:t>
            </w:r>
          </w:p>
        </w:tc>
      </w:tr>
      <w:tr>
        <w:trPr>
          <w:tblHeader w:val="false"/>
        </w:trPr>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Differenzierung im CH-Markt</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3</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2</w:t>
            </w:r>
          </w:p>
        </w:tc>
      </w:tr>
      <w:tr>
        <w:trPr>
          <w:tblHeader w:val="false"/>
        </w:trPr>
        <w:tc>
          <w:tcPr>
            <w:tcW w:type="dxa" w:w="1872"/>
            <w:tcMar>
              <w:top w:type="dxa" w:w="60"/>
              <w:left w:type="dxa" w:w="100"/>
              <w:bottom w:type="dxa" w:w="60"/>
              <w:right w:type="dxa" w:w="100"/>
            </w:tcMar>
          </w:tcPr>
          <w:p>
            <w:pPr>
              <w:spacing w:after="20" w:before="20"/>
            </w:pPr>
            <w:r>
              <w:rPr>
                <w:color w:val="1A2332"/>
                <w:sz w:val="18"/>
                <w:szCs w:val="18"/>
              </w:rPr>
              <w:t xml:space="preserve">Trägt Recurring </w:t>
            </w:r>
            <w:r>
              <w:rPr>
                <w:b/>
                <w:bCs/>
                <w:color w:val="1A2332"/>
                <w:sz w:val="18"/>
                <w:szCs w:val="18"/>
              </w:rPr>
              <w:t xml:space="preserve">und</w:t>
            </w:r>
            <w:r>
              <w:rPr>
                <w:color w:val="1A2332"/>
                <w:sz w:val="18"/>
                <w:szCs w:val="18"/>
              </w:rPr>
              <w:t xml:space="preserve"> Boutique</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3</w:t>
            </w:r>
          </w:p>
        </w:tc>
        <w:tc>
          <w:tcPr>
            <w:tcW w:type="dxa" w:w="1872"/>
            <w:tcMar>
              <w:top w:type="dxa" w:w="60"/>
              <w:left w:type="dxa" w:w="100"/>
              <w:bottom w:type="dxa" w:w="60"/>
              <w:right w:type="dxa" w:w="100"/>
            </w:tcMar>
          </w:tcPr>
          <w:p>
            <w:pPr>
              <w:spacing w:after="20" w:before="20"/>
            </w:pPr>
            <w:r>
              <w:rPr>
                <w:color w:val="1A2332"/>
                <w:sz w:val="18"/>
                <w:szCs w:val="18"/>
              </w:rPr>
              <w:t xml:space="preserve">2</w:t>
            </w:r>
          </w:p>
        </w:tc>
      </w:tr>
      <w:tr>
        <w:trPr>
          <w:tblHeader w:val="false"/>
        </w:trPr>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Skalierbar mit 3 Köpfen</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2</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3</w:t>
            </w:r>
          </w:p>
        </w:tc>
      </w:tr>
      <w:tr>
        <w:trPr>
          <w:tblHeader w:val="false"/>
        </w:trPr>
        <w:tc>
          <w:tcPr>
            <w:tcW w:type="dxa" w:w="1872"/>
            <w:tcMar>
              <w:top w:type="dxa" w:w="60"/>
              <w:left w:type="dxa" w:w="100"/>
              <w:bottom w:type="dxa" w:w="60"/>
              <w:right w:type="dxa" w:w="100"/>
            </w:tcMar>
          </w:tcPr>
          <w:p>
            <w:pPr>
              <w:spacing w:after="20" w:before="20"/>
            </w:pPr>
            <w:r>
              <w:rPr>
                <w:color w:val="1A2332"/>
                <w:sz w:val="18"/>
                <w:szCs w:val="18"/>
              </w:rPr>
              <w:t xml:space="preserve">Cashflow-Stabilität</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4</w:t>
            </w:r>
          </w:p>
        </w:tc>
        <w:tc>
          <w:tcPr>
            <w:tcW w:type="dxa" w:w="1872"/>
            <w:tcMar>
              <w:top w:type="dxa" w:w="60"/>
              <w:left w:type="dxa" w:w="100"/>
              <w:bottom w:type="dxa" w:w="60"/>
              <w:right w:type="dxa" w:w="100"/>
            </w:tcMar>
          </w:tcPr>
          <w:p>
            <w:pPr>
              <w:spacing w:after="20" w:before="20"/>
            </w:pPr>
            <w:r>
              <w:rPr>
                <w:color w:val="1A2332"/>
                <w:sz w:val="18"/>
                <w:szCs w:val="18"/>
              </w:rPr>
              <w:t xml:space="preserve">2</w:t>
            </w:r>
          </w:p>
        </w:tc>
      </w:tr>
      <w:tr>
        <w:trPr>
          <w:tblHeader w:val="false"/>
        </w:trPr>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Rechtliches Risiko (5 = gering)</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2</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r>
      <w:tr>
        <w:trPr>
          <w:tblHeader w:val="false"/>
        </w:trPr>
        <w:tc>
          <w:tcPr>
            <w:tcW w:type="dxa" w:w="1872"/>
            <w:tcMar>
              <w:top w:type="dxa" w:w="60"/>
              <w:left w:type="dxa" w:w="100"/>
              <w:bottom w:type="dxa" w:w="60"/>
              <w:right w:type="dxa" w:w="100"/>
            </w:tcMar>
          </w:tcPr>
          <w:p>
            <w:pPr>
              <w:spacing w:after="20" w:before="20"/>
            </w:pPr>
            <w:r>
              <w:rPr>
                <w:color w:val="1A2332"/>
                <w:sz w:val="18"/>
                <w:szCs w:val="18"/>
              </w:rPr>
              <w:t xml:space="preserve">Nutzt Team-Kombination (Timo/David/Sinan)</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3</w:t>
            </w:r>
          </w:p>
        </w:tc>
        <w:tc>
          <w:tcPr>
            <w:tcW w:type="dxa" w:w="1872"/>
            <w:tcMar>
              <w:top w:type="dxa" w:w="60"/>
              <w:left w:type="dxa" w:w="100"/>
              <w:bottom w:type="dxa" w:w="60"/>
              <w:right w:type="dxa" w:w="100"/>
            </w:tcMar>
          </w:tcPr>
          <w:p>
            <w:pPr>
              <w:spacing w:after="20" w:before="20"/>
            </w:pPr>
            <w:r>
              <w:rPr>
                <w:color w:val="1A2332"/>
                <w:sz w:val="18"/>
                <w:szCs w:val="18"/>
              </w:rPr>
              <w:t xml:space="preserve">3</w:t>
            </w:r>
          </w:p>
        </w:tc>
      </w:tr>
      <w:tr>
        <w:trPr>
          <w:tblHeader w:val="false"/>
        </w:trPr>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Verteidigungsfähigkeit / Netzwerkeffekt</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3</w:t>
            </w:r>
          </w:p>
        </w:tc>
        <w:tc>
          <w:tcPr>
            <w:tcW w:type="dxa" w:w="1872"/>
            <w:shd w:fill="EEF3F6" w:color="auto" w:val="clear"/>
            <w:tcMar>
              <w:top w:type="dxa" w:w="60"/>
              <w:left w:type="dxa" w:w="100"/>
              <w:bottom w:type="dxa" w:w="60"/>
              <w:right w:type="dxa" w:w="100"/>
            </w:tcMar>
          </w:tcPr>
          <w:p>
            <w:pPr>
              <w:spacing w:after="20" w:before="20"/>
            </w:pPr>
            <w:r>
              <w:rPr>
                <w:color w:val="1A2332"/>
                <w:sz w:val="18"/>
                <w:szCs w:val="18"/>
              </w:rPr>
              <w:t xml:space="preserve">2</w:t>
            </w:r>
          </w:p>
        </w:tc>
      </w:tr>
      <w:tr>
        <w:trPr>
          <w:tblHeader w:val="false"/>
        </w:trPr>
        <w:tc>
          <w:tcPr>
            <w:tcW w:type="dxa" w:w="1872"/>
            <w:tcMar>
              <w:top w:type="dxa" w:w="60"/>
              <w:left w:type="dxa" w:w="100"/>
              <w:bottom w:type="dxa" w:w="60"/>
              <w:right w:type="dxa" w:w="100"/>
            </w:tcMar>
          </w:tcPr>
          <w:p>
            <w:pPr>
              <w:spacing w:after="20" w:before="20"/>
            </w:pPr>
            <w:r>
              <w:rPr>
                <w:color w:val="1A2332"/>
                <w:sz w:val="18"/>
                <w:szCs w:val="18"/>
              </w:rPr>
              <w:t xml:space="preserve">Haltbarkeit über 5 Jahre</w:t>
            </w:r>
          </w:p>
        </w:tc>
        <w:tc>
          <w:tcPr>
            <w:tcW w:type="dxa" w:w="1872"/>
            <w:tcMar>
              <w:top w:type="dxa" w:w="60"/>
              <w:left w:type="dxa" w:w="100"/>
              <w:bottom w:type="dxa" w:w="60"/>
              <w:right w:type="dxa" w:w="100"/>
            </w:tcMar>
          </w:tcPr>
          <w:p>
            <w:pPr>
              <w:spacing w:after="20" w:before="20"/>
            </w:pPr>
            <w:r>
              <w:rPr>
                <w:color w:val="1A2332"/>
                <w:sz w:val="18"/>
                <w:szCs w:val="18"/>
              </w:rPr>
              <w:t xml:space="preserve">5</w:t>
            </w:r>
          </w:p>
        </w:tc>
        <w:tc>
          <w:tcPr>
            <w:tcW w:type="dxa" w:w="1872"/>
            <w:tcMar>
              <w:top w:type="dxa" w:w="60"/>
              <w:left w:type="dxa" w:w="100"/>
              <w:bottom w:type="dxa" w:w="60"/>
              <w:right w:type="dxa" w:w="100"/>
            </w:tcMar>
          </w:tcPr>
          <w:p>
            <w:pPr>
              <w:spacing w:after="20" w:before="20"/>
            </w:pPr>
            <w:r>
              <w:rPr>
                <w:color w:val="1A2332"/>
                <w:sz w:val="18"/>
                <w:szCs w:val="18"/>
              </w:rPr>
              <w:t xml:space="preserve">4</w:t>
            </w:r>
          </w:p>
        </w:tc>
        <w:tc>
          <w:tcPr>
            <w:tcW w:type="dxa" w:w="1872"/>
            <w:tcMar>
              <w:top w:type="dxa" w:w="60"/>
              <w:left w:type="dxa" w:w="100"/>
              <w:bottom w:type="dxa" w:w="60"/>
              <w:right w:type="dxa" w:w="100"/>
            </w:tcMar>
          </w:tcPr>
          <w:p>
            <w:pPr>
              <w:spacing w:after="20" w:before="20"/>
            </w:pPr>
            <w:r>
              <w:rPr>
                <w:color w:val="1A2332"/>
                <w:sz w:val="18"/>
                <w:szCs w:val="18"/>
              </w:rPr>
              <w:t xml:space="preserve">3</w:t>
            </w:r>
          </w:p>
        </w:tc>
        <w:tc>
          <w:tcPr>
            <w:tcW w:type="dxa" w:w="1872"/>
            <w:tcMar>
              <w:top w:type="dxa" w:w="60"/>
              <w:left w:type="dxa" w:w="100"/>
              <w:bottom w:type="dxa" w:w="60"/>
              <w:right w:type="dxa" w:w="100"/>
            </w:tcMar>
          </w:tcPr>
          <w:p>
            <w:pPr>
              <w:spacing w:after="20" w:before="20"/>
            </w:pPr>
            <w:r>
              <w:rPr>
                <w:color w:val="1A2332"/>
                <w:sz w:val="18"/>
                <w:szCs w:val="18"/>
              </w:rPr>
              <w:t xml:space="preserve">3</w:t>
            </w:r>
          </w:p>
        </w:tc>
      </w:tr>
      <w:tr>
        <w:trPr>
          <w:tblHeader w:val="false"/>
        </w:trPr>
        <w:tc>
          <w:tcPr>
            <w:tcW w:type="dxa" w:w="1872"/>
            <w:shd w:fill="EEF3F6" w:color="auto" w:val="clear"/>
            <w:tcMar>
              <w:top w:type="dxa" w:w="60"/>
              <w:left w:type="dxa" w:w="100"/>
              <w:bottom w:type="dxa" w:w="60"/>
              <w:right w:type="dxa" w:w="100"/>
            </w:tcMar>
          </w:tcPr>
          <w:p>
            <w:pPr>
              <w:spacing w:after="20" w:before="20"/>
            </w:pPr>
            <w:r>
              <w:rPr>
                <w:b/>
                <w:bCs/>
                <w:color w:val="1A2332"/>
                <w:sz w:val="18"/>
                <w:szCs w:val="18"/>
              </w:rPr>
              <w:t xml:space="preserve">Summe</w:t>
            </w:r>
          </w:p>
        </w:tc>
        <w:tc>
          <w:tcPr>
            <w:tcW w:type="dxa" w:w="1872"/>
            <w:shd w:fill="EEF3F6" w:color="auto" w:val="clear"/>
            <w:tcMar>
              <w:top w:type="dxa" w:w="60"/>
              <w:left w:type="dxa" w:w="100"/>
              <w:bottom w:type="dxa" w:w="60"/>
              <w:right w:type="dxa" w:w="100"/>
            </w:tcMar>
          </w:tcPr>
          <w:p>
            <w:pPr>
              <w:spacing w:after="20" w:before="20"/>
            </w:pPr>
            <w:r>
              <w:rPr>
                <w:b/>
                <w:bCs/>
                <w:color w:val="1A2332"/>
                <w:sz w:val="18"/>
                <w:szCs w:val="18"/>
              </w:rPr>
              <w:t xml:space="preserve">40</w:t>
            </w:r>
          </w:p>
        </w:tc>
        <w:tc>
          <w:tcPr>
            <w:tcW w:type="dxa" w:w="1872"/>
            <w:shd w:fill="EEF3F6" w:color="auto" w:val="clear"/>
            <w:tcMar>
              <w:top w:type="dxa" w:w="60"/>
              <w:left w:type="dxa" w:w="100"/>
              <w:bottom w:type="dxa" w:w="60"/>
              <w:right w:type="dxa" w:w="100"/>
            </w:tcMar>
          </w:tcPr>
          <w:p>
            <w:pPr>
              <w:spacing w:after="20" w:before="20"/>
            </w:pPr>
            <w:r>
              <w:rPr>
                <w:b/>
                <w:bCs/>
                <w:color w:val="1A2332"/>
                <w:sz w:val="18"/>
                <w:szCs w:val="18"/>
              </w:rPr>
              <w:t xml:space="preserve">39</w:t>
            </w:r>
          </w:p>
        </w:tc>
        <w:tc>
          <w:tcPr>
            <w:tcW w:type="dxa" w:w="1872"/>
            <w:shd w:fill="EEF3F6" w:color="auto" w:val="clear"/>
            <w:tcMar>
              <w:top w:type="dxa" w:w="60"/>
              <w:left w:type="dxa" w:w="100"/>
              <w:bottom w:type="dxa" w:w="60"/>
              <w:right w:type="dxa" w:w="100"/>
            </w:tcMar>
          </w:tcPr>
          <w:p>
            <w:pPr>
              <w:spacing w:after="20" w:before="20"/>
            </w:pPr>
            <w:r>
              <w:rPr>
                <w:b/>
                <w:bCs/>
                <w:color w:val="1A2332"/>
                <w:sz w:val="18"/>
                <w:szCs w:val="18"/>
              </w:rPr>
              <w:t xml:space="preserve">30</w:t>
            </w:r>
          </w:p>
        </w:tc>
        <w:tc>
          <w:tcPr>
            <w:tcW w:type="dxa" w:w="1872"/>
            <w:shd w:fill="EEF3F6" w:color="auto" w:val="clear"/>
            <w:tcMar>
              <w:top w:type="dxa" w:w="60"/>
              <w:left w:type="dxa" w:w="100"/>
              <w:bottom w:type="dxa" w:w="60"/>
              <w:right w:type="dxa" w:w="100"/>
            </w:tcMar>
          </w:tcPr>
          <w:p>
            <w:pPr>
              <w:spacing w:after="20" w:before="20"/>
            </w:pPr>
            <w:r>
              <w:rPr>
                <w:b/>
                <w:bCs/>
                <w:color w:val="1A2332"/>
                <w:sz w:val="18"/>
                <w:szCs w:val="18"/>
              </w:rPr>
              <w:t xml:space="preserve">24</w:t>
            </w:r>
          </w:p>
        </w:tc>
      </w:tr>
    </w:tbl>
    <w:p>
      <w:pPr>
        <w:spacing w:after="120"/>
      </w:pPr>
    </w:p>
    <w:p>
      <w:pPr>
        <w:spacing w:after="120" w:line="300"/>
        <w:jc w:val="both"/>
      </w:pPr>
      <w:r>
        <w:rPr>
          <w:i w:val="false"/>
          <w:iCs w:val="false"/>
          <w:color w:val="1A2332"/>
          <w:sz w:val="21"/>
          <w:szCs w:val="21"/>
        </w:rPr>
        <w:t xml:space="preserve">Option A und B liegen fast gleichauf — der einzige, aber entscheidende Unterschied ist das Rechtsrisiko des GU-Begriffs. Meine Empfehlung ist deshalb ein </w:t>
      </w:r>
      <w:r>
        <w:rPr>
          <w:b/>
          <w:bCs/>
          <w:i w:val="false"/>
          <w:iCs w:val="false"/>
          <w:color w:val="1A2332"/>
          <w:sz w:val="21"/>
          <w:szCs w:val="21"/>
        </w:rPr>
        <w:t xml:space="preserve">Hybrid: Option A als Kategorie und Claim, das GU-Prinzip aus Option B als erklärende Metapher im Fliesstext.</w:t>
      </w:r>
      <w:r>
        <w:rPr>
          <w:i w:val="false"/>
          <w:iCs w:val="false"/>
          <w:color w:val="1A2332"/>
          <w:sz w:val="21"/>
          <w:szCs w:val="21"/>
        </w:rPr>
        <w:t xml:space="preserve"> So bekommen Sie die Verständlichkeit und Verantwortungs-Assoziation des Generalunternehmers, ohne die Haftungsfalle im Schaufenster.</w:t>
      </w:r>
    </w:p>
    <w:p>
      <w:pPr>
        <w:pBdr>
          <w:bottom w:val="single" w:color="C9D3DA" w:sz="6" w:space="6"/>
        </w:pBdr>
        <w:spacing w:after="160" w:before="80"/>
      </w:pPr>
    </w:p>
    <w:p>
      <w:pPr>
        <w:pStyle w:val="Heading1"/>
        <w:pageBreakBefore/>
        <w:spacing w:after="160" w:before="120"/>
      </w:pPr>
      <w:r>
        <w:rPr>
          <w:b/>
          <w:bCs/>
          <w:color w:val="1A2332"/>
          <w:sz w:val="34"/>
          <w:szCs w:val="34"/>
        </w:rPr>
        <w:t xml:space="preserve">6. Empfehlung</w:t>
      </w:r>
    </w:p>
    <w:p>
      <w:pPr>
        <w:pStyle w:val="Heading2"/>
        <w:spacing w:after="100" w:before="240"/>
      </w:pPr>
      <w:r>
        <w:rPr>
          <w:b/>
          <w:bCs/>
          <w:color w:val="1A2332"/>
          <w:sz w:val="24"/>
          <w:szCs w:val="24"/>
        </w:rPr>
        <w:t xml:space="preserve">6.1 Positionierungsstatement</w:t>
      </w:r>
    </w:p>
    <w:p>
      <w:pPr>
        <w:pBdr>
          <w:left w:val="single" w:color="C4622D" w:sz="24" w:space="12"/>
        </w:pBdr>
        <w:shd w:fill="EEF3F6" w:color="auto" w:val="clear"/>
        <w:spacing w:after="160" w:before="60" w:line="300"/>
        <w:ind w:left="220" w:right="220"/>
      </w:pPr>
      <w:r>
        <w:rPr>
          <w:b/>
          <w:bCs/>
          <w:color w:val="1A2332"/>
          <w:sz w:val="22"/>
          <w:szCs w:val="22"/>
        </w:rPr>
        <w:t xml:space="preserve">Für inhabergeführte Bewirtschafter, Bau- und Handwerksbetriebe in der Deutschschweiz, die zu klein für eine eigene IT-Abteilung und zu beschäftigt für Digitalisierung nebenbei sind, ist Amplifyr die ausgelagerte Digital-Abteilung: der eine Ansprechpartner, der Website, Software und IT nicht nur einrichtet, sondern zusammenführt und laufend betreibt — damit im Betrieb mehr Kapazität entsteht, ohne mehr Personal. Anders als Berater, die nur empfehlen, und Softwarehäuser, die nur ein Tool verkaufen, übernimmt Amplifyr die Verantwortung für das Ganze — nach dem Prinzip eines Generalunternehmers, aber für alles Digitale.</w:t>
      </w:r>
    </w:p>
    <w:p>
      <w:pPr>
        <w:spacing w:after="120" w:line="300"/>
        <w:jc w:val="both"/>
      </w:pPr>
      <w:r>
        <w:rPr>
          <w:i w:val="false"/>
          <w:iCs w:val="false"/>
          <w:color w:val="1A2332"/>
          <w:sz w:val="21"/>
          <w:szCs w:val="21"/>
        </w:rPr>
        <w:t xml:space="preserve">Warum diese Personenkombination daraus einen unfairen Vorteil macht — und nicht nur eine Aufzählung von Lebensläufen ist (Ihre zentrale Frage zum Team): Die drei decken exakt die drei Bruchstellen ab, an denen KMU-Digitalisierung scheitert. </w:t>
      </w:r>
      <w:r>
        <w:rPr>
          <w:b/>
          <w:bCs/>
          <w:i w:val="false"/>
          <w:iCs w:val="false"/>
          <w:color w:val="1A2332"/>
          <w:sz w:val="21"/>
          <w:szCs w:val="21"/>
        </w:rPr>
        <w:t xml:space="preserve">Sinan</w:t>
      </w:r>
      <w:r>
        <w:rPr>
          <w:i w:val="false"/>
          <w:iCs w:val="false"/>
          <w:color w:val="1A2332"/>
          <w:sz w:val="21"/>
          <w:szCs w:val="21"/>
        </w:rPr>
        <w:t xml:space="preserve"> (10+ Jahre System Engineering, Microsoft/Cloud) sorgt dafür, dass das Fundament trägt und im Betrieb läuft — der Grund, warum «Betrieb» überhaupt versprochen werden darf. </w:t>
      </w:r>
      <w:r>
        <w:rPr>
          <w:b/>
          <w:bCs/>
          <w:i w:val="false"/>
          <w:iCs w:val="false"/>
          <w:color w:val="1A2332"/>
          <w:sz w:val="21"/>
          <w:szCs w:val="21"/>
        </w:rPr>
        <w:t xml:space="preserve">David</w:t>
      </w:r>
      <w:r>
        <w:rPr>
          <w:i w:val="false"/>
          <w:iCs w:val="false"/>
          <w:color w:val="1A2332"/>
          <w:sz w:val="21"/>
          <w:szCs w:val="21"/>
        </w:rPr>
        <w:t xml:space="preserve"> (MSc Data Science, Wirtschaftsingenieur, gelernter Elektriker) versteht Prozesse </w:t>
      </w:r>
      <w:r>
        <w:rPr>
          <w:i w:val="false"/>
          <w:iCs w:val="false"/>
          <w:color w:val="1A2332"/>
          <w:sz w:val="21"/>
          <w:szCs w:val="21"/>
        </w:rPr>
        <w:t xml:space="preserve">und</w:t>
      </w:r>
      <w:r>
        <w:rPr>
          <w:i w:val="false"/>
          <w:iCs w:val="false"/>
          <w:color w:val="1A2332"/>
          <w:sz w:val="21"/>
          <w:szCs w:val="21"/>
        </w:rPr>
        <w:t xml:space="preserve"> Datenflüsse </w:t>
      </w:r>
      <w:r>
        <w:rPr>
          <w:i w:val="false"/>
          <w:iCs w:val="false"/>
          <w:color w:val="1A2332"/>
          <w:sz w:val="21"/>
          <w:szCs w:val="21"/>
        </w:rPr>
        <w:t xml:space="preserve">und</w:t>
      </w:r>
      <w:r>
        <w:rPr>
          <w:i w:val="false"/>
          <w:iCs w:val="false"/>
          <w:color w:val="1A2332"/>
          <w:sz w:val="21"/>
          <w:szCs w:val="21"/>
        </w:rPr>
        <w:t xml:space="preserve"> die Realität eines Handwerksbetriebs von innen — er ist die Brücke zwischen Baustelle und System. </w:t>
      </w:r>
      <w:r>
        <w:rPr>
          <w:b/>
          <w:bCs/>
          <w:i w:val="false"/>
          <w:iCs w:val="false"/>
          <w:color w:val="1A2332"/>
          <w:sz w:val="21"/>
          <w:szCs w:val="21"/>
        </w:rPr>
        <w:t xml:space="preserve">Timo</w:t>
      </w:r>
      <w:r>
        <w:rPr>
          <w:i w:val="false"/>
          <w:iCs w:val="false"/>
          <w:color w:val="1A2332"/>
          <w:sz w:val="21"/>
          <w:szCs w:val="21"/>
        </w:rPr>
        <w:t xml:space="preserve"> (Double MSc Real Estate &amp; Finance, 10+ Jahre Versicherung/Finanz/Immobilien, laut Göldi-Demo «ex-Bewirtschafter») kennt die Immobilienökonomie und die Entscheider. Kein grosser Berater hat den Elektriker-Data-Scientist; keine KI-Agentur hat den ex-Bewirtschafter; kein Softwarehaus hat alle drei plus laufenden Betrieb. Die Kombination ist genau deshalb wertvoll, weil sie die Kette vom Handwerkerrapport bis zum Eigentümerreporting </w:t>
      </w:r>
      <w:r>
        <w:rPr>
          <w:i w:val="false"/>
          <w:iCs w:val="false"/>
          <w:color w:val="1A2332"/>
          <w:sz w:val="21"/>
          <w:szCs w:val="21"/>
        </w:rPr>
        <w:t xml:space="preserve">personell</w:t>
      </w:r>
      <w:r>
        <w:rPr>
          <w:i w:val="false"/>
          <w:iCs w:val="false"/>
          <w:color w:val="1A2332"/>
          <w:sz w:val="21"/>
          <w:szCs w:val="21"/>
        </w:rPr>
        <w:t xml:space="preserve"> abbildet. Das ist der unfaire Vorteil — und er muss auf der Über-uns-Seite genau so erzählt werden, nicht als drei Lebensläufe nebeneinander.</w:t>
      </w:r>
    </w:p>
    <w:p>
      <w:pPr>
        <w:pStyle w:val="Heading2"/>
        <w:spacing w:after="100" w:before="240"/>
      </w:pPr>
      <w:r>
        <w:rPr>
          <w:b/>
          <w:bCs/>
          <w:color w:val="1A2332"/>
          <w:sz w:val="24"/>
          <w:szCs w:val="24"/>
        </w:rPr>
        <w:t xml:space="preserve">6.2 Messaging-Hierarchie</w:t>
      </w:r>
    </w:p>
    <w:p>
      <w:pPr>
        <w:spacing w:after="120" w:line="300"/>
        <w:jc w:val="both"/>
      </w:pPr>
      <w:r>
        <w:rPr>
          <w:b/>
          <w:bCs/>
          <w:i w:val="false"/>
          <w:iCs w:val="false"/>
          <w:color w:val="1A2332"/>
          <w:sz w:val="21"/>
          <w:szCs w:val="21"/>
        </w:rPr>
        <w:t xml:space="preserve">Ein Satz (der Claim):</w:t>
      </w:r>
    </w:p>
    <w:p>
      <w:pPr>
        <w:pBdr>
          <w:left w:val="single" w:color="C4622D" w:sz="24" w:space="12"/>
        </w:pBdr>
        <w:shd w:fill="EEF3F6" w:color="auto" w:val="clear"/>
        <w:spacing w:after="160" w:before="60" w:line="300"/>
        <w:ind w:left="220" w:right="220"/>
      </w:pPr>
      <w:r>
        <w:rPr>
          <w:color w:val="1A2332"/>
          <w:sz w:val="22"/>
          <w:szCs w:val="22"/>
        </w:rPr>
        <w:t xml:space="preserve">Sie führen Ihren Betrieb. Wir führen das Digitale.</w:t>
      </w:r>
    </w:p>
    <w:p>
      <w:pPr>
        <w:spacing w:after="120" w:line="300"/>
        <w:jc w:val="both"/>
      </w:pPr>
      <w:r>
        <w:rPr>
          <w:b/>
          <w:bCs/>
          <w:i w:val="false"/>
          <w:iCs w:val="false"/>
          <w:color w:val="1A2332"/>
          <w:sz w:val="21"/>
          <w:szCs w:val="21"/>
        </w:rPr>
        <w:t xml:space="preserve">Drei Sätze (Elevator):</w:t>
      </w:r>
    </w:p>
    <w:p>
      <w:pPr>
        <w:pBdr>
          <w:left w:val="single" w:color="C4622D" w:sz="24" w:space="12"/>
        </w:pBdr>
        <w:shd w:fill="EEF3F6" w:color="auto" w:val="clear"/>
        <w:spacing w:after="160" w:before="60" w:line="300"/>
        <w:ind w:left="220" w:right="220"/>
      </w:pPr>
      <w:r>
        <w:rPr>
          <w:color w:val="1A2332"/>
          <w:sz w:val="22"/>
          <w:szCs w:val="22"/>
        </w:rPr>
        <w:t xml:space="preserve">Wir sind die ausgelagerte Digital-Abteilung für Bewirtschafter, Bau- und Handwerksbetriebe. Wir bringen Website, Software und IT zum Zusammenspielen — und betreiben das Ganze laufend, mit einem Ansprechpartner und einer monatlichen Pauschale. So gewinnen Sie Kapazität zurück, ohne neues Personal zu suchen, das es ohnehin nicht gibt.</w:t>
      </w:r>
    </w:p>
    <w:p>
      <w:pPr>
        <w:spacing w:after="120" w:line="300"/>
        <w:jc w:val="both"/>
      </w:pPr>
      <w:r>
        <w:rPr>
          <w:b/>
          <w:bCs/>
          <w:i w:val="false"/>
          <w:iCs w:val="false"/>
          <w:color w:val="1A2332"/>
          <w:sz w:val="21"/>
          <w:szCs w:val="21"/>
        </w:rPr>
        <w:t xml:space="preserve">Eine Seite (die Kernbotschaft, wie sie auf der Startseite steht):</w:t>
      </w:r>
    </w:p>
    <w:p>
      <w:pPr>
        <w:pBdr>
          <w:left w:val="single" w:color="C4622D" w:sz="24" w:space="12"/>
        </w:pBdr>
        <w:shd w:fill="EEF3F6" w:color="auto" w:val="clear"/>
        <w:spacing w:after="40" w:before="60" w:line="300"/>
        <w:ind w:left="220" w:right="220"/>
      </w:pPr>
      <w:r>
        <w:rPr>
          <w:color w:val="1A2332"/>
          <w:sz w:val="22"/>
          <w:szCs w:val="22"/>
        </w:rPr>
        <w:t xml:space="preserve">In Ihrem Betrieb läuft schon vieles digital — nur spielt es nicht zusammen. Das ERP kennt die Anfrage nicht, die auf der Website eingeht. Der Handwerkerauftrag steht nicht in der Rechnung. Das Telefon klingelt, während niemand abnehmen kann. Genau dort entsteht der Aufwand, der Ihre Leute bindet und keine Wertschöpfung bringt.</w:t>
      </w:r>
    </w:p>
    <w:p>
      <w:pPr>
        <w:spacing w:after="40"/>
      </w:pPr>
    </w:p>
    <w:p>
      <w:pPr>
        <w:pBdr>
          <w:left w:val="single" w:color="C4622D" w:sz="24" w:space="12"/>
        </w:pBdr>
        <w:shd w:fill="EEF3F6" w:color="auto" w:val="clear"/>
        <w:spacing w:after="40" w:before="0" w:line="300"/>
        <w:ind w:left="220" w:right="220"/>
      </w:pPr>
      <w:r>
        <w:rPr>
          <w:color w:val="1A2332"/>
          <w:sz w:val="22"/>
          <w:szCs w:val="22"/>
        </w:rPr>
        <w:t xml:space="preserve">Software dagegen kann jeder kaufen. Das Zusammenspiel nicht. Wir sind der eine Ansprechpartner, der Ihre Systeme verbindet, das Fehlende ergänzt und den Betrieb übernimmt — so, wie ein Generalunternehmer eine Baustelle führt: ein Vertrag, eine verantwortliche Stelle, ein Ergebnis. Ihre bestehende Branchensoftware bleibt; wir bauen darum herum, was fehlt, und halten es am Laufen.</w:t>
      </w:r>
    </w:p>
    <w:p>
      <w:pPr>
        <w:spacing w:after="40"/>
      </w:pPr>
    </w:p>
    <w:p>
      <w:pPr>
        <w:pBdr>
          <w:left w:val="single" w:color="C4622D" w:sz="24" w:space="12"/>
        </w:pBdr>
        <w:shd w:fill="EEF3F6" w:color="auto" w:val="clear"/>
        <w:spacing w:after="160" w:before="0" w:line="300"/>
        <w:ind w:left="220" w:right="220"/>
      </w:pPr>
      <w:r>
        <w:rPr>
          <w:color w:val="1A2332"/>
          <w:sz w:val="22"/>
          <w:szCs w:val="22"/>
        </w:rPr>
        <w:t xml:space="preserve">Das Ergebnis messen wir nicht in Technologie, sondern in Kapazität: Stunden, die zurück in Ihr Kerngeschäft fliessen. Bevor Sie irgendetwas entscheiden, zeigen wir Ihnen an Ihrem eigenen Betrieb, was das konkret bedeutet — als Demo, nicht als Offerte.</w:t>
      </w:r>
    </w:p>
    <w:p>
      <w:pPr>
        <w:pStyle w:val="Heading2"/>
        <w:spacing w:after="100" w:before="240"/>
      </w:pPr>
      <w:r>
        <w:rPr>
          <w:b/>
          <w:bCs/>
          <w:color w:val="1A2332"/>
          <w:sz w:val="24"/>
          <w:szCs w:val="24"/>
        </w:rPr>
        <w:t xml:space="preserve">6.3 Übersetzungstabelle: internes Wort → Kundenwort</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3120"/>
        <w:gridCol w:w="3120"/>
        <w:gridCol w:w="3120"/>
      </w:tblGrid>
      <w:tr>
        <w:trPr>
          <w:tblHeader/>
        </w:trPr>
        <w:tc>
          <w:tcPr>
            <w:tcW w:type="dxa" w:w="3120"/>
            <w:shd w:fill="2E6E8E" w:color="auto" w:val="clear"/>
            <w:tcMar>
              <w:top w:type="dxa" w:w="60"/>
              <w:left w:type="dxa" w:w="100"/>
              <w:bottom w:type="dxa" w:w="60"/>
              <w:right w:type="dxa" w:w="100"/>
            </w:tcMar>
          </w:tcPr>
          <w:p>
            <w:pPr>
              <w:spacing w:after="20" w:before="20"/>
            </w:pPr>
            <w:r>
              <w:rPr>
                <w:b/>
                <w:bCs/>
                <w:color w:val="FFFFFF"/>
                <w:sz w:val="18"/>
                <w:szCs w:val="18"/>
              </w:rPr>
              <w:t xml:space="preserve">Intern (Ihre Sprache)</w:t>
            </w:r>
          </w:p>
        </w:tc>
        <w:tc>
          <w:tcPr>
            <w:tcW w:type="dxa" w:w="3120"/>
            <w:shd w:fill="2E6E8E" w:color="auto" w:val="clear"/>
            <w:tcMar>
              <w:top w:type="dxa" w:w="60"/>
              <w:left w:type="dxa" w:w="100"/>
              <w:bottom w:type="dxa" w:w="60"/>
              <w:right w:type="dxa" w:w="100"/>
            </w:tcMar>
          </w:tcPr>
          <w:p>
            <w:pPr>
              <w:spacing w:after="20" w:before="20"/>
            </w:pPr>
            <w:r>
              <w:rPr>
                <w:b/>
                <w:bCs/>
                <w:color w:val="FFFFFF"/>
                <w:sz w:val="18"/>
                <w:szCs w:val="18"/>
              </w:rPr>
              <w:t xml:space="preserve">Kundenwort (im Schaufenster)</w:t>
            </w:r>
          </w:p>
        </w:tc>
        <w:tc>
          <w:tcPr>
            <w:tcW w:type="dxa" w:w="3120"/>
            <w:shd w:fill="2E6E8E" w:color="auto" w:val="clear"/>
            <w:tcMar>
              <w:top w:type="dxa" w:w="60"/>
              <w:left w:type="dxa" w:w="100"/>
              <w:bottom w:type="dxa" w:w="60"/>
              <w:right w:type="dxa" w:w="100"/>
            </w:tcMar>
          </w:tcPr>
          <w:p>
            <w:pPr>
              <w:spacing w:after="20" w:before="20"/>
            </w:pPr>
            <w:r>
              <w:rPr>
                <w:b/>
                <w:bCs/>
                <w:color w:val="FFFFFF"/>
                <w:sz w:val="18"/>
                <w:szCs w:val="18"/>
              </w:rPr>
              <w:t xml:space="preserve">Warum</w:t>
            </w:r>
          </w:p>
        </w:tc>
      </w:tr>
      <w:tr>
        <w:trPr>
          <w:tblHeader w:val="false"/>
        </w:trPr>
        <w:tc>
          <w:tcPr>
            <w:tcW w:type="dxa" w:w="3120"/>
            <w:tcMar>
              <w:top w:type="dxa" w:w="60"/>
              <w:left w:type="dxa" w:w="100"/>
              <w:bottom w:type="dxa" w:w="60"/>
              <w:right w:type="dxa" w:w="100"/>
            </w:tcMar>
          </w:tcPr>
          <w:p>
            <w:pPr>
              <w:spacing w:after="20" w:before="20"/>
            </w:pPr>
            <w:r>
              <w:rPr>
                <w:color w:val="1A2332"/>
                <w:sz w:val="18"/>
                <w:szCs w:val="18"/>
              </w:rPr>
              <w:t xml:space="preserve">Orchestrator</w:t>
            </w:r>
          </w:p>
        </w:tc>
        <w:tc>
          <w:tcPr>
            <w:tcW w:type="dxa" w:w="3120"/>
            <w:tcMar>
              <w:top w:type="dxa" w:w="60"/>
              <w:left w:type="dxa" w:w="100"/>
              <w:bottom w:type="dxa" w:w="60"/>
              <w:right w:type="dxa" w:w="100"/>
            </w:tcMar>
          </w:tcPr>
          <w:p>
            <w:pPr>
              <w:spacing w:after="20" w:before="20"/>
            </w:pPr>
            <w:r>
              <w:rPr>
                <w:color w:val="1A2332"/>
                <w:sz w:val="18"/>
                <w:szCs w:val="18"/>
              </w:rPr>
              <w:t xml:space="preserve">«Der eine Ansprechpartner, der alles zusammenführt» / «wie ein Generalunternehmer für Ihr Digitales»</w:t>
            </w:r>
          </w:p>
        </w:tc>
        <w:tc>
          <w:tcPr>
            <w:tcW w:type="dxa" w:w="3120"/>
            <w:tcMar>
              <w:top w:type="dxa" w:w="60"/>
              <w:left w:type="dxa" w:w="100"/>
              <w:bottom w:type="dxa" w:w="60"/>
              <w:right w:type="dxa" w:w="100"/>
            </w:tcMar>
          </w:tcPr>
          <w:p>
            <w:pPr>
              <w:spacing w:after="20" w:before="20"/>
            </w:pPr>
            <w:r>
              <w:rPr>
                <w:color w:val="1A2332"/>
                <w:sz w:val="18"/>
                <w:szCs w:val="18"/>
              </w:rPr>
              <w:t xml:space="preserve">«Orchestrator» versteht kein Malermeister; die GU-Analogie schon.</w:t>
            </w:r>
          </w:p>
        </w:tc>
      </w:tr>
      <w:tr>
        <w:trPr>
          <w:tblHeader w:val="false"/>
        </w:trPr>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Vertikaler MSP</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«Wir betreiben Ihre Systeme laufend weiter — feste Monatspauschale»</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Verkauft das Ergebnis (läuft, planbar), nicht das Akronym.</w:t>
            </w:r>
          </w:p>
        </w:tc>
      </w:tr>
      <w:tr>
        <w:trPr>
          <w:tblHeader w:val="false"/>
        </w:trPr>
        <w:tc>
          <w:tcPr>
            <w:tcW w:type="dxa" w:w="3120"/>
            <w:tcMar>
              <w:top w:type="dxa" w:w="60"/>
              <w:left w:type="dxa" w:w="100"/>
              <w:bottom w:type="dxa" w:w="60"/>
              <w:right w:type="dxa" w:w="100"/>
            </w:tcMar>
          </w:tcPr>
          <w:p>
            <w:pPr>
              <w:spacing w:after="20" w:before="20"/>
            </w:pPr>
            <w:r>
              <w:rPr>
                <w:color w:val="1A2332"/>
                <w:sz w:val="18"/>
                <w:szCs w:val="18"/>
              </w:rPr>
              <w:t xml:space="preserve">KI-Transformation</w:t>
            </w:r>
          </w:p>
        </w:tc>
        <w:tc>
          <w:tcPr>
            <w:tcW w:type="dxa" w:w="3120"/>
            <w:tcMar>
              <w:top w:type="dxa" w:w="60"/>
              <w:left w:type="dxa" w:w="100"/>
              <w:bottom w:type="dxa" w:w="60"/>
              <w:right w:type="dxa" w:w="100"/>
            </w:tcMar>
          </w:tcPr>
          <w:p>
            <w:pPr>
              <w:spacing w:after="20" w:before="20"/>
            </w:pPr>
            <w:r>
              <w:rPr>
                <w:color w:val="1A2332"/>
                <w:sz w:val="18"/>
                <w:szCs w:val="18"/>
              </w:rPr>
              <w:t xml:space="preserve">«Weniger Handarbeit im Büro» / «Ihr Betrieb erledigt Routine selbst»</w:t>
            </w:r>
          </w:p>
        </w:tc>
        <w:tc>
          <w:tcPr>
            <w:tcW w:type="dxa" w:w="3120"/>
            <w:tcMar>
              <w:top w:type="dxa" w:w="60"/>
              <w:left w:type="dxa" w:w="100"/>
              <w:bottom w:type="dxa" w:w="60"/>
              <w:right w:type="dxa" w:w="100"/>
            </w:tcMar>
          </w:tcPr>
          <w:p>
            <w:pPr>
              <w:spacing w:after="20" w:before="20"/>
            </w:pPr>
            <w:r>
              <w:rPr>
                <w:color w:val="1A2332"/>
                <w:sz w:val="18"/>
                <w:szCs w:val="18"/>
              </w:rPr>
              <w:t xml:space="preserve">KI ist Mittel, nicht Versprechen; nennt den Nutzen.</w:t>
            </w:r>
          </w:p>
        </w:tc>
      </w:tr>
      <w:tr>
        <w:trPr>
          <w:tblHeader w:val="false"/>
        </w:trPr>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Automatisierung</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«Aufgaben, die von selbst laufen» / «Sie müssen nicht mehr dran denken»</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Konkreter Alltagsnutzen statt Fachbegriff.</w:t>
            </w:r>
          </w:p>
        </w:tc>
      </w:tr>
      <w:tr>
        <w:trPr>
          <w:tblHeader w:val="false"/>
        </w:trPr>
        <w:tc>
          <w:tcPr>
            <w:tcW w:type="dxa" w:w="3120"/>
            <w:tcMar>
              <w:top w:type="dxa" w:w="60"/>
              <w:left w:type="dxa" w:w="100"/>
              <w:bottom w:type="dxa" w:w="60"/>
              <w:right w:type="dxa" w:w="100"/>
            </w:tcMar>
          </w:tcPr>
          <w:p>
            <w:pPr>
              <w:spacing w:after="20" w:before="20"/>
            </w:pPr>
            <w:r>
              <w:rPr>
                <w:color w:val="1A2332"/>
                <w:sz w:val="18"/>
                <w:szCs w:val="18"/>
              </w:rPr>
              <w:t xml:space="preserve">Digitaler Auftritt</w:t>
            </w:r>
          </w:p>
        </w:tc>
        <w:tc>
          <w:tcPr>
            <w:tcW w:type="dxa" w:w="3120"/>
            <w:tcMar>
              <w:top w:type="dxa" w:w="60"/>
              <w:left w:type="dxa" w:w="100"/>
              <w:bottom w:type="dxa" w:w="60"/>
              <w:right w:type="dxa" w:w="100"/>
            </w:tcMar>
          </w:tcPr>
          <w:p>
            <w:pPr>
              <w:spacing w:after="20" w:before="20"/>
            </w:pPr>
            <w:r>
              <w:rPr>
                <w:color w:val="1A2332"/>
                <w:sz w:val="18"/>
                <w:szCs w:val="18"/>
              </w:rPr>
              <w:t xml:space="preserve">«Eine Website, die für Sie arbeitet — Anfragen aufnimmt, Termine bucht, auch nachts»</w:t>
            </w:r>
          </w:p>
        </w:tc>
        <w:tc>
          <w:tcPr>
            <w:tcW w:type="dxa" w:w="3120"/>
            <w:tcMar>
              <w:top w:type="dxa" w:w="60"/>
              <w:left w:type="dxa" w:w="100"/>
              <w:bottom w:type="dxa" w:w="60"/>
              <w:right w:type="dxa" w:w="100"/>
            </w:tcMar>
          </w:tcPr>
          <w:p>
            <w:pPr>
              <w:spacing w:after="20" w:before="20"/>
            </w:pPr>
            <w:r>
              <w:rPr>
                <w:color w:val="1A2332"/>
                <w:sz w:val="18"/>
                <w:szCs w:val="18"/>
              </w:rPr>
              <w:t xml:space="preserve">Übernimmt die bereits starke Formulierung der Webdesign-Seite.</w:t>
            </w:r>
          </w:p>
        </w:tc>
      </w:tr>
      <w:tr>
        <w:trPr>
          <w:tblHeader w:val="false"/>
        </w:trPr>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Managed Services</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«Wir kümmern uns um Ihre IT, damit sie einfach läuft»</w:t>
            </w:r>
          </w:p>
        </w:tc>
        <w:tc>
          <w:tcPr>
            <w:tcW w:type="dxa" w:w="3120"/>
            <w:shd w:fill="EEF3F6" w:color="auto" w:val="clear"/>
            <w:tcMar>
              <w:top w:type="dxa" w:w="60"/>
              <w:left w:type="dxa" w:w="100"/>
              <w:bottom w:type="dxa" w:w="60"/>
              <w:right w:type="dxa" w:w="100"/>
            </w:tcMar>
          </w:tcPr>
          <w:p>
            <w:pPr>
              <w:spacing w:after="20" w:before="20"/>
            </w:pPr>
            <w:r>
              <w:rPr>
                <w:color w:val="1A2332"/>
                <w:sz w:val="18"/>
                <w:szCs w:val="18"/>
              </w:rPr>
              <w:t xml:space="preserve">«Managed Services» ist Anbietersprache.</w:t>
            </w:r>
          </w:p>
        </w:tc>
      </w:tr>
      <w:tr>
        <w:trPr>
          <w:tblHeader w:val="false"/>
        </w:trPr>
        <w:tc>
          <w:tcPr>
            <w:tcW w:type="dxa" w:w="3120"/>
            <w:tcMar>
              <w:top w:type="dxa" w:w="60"/>
              <w:left w:type="dxa" w:w="100"/>
              <w:bottom w:type="dxa" w:w="60"/>
              <w:right w:type="dxa" w:w="100"/>
            </w:tcMar>
          </w:tcPr>
          <w:p>
            <w:pPr>
              <w:spacing w:after="20" w:before="20"/>
            </w:pPr>
            <w:r>
              <w:rPr>
                <w:color w:val="1A2332"/>
                <w:sz w:val="18"/>
                <w:szCs w:val="18"/>
              </w:rPr>
              <w:t xml:space="preserve">Gesamtverantwortung</w:t>
            </w:r>
          </w:p>
        </w:tc>
        <w:tc>
          <w:tcPr>
            <w:tcW w:type="dxa" w:w="3120"/>
            <w:tcMar>
              <w:top w:type="dxa" w:w="60"/>
              <w:left w:type="dxa" w:w="100"/>
              <w:bottom w:type="dxa" w:w="60"/>
              <w:right w:type="dxa" w:w="100"/>
            </w:tcMar>
          </w:tcPr>
          <w:p>
            <w:pPr>
              <w:spacing w:after="20" w:before="20"/>
            </w:pPr>
            <w:r>
              <w:rPr>
                <w:color w:val="1A2332"/>
                <w:sz w:val="18"/>
                <w:szCs w:val="18"/>
              </w:rPr>
              <w:t xml:space="preserve">«Eine Nummer, die Sie anrufen, wenn etwas nicht funktioniert — der Rest ist unser Problem»</w:t>
            </w:r>
          </w:p>
        </w:tc>
        <w:tc>
          <w:tcPr>
            <w:tcW w:type="dxa" w:w="3120"/>
            <w:tcMar>
              <w:top w:type="dxa" w:w="60"/>
              <w:left w:type="dxa" w:w="100"/>
              <w:bottom w:type="dxa" w:w="60"/>
              <w:right w:type="dxa" w:w="100"/>
            </w:tcMar>
          </w:tcPr>
          <w:p>
            <w:pPr>
              <w:spacing w:after="20" w:before="20"/>
            </w:pPr>
            <w:r>
              <w:rPr>
                <w:color w:val="1A2332"/>
                <w:sz w:val="18"/>
                <w:szCs w:val="18"/>
              </w:rPr>
              <w:t xml:space="preserve">Übersetzt Verantwortung in gelebte Erfahrung des Kunden.</w:t>
            </w:r>
          </w:p>
        </w:tc>
      </w:tr>
    </w:tbl>
    <w:p>
      <w:pPr>
        <w:spacing w:after="120"/>
      </w:pPr>
    </w:p>
    <w:p>
      <w:pPr>
        <w:pStyle w:val="Heading2"/>
        <w:spacing w:after="100" w:before="240"/>
      </w:pPr>
      <w:r>
        <w:rPr>
          <w:b/>
          <w:bCs/>
          <w:color w:val="1A2332"/>
          <w:sz w:val="24"/>
          <w:szCs w:val="24"/>
        </w:rPr>
        <w:t xml:space="preserve">6.4 Antworten auf die neun strategischen Fragen</w:t>
      </w:r>
    </w:p>
    <w:p>
      <w:pPr>
        <w:spacing w:after="120" w:line="300"/>
        <w:jc w:val="both"/>
      </w:pPr>
      <w:r>
        <w:rPr>
          <w:b/>
          <w:bCs/>
          <w:i w:val="false"/>
          <w:iCs w:val="false"/>
          <w:color w:val="1A2332"/>
          <w:sz w:val="21"/>
          <w:szCs w:val="21"/>
        </w:rPr>
        <w:t xml:space="preserve">Frage 1 — Vertikalisieren, ja, und wie eng?</w:t>
      </w:r>
    </w:p>
    <w:p>
      <w:pPr>
        <w:spacing w:after="120" w:line="300"/>
        <w:jc w:val="both"/>
      </w:pPr>
      <w:r>
        <w:rPr>
          <w:i w:val="false"/>
          <w:iCs w:val="false"/>
          <w:color w:val="1A2332"/>
          <w:sz w:val="21"/>
          <w:szCs w:val="21"/>
        </w:rPr>
        <w:t xml:space="preserve">Ja, vertikalisieren — der horizontale «für jedes KMU»-Ansatz ist im übersättigten KI-/IT-Dienstleistermarkt nicht verteidigbar. «Bau und Immobilien» ist die richtige Klammer, und die These der Gründer ist stärker, als sie selbst befürchten: Bewirtschaftung und Handwerk sind </w:t>
      </w:r>
      <w:r>
        <w:rPr>
          <w:b/>
          <w:bCs/>
          <w:i w:val="false"/>
          <w:iCs w:val="false"/>
          <w:color w:val="1A2332"/>
          <w:sz w:val="21"/>
          <w:szCs w:val="21"/>
        </w:rPr>
        <w:t xml:space="preserve">nicht zwei Branchen, sondern zwei Enden derselben Wertschöpfungskette</w:t>
      </w:r>
      <w:r>
        <w:rPr>
          <w:i w:val="false"/>
          <w:iCs w:val="false"/>
          <w:color w:val="1A2332"/>
          <w:sz w:val="21"/>
          <w:szCs w:val="21"/>
        </w:rPr>
        <w:t xml:space="preserve"> (Eigentümer → Asset Management → Bewirtschaftung → Handwerk). Der operative Beleg dafür, dass es kein hübsches Narrativ, sondern echter Vertriebs- und Netzwerkeffekt ist: Die Handwerkerkoordination und Rechnungsprüfung ist einer der grössten Schmerzpunkte des Bewirtschafters (Kapitel 3.1), und der Bewirtschafter ist umgekehrt eine der wichtigsten Auftragsquellen des Handwerkers. Wenn Amplifyr die Schnittstelle zwischen beiden digitalisiert (Schadenmeldung → Handwerkerauftrag → Rapport → Rechnung → Buchhaltung), sitzt sie an genau der Reibungsstelle, an der beide Seiten Geld und Nerven verlieren. Das ist verteidigungsfähig, weil ein Wettbewerber, der nur eine Seite bedient, die Schnittstelle nie sieht. </w:t>
      </w:r>
      <w:r>
        <w:rPr>
          <w:i w:val="false"/>
          <w:iCs w:val="false"/>
          <w:color w:val="1A2332"/>
          <w:sz w:val="21"/>
          <w:szCs w:val="21"/>
        </w:rPr>
        <w:t xml:space="preserve">Aber:</w:t>
      </w:r>
      <w:r>
        <w:rPr>
          <w:i w:val="false"/>
          <w:iCs w:val="false"/>
          <w:color w:val="1A2332"/>
          <w:sz w:val="21"/>
          <w:szCs w:val="21"/>
        </w:rPr>
        <w:t xml:space="preserve"> «eng genug, um verteidigbar, weit genug, um zu wachsen» heisst konkret — die Klammer «Bau und Immobilien» kommunizieren, aber operativ mit </w:t>
      </w:r>
      <w:r>
        <w:rPr>
          <w:i w:val="false"/>
          <w:iCs w:val="false"/>
          <w:color w:val="1A2332"/>
          <w:sz w:val="21"/>
          <w:szCs w:val="21"/>
        </w:rPr>
        <w:t xml:space="preserve">einem</w:t>
      </w:r>
      <w:r>
        <w:rPr>
          <w:i w:val="false"/>
          <w:iCs w:val="false"/>
          <w:color w:val="1A2332"/>
          <w:sz w:val="21"/>
          <w:szCs w:val="21"/>
        </w:rPr>
        <w:t xml:space="preserve"> Ende beginnen (Frage 5).</w:t>
      </w:r>
    </w:p>
    <w:p>
      <w:pPr>
        <w:spacing w:after="120" w:line="300"/>
        <w:jc w:val="both"/>
      </w:pPr>
      <w:r>
        <w:rPr>
          <w:b/>
          <w:bCs/>
          <w:i w:val="false"/>
          <w:iCs w:val="false"/>
          <w:color w:val="1A2332"/>
          <w:sz w:val="21"/>
          <w:szCs w:val="21"/>
        </w:rPr>
        <w:t xml:space="preserve">Frage 2 — Welche Kategorie?</w:t>
      </w:r>
    </w:p>
    <w:p>
      <w:pPr>
        <w:spacing w:after="120" w:line="300"/>
        <w:jc w:val="both"/>
      </w:pPr>
      <w:r>
        <w:rPr>
          <w:i w:val="false"/>
          <w:iCs w:val="false"/>
          <w:color w:val="1A2332"/>
          <w:sz w:val="21"/>
          <w:szCs w:val="21"/>
        </w:rPr>
        <w:t xml:space="preserve">Empfehlung: </w:t>
      </w:r>
      <w:r>
        <w:rPr>
          <w:b/>
          <w:bCs/>
          <w:i w:val="false"/>
          <w:iCs w:val="false"/>
          <w:color w:val="1A2332"/>
          <w:sz w:val="21"/>
          <w:szCs w:val="21"/>
        </w:rPr>
        <w:t xml:space="preserve">«Die ausgelagerte Digital-Abteilung für Immobilien und Bau»</w:t>
      </w:r>
      <w:r>
        <w:rPr>
          <w:i w:val="false"/>
          <w:iCs w:val="false"/>
          <w:color w:val="1A2332"/>
          <w:sz w:val="21"/>
          <w:szCs w:val="21"/>
        </w:rPr>
        <w:t xml:space="preserve"> (Option A). Bewertung der geforderten Optionen: </w:t>
      </w:r>
      <w:r>
        <w:rPr>
          <w:i w:val="false"/>
          <w:iCs w:val="false"/>
          <w:color w:val="1A2332"/>
          <w:sz w:val="21"/>
          <w:szCs w:val="21"/>
        </w:rPr>
        <w:t xml:space="preserve">Digitaler Generalunternehmer</w:t>
      </w:r>
      <w:r>
        <w:rPr>
          <w:i w:val="false"/>
          <w:iCs w:val="false"/>
          <w:color w:val="1A2332"/>
          <w:sz w:val="21"/>
          <w:szCs w:val="21"/>
        </w:rPr>
        <w:t xml:space="preserve"> — grossartige Metapher, als Hauptkategorie zu riskant (siehe unten und 5.2), gehört in den Fliesstext, nicht ins Schaufenster. </w:t>
      </w:r>
      <w:r>
        <w:rPr>
          <w:i w:val="false"/>
          <w:iCs w:val="false"/>
          <w:color w:val="1A2332"/>
          <w:sz w:val="21"/>
          <w:szCs w:val="21"/>
        </w:rPr>
        <w:t xml:space="preserve">IT-Dienstleister/MSP mit Branchenfokus</w:t>
      </w:r>
      <w:r>
        <w:rPr>
          <w:i w:val="false"/>
          <w:iCs w:val="false"/>
          <w:color w:val="1A2332"/>
          <w:sz w:val="21"/>
          <w:szCs w:val="21"/>
        </w:rPr>
        <w:t xml:space="preserve"> — zu eng, stellt Sinans Bereich ins Zentrum und macht Sie austauschbar. </w:t>
      </w:r>
      <w:r>
        <w:rPr>
          <w:i w:val="false"/>
          <w:iCs w:val="false"/>
          <w:color w:val="1A2332"/>
          <w:sz w:val="21"/>
          <w:szCs w:val="21"/>
        </w:rPr>
        <w:t xml:space="preserve">Digitalisierungsberatung</w:t>
      </w:r>
      <w:r>
        <w:rPr>
          <w:i w:val="false"/>
          <w:iCs w:val="false"/>
          <w:color w:val="1A2332"/>
          <w:sz w:val="21"/>
          <w:szCs w:val="21"/>
        </w:rPr>
        <w:t xml:space="preserve"> — Projektgeschäft, unzuverlässiger Cashflow, konkurriert mit pom+ auf deren Feld. </w:t>
      </w:r>
      <w:r>
        <w:rPr>
          <w:i w:val="false"/>
          <w:iCs w:val="false"/>
          <w:color w:val="1A2332"/>
          <w:sz w:val="21"/>
          <w:szCs w:val="21"/>
        </w:rPr>
        <w:t xml:space="preserve">KI-/Automatisierungsagentur</w:t>
      </w:r>
      <w:r>
        <w:rPr>
          <w:i w:val="false"/>
          <w:iCs w:val="false"/>
          <w:color w:val="1A2332"/>
          <w:sz w:val="21"/>
          <w:szCs w:val="21"/>
        </w:rPr>
        <w:t xml:space="preserve"> — verbrannt und kommoditisiert (Kapitel 4). </w:t>
      </w:r>
      <w:r>
        <w:rPr>
          <w:i w:val="false"/>
          <w:iCs w:val="false"/>
          <w:color w:val="1A2332"/>
          <w:sz w:val="21"/>
          <w:szCs w:val="21"/>
        </w:rPr>
        <w:t xml:space="preserve">«Wir übernehmen Ihre Administration»</w:t>
      </w:r>
      <w:r>
        <w:rPr>
          <w:i w:val="false"/>
          <w:iCs w:val="false"/>
          <w:color w:val="1A2332"/>
          <w:sz w:val="21"/>
          <w:szCs w:val="21"/>
        </w:rPr>
        <w:t xml:space="preserve"> — verständlich, aber kippt ins personalintensive BPO. </w:t>
      </w:r>
      <w:r>
        <w:rPr>
          <w:i w:val="false"/>
          <w:iCs w:val="false"/>
          <w:color w:val="1A2332"/>
          <w:sz w:val="21"/>
          <w:szCs w:val="21"/>
        </w:rPr>
        <w:t xml:space="preserve">Neue, selbst definierte Kategorie</w:t>
      </w:r>
      <w:r>
        <w:rPr>
          <w:i w:val="false"/>
          <w:iCs w:val="false"/>
          <w:color w:val="1A2332"/>
          <w:sz w:val="21"/>
          <w:szCs w:val="21"/>
        </w:rPr>
        <w:t xml:space="preserve"> — «Digital-Abteilung» ist genau das: eine bekannte Metapher (jeder kennt eine Abteilung), neu auf Ihre Branche und Ihr Betriebsmodell gemünzt. Sie ist verständlich, differenzierend und trägt beide Zielsegmente.</w:t>
      </w:r>
    </w:p>
    <w:p>
      <w:pPr>
        <w:spacing w:after="120" w:line="300"/>
        <w:jc w:val="both"/>
      </w:pPr>
      <w:r>
        <w:rPr>
          <w:i w:val="false"/>
          <w:iCs w:val="false"/>
          <w:color w:val="1A2332"/>
          <w:sz w:val="21"/>
          <w:szCs w:val="21"/>
        </w:rPr>
        <w:t xml:space="preserve">Zum GU-Begriff im Detail:</w:t>
      </w:r>
      <w:r>
        <w:rPr>
          <w:i w:val="false"/>
          <w:iCs w:val="false"/>
          <w:color w:val="1A2332"/>
          <w:sz w:val="21"/>
          <w:szCs w:val="21"/>
        </w:rPr>
        <w:t xml:space="preserve"> Er ist im DACH-Raum als Marke faktisch frei — das ist die Chance. Er ist aber im Schweizer Bau juristisch schwer aufgeladen (Werkvertrag, Pauschalpreis, Termin-/Kostengarantie, alleinige Verantwortung, SIA 118, Solidarhaftungserwartung; weka.ch, rischbaurecht.ch) — das ist das Risiko. Beides trifft dieselbe Zielgruppe, die den Begriff am wörtlichsten nimmt. </w:t>
      </w:r>
      <w:r>
        <w:rPr>
          <w:b/>
          <w:bCs/>
          <w:i w:val="false"/>
          <w:iCs w:val="false"/>
          <w:color w:val="1A2332"/>
          <w:sz w:val="21"/>
          <w:szCs w:val="21"/>
        </w:rPr>
        <w:t xml:space="preserve">Empfehlung: als erklärende Metapher im Text führen</w:t>
      </w:r>
      <w:r>
        <w:rPr>
          <w:i w:val="false"/>
          <w:iCs w:val="false"/>
          <w:color w:val="1A2332"/>
          <w:sz w:val="21"/>
          <w:szCs w:val="21"/>
        </w:rPr>
        <w:t xml:space="preserve"> («nach dem Prinzip eines Generalunternehmers — ein Vertrag, ein Ansprechpartner, ein Ergebnis, für Ihr Digitales»), </w:t>
      </w:r>
      <w:r>
        <w:rPr>
          <w:b/>
          <w:bCs/>
          <w:i w:val="false"/>
          <w:iCs w:val="false"/>
          <w:color w:val="1A2332"/>
          <w:sz w:val="21"/>
          <w:szCs w:val="21"/>
        </w:rPr>
        <w:t xml:space="preserve">nicht als stehenden Titel</w:t>
      </w:r>
      <w:r>
        <w:rPr>
          <w:i w:val="false"/>
          <w:iCs w:val="false"/>
          <w:color w:val="1A2332"/>
          <w:sz w:val="21"/>
          <w:szCs w:val="21"/>
        </w:rPr>
        <w:t xml:space="preserve"> «Wir sind Ihr digitaler Generalunternehmer», und </w:t>
      </w:r>
      <w:r>
        <w:rPr>
          <w:b/>
          <w:bCs/>
          <w:i w:val="false"/>
          <w:iCs w:val="false"/>
          <w:color w:val="1A2332"/>
          <w:sz w:val="21"/>
          <w:szCs w:val="21"/>
        </w:rPr>
        <w:t xml:space="preserve">nie unqualifiziert im Werkvertrags-/Baukontext</w:t>
      </w:r>
      <w:r>
        <w:rPr>
          <w:i w:val="false"/>
          <w:iCs w:val="false"/>
          <w:color w:val="1A2332"/>
          <w:sz w:val="21"/>
          <w:szCs w:val="21"/>
        </w:rPr>
        <w:t xml:space="preserve">. Auf der bestehenden Handwerker-Seite steht er heute als Titel — das ist zu ändern.</w:t>
      </w:r>
    </w:p>
    <w:p>
      <w:pPr>
        <w:spacing w:after="120" w:line="300"/>
        <w:jc w:val="both"/>
      </w:pPr>
      <w:r>
        <w:rPr>
          <w:b/>
          <w:bCs/>
          <w:i w:val="false"/>
          <w:iCs w:val="false"/>
          <w:color w:val="1A2332"/>
          <w:sz w:val="21"/>
          <w:szCs w:val="21"/>
        </w:rPr>
        <w:t xml:space="preserve">Frage 3 — Grösste vs. zahlungsbereiteste Pain Points.</w:t>
      </w:r>
    </w:p>
    <w:p>
      <w:pPr>
        <w:spacing w:after="120" w:line="300"/>
        <w:jc w:val="both"/>
      </w:pPr>
      <w:r>
        <w:rPr>
          <w:i w:val="false"/>
          <w:iCs w:val="false"/>
          <w:color w:val="1A2332"/>
          <w:sz w:val="21"/>
          <w:szCs w:val="21"/>
        </w:rPr>
        <w:t xml:space="preserve">Bewirtschaftung.</w:t>
      </w:r>
      <w:r>
        <w:rPr>
          <w:i w:val="false"/>
          <w:iCs w:val="false"/>
          <w:color w:val="1A2332"/>
          <w:sz w:val="21"/>
          <w:szCs w:val="21"/>
        </w:rPr>
        <w:t xml:space="preserve"> Grösste operative Last: Erreichbarkeit/Telefon und Mieteranfragen sowie Schadens-/Handwerkerkoordination. Höchste Zahlungsbereitschaft: Nebenkostenabrechnung, Rechnungsprüfung und Eigentümerreporting (dort, wo Personalkosten sinken oder Pflichten erfüllt werden). Der beste Einstiegs-Use-Case verbindet beides: die </w:t>
      </w:r>
      <w:r>
        <w:rPr>
          <w:b/>
          <w:bCs/>
          <w:i w:val="false"/>
          <w:iCs w:val="false"/>
          <w:color w:val="1A2332"/>
          <w:sz w:val="21"/>
          <w:szCs w:val="21"/>
        </w:rPr>
        <w:t xml:space="preserve">Schadensabwicklung von Meldung bis Beleg</w:t>
      </w:r>
      <w:r>
        <w:rPr>
          <w:i w:val="false"/>
          <w:iCs w:val="false"/>
          <w:color w:val="1A2332"/>
          <w:sz w:val="21"/>
          <w:szCs w:val="21"/>
        </w:rPr>
        <w:t xml:space="preserve"> (grosse Last </w:t>
      </w:r>
      <w:r>
        <w:rPr>
          <w:i w:val="false"/>
          <w:iCs w:val="false"/>
          <w:color w:val="1A2332"/>
          <w:sz w:val="21"/>
          <w:szCs w:val="21"/>
        </w:rPr>
        <w:t xml:space="preserve">und</w:t>
      </w:r>
      <w:r>
        <w:rPr>
          <w:i w:val="false"/>
          <w:iCs w:val="false"/>
          <w:color w:val="1A2332"/>
          <w:sz w:val="21"/>
          <w:szCs w:val="21"/>
        </w:rPr>
        <w:t xml:space="preserve"> klare Kostenwirkung), wie in der Göldi-Demo bereits gezeigt. Entscheider: bei interner Effizienz die Bewirtschaftungs-GL selbst (schneller Entscheid); Problemkosten heute grob als gebundene Bewirtschafterstunden bezifferbar (Ihr Kapazitätsrechner mit 3 Bewirtschaftern × ~100 CHF/Std. macht das vor). Glaubwürdiger Preis: siehe Betriebspaket, Kapitel 7.</w:t>
      </w:r>
    </w:p>
    <w:p>
      <w:pPr>
        <w:spacing w:after="120" w:line="300"/>
        <w:jc w:val="both"/>
      </w:pPr>
      <w:r>
        <w:rPr>
          <w:i w:val="false"/>
          <w:iCs w:val="false"/>
          <w:color w:val="1A2332"/>
          <w:sz w:val="21"/>
          <w:szCs w:val="21"/>
        </w:rPr>
        <w:t xml:space="preserve">Handwerk/Bau.</w:t>
      </w:r>
      <w:r>
        <w:rPr>
          <w:i w:val="false"/>
          <w:iCs w:val="false"/>
          <w:color w:val="1A2332"/>
          <w:sz w:val="21"/>
          <w:szCs w:val="21"/>
        </w:rPr>
        <w:t xml:space="preserve"> Grösste (belegte) Last: Fachkräftemangel — adressierbar nur indirekt über Produktivität, was ihn zum stärksten </w:t>
      </w:r>
      <w:r>
        <w:rPr>
          <w:i w:val="false"/>
          <w:iCs w:val="false"/>
          <w:color w:val="1A2332"/>
          <w:sz w:val="21"/>
          <w:szCs w:val="21"/>
        </w:rPr>
        <w:t xml:space="preserve">Argument</w:t>
      </w:r>
      <w:r>
        <w:rPr>
          <w:i w:val="false"/>
          <w:iCs w:val="false"/>
          <w:color w:val="1A2332"/>
          <w:sz w:val="21"/>
          <w:szCs w:val="21"/>
        </w:rPr>
        <w:t xml:space="preserve">, aber nicht zum direkten </w:t>
      </w:r>
      <w:r>
        <w:rPr>
          <w:i w:val="false"/>
          <w:iCs w:val="false"/>
          <w:color w:val="1A2332"/>
          <w:sz w:val="21"/>
          <w:szCs w:val="21"/>
        </w:rPr>
        <w:t xml:space="preserve">Kaufauslöser</w:t>
      </w:r>
      <w:r>
        <w:rPr>
          <w:i w:val="false"/>
          <w:iCs w:val="false"/>
          <w:color w:val="1A2332"/>
          <w:sz w:val="21"/>
          <w:szCs w:val="21"/>
        </w:rPr>
        <w:t xml:space="preserve"> macht. Zahlungsbereiteste, direkt adressierbare Schmerzen: Baustellenrapport/Zeiterfassung und die Kette Offerte → Rapport → Rechnung, dann Nachtrags-/Regiemanagement (margenrelevant). Entscheider: der Inhaber/Meister in Personalunion; Problemkosten via personalisiertem Rechner (Picassino: 23'400 CHF/Jahr). Kürzerer Sales-Cycle, aber kleineres Ticket.</w:t>
      </w:r>
    </w:p>
    <w:p>
      <w:pPr>
        <w:spacing w:after="120" w:line="300"/>
        <w:jc w:val="both"/>
      </w:pPr>
      <w:r>
        <w:rPr>
          <w:b/>
          <w:bCs/>
          <w:i w:val="false"/>
          <w:iCs w:val="false"/>
          <w:color w:val="1A2332"/>
          <w:sz w:val="21"/>
          <w:szCs w:val="21"/>
        </w:rPr>
        <w:t xml:space="preserve">Frage 4 — Perspektive Eigentümer / Asset Manager.</w:t>
      </w:r>
    </w:p>
    <w:p>
      <w:pPr>
        <w:spacing w:after="120" w:line="300"/>
        <w:jc w:val="both"/>
      </w:pPr>
      <w:r>
        <w:rPr>
          <w:i w:val="false"/>
          <w:iCs w:val="false"/>
          <w:color w:val="1A2332"/>
          <w:sz w:val="21"/>
          <w:szCs w:val="21"/>
        </w:rPr>
        <w:t xml:space="preserve">Ernsthaft geprüft — zwei klare Antworten. </w:t>
      </w:r>
      <w:r>
        <w:rPr>
          <w:i w:val="false"/>
          <w:iCs w:val="false"/>
          <w:color w:val="1A2332"/>
          <w:sz w:val="21"/>
          <w:szCs w:val="21"/>
        </w:rPr>
        <w:t xml:space="preserve">Erstens:</w:t>
      </w:r>
      <w:r>
        <w:rPr>
          <w:i w:val="false"/>
          <w:iCs w:val="false"/>
          <w:color w:val="1A2332"/>
          <w:sz w:val="21"/>
          <w:szCs w:val="21"/>
        </w:rPr>
        <w:t xml:space="preserve"> Der institutionelle Eigentümer ist </w:t>
      </w:r>
      <w:r>
        <w:rPr>
          <w:b/>
          <w:bCs/>
          <w:i w:val="false"/>
          <w:iCs w:val="false"/>
          <w:color w:val="1A2332"/>
          <w:sz w:val="21"/>
          <w:szCs w:val="21"/>
        </w:rPr>
        <w:t xml:space="preserve">kein realistischer Erstkunde für drei Personen</w:t>
      </w:r>
      <w:r>
        <w:rPr>
          <w:i w:val="false"/>
          <w:iCs w:val="false"/>
          <w:color w:val="1A2332"/>
          <w:sz w:val="21"/>
          <w:szCs w:val="21"/>
        </w:rPr>
        <w:t xml:space="preserve">, sondern ein Ziel für Jahr 3. Seine Beschaffung ist langsam, governance-schwer und referenzgetrieben; er kauft nicht bei einem jungen 3-Personen-Team ohne Portfolio-Track-Record. </w:t>
      </w:r>
      <w:r>
        <w:rPr>
          <w:i w:val="false"/>
          <w:iCs w:val="false"/>
          <w:color w:val="1A2332"/>
          <w:sz w:val="21"/>
          <w:szCs w:val="21"/>
        </w:rPr>
        <w:t xml:space="preserve">Zweitens — und das ist strategisch der wichtigste Satz des Papiers:</w:t>
      </w:r>
      <w:r>
        <w:rPr>
          <w:i w:val="false"/>
          <w:iCs w:val="false"/>
          <w:color w:val="1A2332"/>
          <w:sz w:val="21"/>
          <w:szCs w:val="21"/>
        </w:rPr>
        <w:t xml:space="preserve"> Es entsteht ein echter, verteidigungsfähiger Vorteil daraus, dass die Daten, die der Eigentümer braucht (Zustand, CAPEX, CO2), </w:t>
      </w:r>
      <w:r>
        <w:rPr>
          <w:b/>
          <w:bCs/>
          <w:i w:val="false"/>
          <w:iCs w:val="false"/>
          <w:color w:val="1A2332"/>
          <w:sz w:val="21"/>
          <w:szCs w:val="21"/>
        </w:rPr>
        <w:t xml:space="preserve">ganz unten in der Kette entstehen</w:t>
      </w:r>
      <w:r>
        <w:rPr>
          <w:i w:val="false"/>
          <w:iCs w:val="false"/>
          <w:color w:val="1A2332"/>
          <w:sz w:val="21"/>
          <w:szCs w:val="21"/>
        </w:rPr>
        <w:t xml:space="preserve"> — im Rapport des Handwerkers und im ERP des Bewirtschafters (EBP; Kapitel 3.3/3.4). Wer heute den Bewirtschafter und den Handwerker digitalisiert, sitzt in fünf Jahren an der Quelle genau der Daten, für die institutionelle Eigentümer unter AMAS/REIDA/GRESB zahlungspflichtig und zahlungsbereit sind. Der Aufbau, ohne heute unhaltbare Versprechen zu machen: </w:t>
      </w:r>
      <w:r>
        <w:rPr>
          <w:b/>
          <w:bCs/>
          <w:i w:val="false"/>
          <w:iCs w:val="false"/>
          <w:color w:val="1A2332"/>
          <w:sz w:val="21"/>
          <w:szCs w:val="21"/>
        </w:rPr>
        <w:t xml:space="preserve">von unten nach oben.</w:t>
      </w:r>
      <w:r>
        <w:rPr>
          <w:i w:val="false"/>
          <w:iCs w:val="false"/>
          <w:color w:val="1A2332"/>
          <w:sz w:val="21"/>
          <w:szCs w:val="21"/>
        </w:rPr>
        <w:t xml:space="preserve"> Jahr 1–2 saubere, strukturierte Datenerfassung an der Basis (als Nebenprodukt der operativen Entlastung, die Sie ohnehin verkaufen). Jahr 3 daraus das Reporting-/Portfolio-Datenprodukt für Eigentümer — dann mit realen Referenzen und realer Datenbasis. Heute kommunizieren Sie es </w:t>
      </w:r>
      <w:r>
        <w:rPr>
          <w:i w:val="false"/>
          <w:iCs w:val="false"/>
          <w:color w:val="1A2332"/>
          <w:sz w:val="21"/>
          <w:szCs w:val="21"/>
        </w:rPr>
        <w:t xml:space="preserve">nicht</w:t>
      </w:r>
      <w:r>
        <w:rPr>
          <w:i w:val="false"/>
          <w:iCs w:val="false"/>
          <w:color w:val="1A2332"/>
          <w:sz w:val="21"/>
          <w:szCs w:val="21"/>
        </w:rPr>
        <w:t xml:space="preserve"> als Eigentümerangebot, sondern höchstens als Vision im Hintergrund.</w:t>
      </w:r>
    </w:p>
    <w:p>
      <w:pPr>
        <w:spacing w:after="120" w:line="300"/>
        <w:jc w:val="both"/>
      </w:pPr>
      <w:r>
        <w:rPr>
          <w:b/>
          <w:bCs/>
          <w:i w:val="false"/>
          <w:iCs w:val="false"/>
          <w:color w:val="1A2332"/>
          <w:sz w:val="21"/>
          <w:szCs w:val="21"/>
        </w:rPr>
        <w:t xml:space="preserve">Frage 5 — Beachhead und Sequenz.</w:t>
      </w:r>
    </w:p>
    <w:p>
      <w:pPr>
        <w:spacing w:after="120" w:line="300"/>
        <w:jc w:val="both"/>
      </w:pPr>
      <w:r>
        <w:rPr>
          <w:i w:val="false"/>
          <w:iCs w:val="false"/>
          <w:color w:val="1A2332"/>
          <w:sz w:val="21"/>
          <w:szCs w:val="21"/>
        </w:rPr>
        <w:t xml:space="preserve">Klare Empfehlung: </w:t>
      </w:r>
      <w:r>
        <w:rPr>
          <w:b/>
          <w:bCs/>
          <w:i w:val="false"/>
          <w:iCs w:val="false"/>
          <w:color w:val="1A2332"/>
          <w:sz w:val="21"/>
          <w:szCs w:val="21"/>
        </w:rPr>
        <w:t xml:space="preserve">Leitsegment ist die Immobilienbewirtschaftung/Verwaltung für die nächsten 12 Monate. Handwerk/Bau folgt als Segment 2 ab Monat 9–12 — erschlossen über die Bewirtschafter.</w:t>
      </w:r>
      <w:r>
        <w:rPr>
          <w:i w:val="false"/>
          <w:iCs w:val="false"/>
          <w:color w:val="1A2332"/>
          <w:sz w:val="21"/>
          <w:szCs w:val="21"/>
        </w:rPr>
        <w:t xml:space="preserve"> Begründung entlang Ihrer Kriterien: (a) </w:t>
      </w:r>
      <w:r>
        <w:rPr>
          <w:i w:val="false"/>
          <w:iCs w:val="false"/>
          <w:color w:val="1A2332"/>
          <w:sz w:val="21"/>
          <w:szCs w:val="21"/>
        </w:rPr>
        <w:t xml:space="preserve">Ticketgrösse</w:t>
      </w:r>
      <w:r>
        <w:rPr>
          <w:i w:val="false"/>
          <w:iCs w:val="false"/>
          <w:color w:val="1A2332"/>
          <w:sz w:val="21"/>
          <w:szCs w:val="21"/>
        </w:rPr>
        <w:t xml:space="preserve"> — Bewirtschafter tragen höhere Recurring-Tickets als Kleinsthandwerker. (b) </w:t>
      </w:r>
      <w:r>
        <w:rPr>
          <w:i w:val="false"/>
          <w:iCs w:val="false"/>
          <w:color w:val="1A2332"/>
          <w:sz w:val="21"/>
          <w:szCs w:val="21"/>
        </w:rPr>
        <w:t xml:space="preserve">Entscheider-Erreichbarkeit</w:t>
      </w:r>
      <w:r>
        <w:rPr>
          <w:i w:val="false"/>
          <w:iCs w:val="false"/>
          <w:color w:val="1A2332"/>
          <w:sz w:val="21"/>
          <w:szCs w:val="21"/>
        </w:rPr>
        <w:t xml:space="preserve"> — Timos Netzwerk und Profil (ex-Bewirtschafter, Real Estate) geben direkten Zugang; SVIT als fokussierter Kanal. (c) </w:t>
      </w:r>
      <w:r>
        <w:rPr>
          <w:i w:val="false"/>
          <w:iCs w:val="false"/>
          <w:color w:val="1A2332"/>
          <w:sz w:val="21"/>
          <w:szCs w:val="21"/>
        </w:rPr>
        <w:t xml:space="preserve">Referenzdichte</w:t>
      </w:r>
      <w:r>
        <w:rPr>
          <w:i w:val="false"/>
          <w:iCs w:val="false"/>
          <w:color w:val="1A2332"/>
          <w:sz w:val="21"/>
          <w:szCs w:val="21"/>
        </w:rPr>
        <w:t xml:space="preserve"> — wenige, sichtbare Bewirtschafter-Referenzen (die Göldi-Linie) wirken stärker als viele verstreute Handwerker. (d) </w:t>
      </w:r>
      <w:r>
        <w:rPr>
          <w:i w:val="false"/>
          <w:iCs w:val="false"/>
          <w:color w:val="1A2332"/>
          <w:sz w:val="21"/>
          <w:szCs w:val="21"/>
        </w:rPr>
        <w:t xml:space="preserve">Erschliessung des anderen Segments</w:t>
      </w:r>
      <w:r>
        <w:rPr>
          <w:i w:val="false"/>
          <w:iCs w:val="false"/>
          <w:color w:val="1A2332"/>
          <w:sz w:val="21"/>
          <w:szCs w:val="21"/>
        </w:rPr>
        <w:t xml:space="preserve"> — der Bewirtschafter ist der natürliche Türöffner zum Handwerker (er mandatiert dessen Arbeit; wenn Sie seine Handwerkerkoordination digitalisieren, berühren Sie den Handwerker ohnehin und können ihn empfehlen/mit-onboarden). Umgekehrt funktioniert das nicht: Der Handwerker öffnet Ihnen nicht den Bewirtschafter. </w:t>
      </w:r>
      <w:r>
        <w:rPr>
          <w:i w:val="false"/>
          <w:iCs w:val="false"/>
          <w:color w:val="1A2332"/>
          <w:sz w:val="21"/>
          <w:szCs w:val="21"/>
        </w:rPr>
        <w:t xml:space="preserve">Das Handwerk ganz fallenzulassen wäre falsch</w:t>
      </w:r>
      <w:r>
        <w:rPr>
          <w:i w:val="false"/>
          <w:iCs w:val="false"/>
          <w:color w:val="1A2332"/>
          <w:sz w:val="21"/>
          <w:szCs w:val="21"/>
        </w:rPr>
        <w:t xml:space="preserve"> — die Picassino-Demo und die Handwerker-Seite sind zu gut. Aber es wird für 12 Monate zum Sekundärsegment: die Assets bleiben online, aktiv bearbeitet wird Bewirtschaftung. Zwei parallele Go-to-Markets mit drei Köpfen sind der sicherste Weg, bei beiden zu scheitern.</w:t>
      </w:r>
    </w:p>
    <w:p>
      <w:pPr>
        <w:spacing w:after="120" w:line="300"/>
        <w:jc w:val="both"/>
      </w:pPr>
      <w:r>
        <w:rPr>
          <w:b/>
          <w:bCs/>
          <w:i w:val="false"/>
          <w:iCs w:val="false"/>
          <w:color w:val="1A2332"/>
          <w:sz w:val="21"/>
          <w:szCs w:val="21"/>
        </w:rPr>
        <w:t xml:space="preserve">Frage 6 — Angebots- und Preisarchitektur.</w:t>
      </w:r>
    </w:p>
    <w:p>
      <w:pPr>
        <w:spacing w:after="120" w:line="300"/>
        <w:jc w:val="both"/>
      </w:pPr>
      <w:r>
        <w:rPr>
          <w:i w:val="false"/>
          <w:iCs w:val="false"/>
          <w:color w:val="1A2332"/>
          <w:sz w:val="21"/>
          <w:szCs w:val="21"/>
        </w:rPr>
        <w:t xml:space="preserve">Ausführlich in Kapitel 7. Kurz: bezahlter Fahrplan als Einstieg (nicht kostenlos), Betriebspaket als skalierbarer Recurring-Kern, Digitalisierungspartnerschaft als Boutique. IT/MSP wird Bestandteil des Betriebspakets, nicht eigenständige Top-Navigation. «Demo statt Offerte» wird zur benannten Methode.</w:t>
      </w:r>
    </w:p>
    <w:p>
      <w:pPr>
        <w:spacing w:after="120" w:line="300"/>
        <w:jc w:val="both"/>
      </w:pPr>
      <w:r>
        <w:rPr>
          <w:b/>
          <w:bCs/>
          <w:i w:val="false"/>
          <w:iCs w:val="false"/>
          <w:color w:val="1A2332"/>
          <w:sz w:val="21"/>
          <w:szCs w:val="21"/>
        </w:rPr>
        <w:t xml:space="preserve">Frage 7 — Claim und Kernbotschaften.</w:t>
      </w:r>
    </w:p>
    <w:p>
      <w:pPr>
        <w:spacing w:after="120" w:line="300"/>
        <w:jc w:val="both"/>
      </w:pPr>
      <w:r>
        <w:rPr>
          <w:i w:val="false"/>
          <w:iCs w:val="false"/>
          <w:color w:val="1A2332"/>
          <w:sz w:val="21"/>
          <w:szCs w:val="21"/>
        </w:rPr>
        <w:t xml:space="preserve">Empfehlung «Sie führen Ihren Betrieb. Wir führen das Digitale.» — sieben Optionen und Bewertung in Kapitel 6.5. «Build the base. Lead the race.» ist nicht tragbar (englisch, abstrakt, für die Zielgruppe wertlos). Der Name «Amplifyr» trägt allein nicht — er braucht einen Descriptor-Zusatz (6.6). KI gehört nicht in den Claim (Mittel, nicht Versprechen; «KI-Agentur» ist verbrannt). Übersetzungstabelle in 6.3.</w:t>
      </w:r>
    </w:p>
    <w:p>
      <w:pPr>
        <w:spacing w:after="120" w:line="300"/>
        <w:jc w:val="both"/>
      </w:pPr>
      <w:r>
        <w:rPr>
          <w:b/>
          <w:bCs/>
          <w:i w:val="false"/>
          <w:iCs w:val="false"/>
          <w:color w:val="1A2332"/>
          <w:sz w:val="21"/>
          <w:szCs w:val="21"/>
        </w:rPr>
        <w:t xml:space="preserve">Frage 8 — Website-Bauplan.</w:t>
      </w:r>
    </w:p>
    <w:p>
      <w:pPr>
        <w:spacing w:after="120" w:line="300"/>
        <w:jc w:val="both"/>
      </w:pPr>
      <w:r>
        <w:rPr>
          <w:i w:val="false"/>
          <w:iCs w:val="false"/>
          <w:color w:val="1A2332"/>
          <w:sz w:val="21"/>
          <w:szCs w:val="21"/>
        </w:rPr>
        <w:t xml:space="preserve">Vollständig in Kapitel 8.</w:t>
      </w:r>
    </w:p>
    <w:p>
      <w:pPr>
        <w:spacing w:after="120" w:line="300"/>
        <w:jc w:val="both"/>
      </w:pPr>
      <w:r>
        <w:rPr>
          <w:b/>
          <w:bCs/>
          <w:i w:val="false"/>
          <w:iCs w:val="false"/>
          <w:color w:val="1A2332"/>
          <w:sz w:val="21"/>
          <w:szCs w:val="21"/>
        </w:rPr>
        <w:t xml:space="preserve">Frage 9 — Risiken und Prüfpunkte.</w:t>
      </w:r>
    </w:p>
    <w:p>
      <w:pPr>
        <w:spacing w:after="120" w:line="300"/>
        <w:jc w:val="both"/>
      </w:pPr>
      <w:r>
        <w:rPr>
          <w:i w:val="false"/>
          <w:iCs w:val="false"/>
          <w:color w:val="1A2332"/>
          <w:sz w:val="21"/>
          <w:szCs w:val="21"/>
        </w:rPr>
        <w:t xml:space="preserve">Vollständig in Kapitel 10.</w:t>
      </w:r>
    </w:p>
    <w:p>
      <w:pPr>
        <w:pStyle w:val="Heading2"/>
        <w:spacing w:after="100" w:before="240"/>
      </w:pPr>
      <w:r>
        <w:rPr>
          <w:b/>
          <w:bCs/>
          <w:color w:val="1A2332"/>
          <w:sz w:val="24"/>
          <w:szCs w:val="24"/>
        </w:rPr>
        <w:t xml:space="preserve">6.5 Claim-Optionen (7), bewertet</w:t>
      </w:r>
    </w:p>
    <w:p>
      <w:pPr>
        <w:spacing w:after="120" w:line="300"/>
        <w:jc w:val="both"/>
      </w:pPr>
      <w:r>
        <w:rPr>
          <w:i w:val="false"/>
          <w:iCs w:val="false"/>
          <w:color w:val="1A2332"/>
          <w:sz w:val="21"/>
          <w:szCs w:val="21"/>
        </w:rPr>
        <w:t xml:space="preserve">Bewertet nach: Verständlichkeit für einen 55-jährigen Betriebsinhaber (V), Differenzierung (D), Glaubwürdigkeit (G), Haltbarkeit über 5 Jahre (H). Skala 1–5.</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1337"/>
        <w:gridCol w:w="1337"/>
        <w:gridCol w:w="1337"/>
        <w:gridCol w:w="1337"/>
        <w:gridCol w:w="1337"/>
        <w:gridCol w:w="1337"/>
        <w:gridCol w:w="1338"/>
      </w:tblGrid>
      <w:tr>
        <w:trPr>
          <w:tblHeader/>
        </w:trPr>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w:t>
            </w:r>
          </w:p>
        </w:tc>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Claim</w:t>
            </w:r>
          </w:p>
        </w:tc>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Subclaim</w:t>
            </w:r>
          </w:p>
        </w:tc>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V</w:t>
            </w:r>
          </w:p>
        </w:tc>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D</w:t>
            </w:r>
          </w:p>
        </w:tc>
        <w:tc>
          <w:tcPr>
            <w:tcW w:type="dxa" w:w="1337"/>
            <w:shd w:fill="2E6E8E" w:color="auto" w:val="clear"/>
            <w:tcMar>
              <w:top w:type="dxa" w:w="60"/>
              <w:left w:type="dxa" w:w="100"/>
              <w:bottom w:type="dxa" w:w="60"/>
              <w:right w:type="dxa" w:w="100"/>
            </w:tcMar>
          </w:tcPr>
          <w:p>
            <w:pPr>
              <w:spacing w:after="20" w:before="20"/>
            </w:pPr>
            <w:r>
              <w:rPr>
                <w:b/>
                <w:bCs/>
                <w:color w:val="FFFFFF"/>
                <w:sz w:val="18"/>
                <w:szCs w:val="18"/>
              </w:rPr>
              <w:t xml:space="preserve">G</w:t>
            </w:r>
          </w:p>
        </w:tc>
        <w:tc>
          <w:tcPr>
            <w:tcW w:type="dxa" w:w="1338"/>
            <w:shd w:fill="2E6E8E" w:color="auto" w:val="clear"/>
            <w:tcMar>
              <w:top w:type="dxa" w:w="60"/>
              <w:left w:type="dxa" w:w="100"/>
              <w:bottom w:type="dxa" w:w="60"/>
              <w:right w:type="dxa" w:w="100"/>
            </w:tcMar>
          </w:tcPr>
          <w:p>
            <w:pPr>
              <w:spacing w:after="20" w:before="20"/>
            </w:pPr>
            <w:r>
              <w:rPr>
                <w:b/>
                <w:bCs/>
                <w:color w:val="FFFFFF"/>
                <w:sz w:val="18"/>
                <w:szCs w:val="18"/>
              </w:rPr>
              <w:t xml:space="preserve">H</w:t>
            </w:r>
          </w:p>
        </w:tc>
      </w:tr>
      <w:tr>
        <w:trPr>
          <w:tblHeader w:val="false"/>
        </w:trPr>
        <w:tc>
          <w:tcPr>
            <w:tcW w:type="dxa" w:w="1337"/>
            <w:tcMar>
              <w:top w:type="dxa" w:w="60"/>
              <w:left w:type="dxa" w:w="100"/>
              <w:bottom w:type="dxa" w:w="60"/>
              <w:right w:type="dxa" w:w="100"/>
            </w:tcMar>
          </w:tcPr>
          <w:p>
            <w:pPr>
              <w:spacing w:after="20" w:before="20"/>
            </w:pPr>
            <w:r>
              <w:rPr>
                <w:color w:val="1A2332"/>
                <w:sz w:val="18"/>
                <w:szCs w:val="18"/>
              </w:rPr>
              <w:t xml:space="preserve">1 ✅</w:t>
            </w:r>
          </w:p>
        </w:tc>
        <w:tc>
          <w:tcPr>
            <w:tcW w:type="dxa" w:w="1337"/>
            <w:tcMar>
              <w:top w:type="dxa" w:w="60"/>
              <w:left w:type="dxa" w:w="100"/>
              <w:bottom w:type="dxa" w:w="60"/>
              <w:right w:type="dxa" w:w="100"/>
            </w:tcMar>
          </w:tcPr>
          <w:p>
            <w:pPr>
              <w:spacing w:after="20" w:before="20"/>
            </w:pPr>
            <w:r>
              <w:rPr>
                <w:b/>
                <w:bCs/>
                <w:color w:val="1A2332"/>
                <w:sz w:val="18"/>
                <w:szCs w:val="18"/>
              </w:rPr>
              <w:t xml:space="preserve">Sie führen Ihren Betrieb. Wir führen das Digitale.</w:t>
            </w:r>
          </w:p>
        </w:tc>
        <w:tc>
          <w:tcPr>
            <w:tcW w:type="dxa" w:w="1337"/>
            <w:tcMar>
              <w:top w:type="dxa" w:w="60"/>
              <w:left w:type="dxa" w:w="100"/>
              <w:bottom w:type="dxa" w:w="60"/>
              <w:right w:type="dxa" w:w="100"/>
            </w:tcMar>
          </w:tcPr>
          <w:p>
            <w:pPr>
              <w:spacing w:after="20" w:before="20"/>
            </w:pPr>
            <w:r>
              <w:rPr>
                <w:color w:val="1A2332"/>
                <w:sz w:val="18"/>
                <w:szCs w:val="18"/>
              </w:rPr>
              <w:t xml:space="preserve">Ein Ansprechpartner für Website, Software und IT — aufgebaut und laufend betrieben.</w:t>
            </w:r>
          </w:p>
        </w:tc>
        <w:tc>
          <w:tcPr>
            <w:tcW w:type="dxa" w:w="1337"/>
            <w:tcMar>
              <w:top w:type="dxa" w:w="60"/>
              <w:left w:type="dxa" w:w="100"/>
              <w:bottom w:type="dxa" w:w="60"/>
              <w:right w:type="dxa" w:w="100"/>
            </w:tcMar>
          </w:tcPr>
          <w:p>
            <w:pPr>
              <w:spacing w:after="20" w:before="20"/>
            </w:pPr>
            <w:r>
              <w:rPr>
                <w:color w:val="1A2332"/>
                <w:sz w:val="18"/>
                <w:szCs w:val="18"/>
              </w:rPr>
              <w:t xml:space="preserve">5</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7"/>
            <w:tcMar>
              <w:top w:type="dxa" w:w="60"/>
              <w:left w:type="dxa" w:w="100"/>
              <w:bottom w:type="dxa" w:w="60"/>
              <w:right w:type="dxa" w:w="100"/>
            </w:tcMar>
          </w:tcPr>
          <w:p>
            <w:pPr>
              <w:spacing w:after="20" w:before="20"/>
            </w:pPr>
            <w:r>
              <w:rPr>
                <w:color w:val="1A2332"/>
                <w:sz w:val="18"/>
                <w:szCs w:val="18"/>
              </w:rPr>
              <w:t xml:space="preserve">5</w:t>
            </w:r>
          </w:p>
        </w:tc>
        <w:tc>
          <w:tcPr>
            <w:tcW w:type="dxa" w:w="1338"/>
            <w:tcMar>
              <w:top w:type="dxa" w:w="60"/>
              <w:left w:type="dxa" w:w="100"/>
              <w:bottom w:type="dxa" w:w="60"/>
              <w:right w:type="dxa" w:w="100"/>
            </w:tcMar>
          </w:tcPr>
          <w:p>
            <w:pPr>
              <w:spacing w:after="20" w:before="20"/>
            </w:pPr>
            <w:r>
              <w:rPr>
                <w:color w:val="1A2332"/>
                <w:sz w:val="18"/>
                <w:szCs w:val="18"/>
              </w:rPr>
              <w:t xml:space="preserve">5</w:t>
            </w:r>
          </w:p>
        </w:tc>
      </w:tr>
      <w:tr>
        <w:trPr>
          <w:tblHeader w:val="false"/>
        </w:trPr>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2</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Software kann jeder kaufen. Das Zusammenspiel nicht.</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Wir verbinden Ihre Systeme und betreiben das Ganze.</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5</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8"/>
            <w:shd w:fill="EEF3F6" w:color="auto" w:val="clear"/>
            <w:tcMar>
              <w:top w:type="dxa" w:w="60"/>
              <w:left w:type="dxa" w:w="100"/>
              <w:bottom w:type="dxa" w:w="60"/>
              <w:right w:type="dxa" w:w="100"/>
            </w:tcMar>
          </w:tcPr>
          <w:p>
            <w:pPr>
              <w:spacing w:after="20" w:before="20"/>
            </w:pPr>
            <w:r>
              <w:rPr>
                <w:color w:val="1A2332"/>
                <w:sz w:val="18"/>
                <w:szCs w:val="18"/>
              </w:rPr>
              <w:t xml:space="preserve">4</w:t>
            </w:r>
          </w:p>
        </w:tc>
      </w:tr>
      <w:tr>
        <w:trPr>
          <w:tblHeader w:val="false"/>
        </w:trPr>
        <w:tc>
          <w:tcPr>
            <w:tcW w:type="dxa" w:w="1337"/>
            <w:tcMar>
              <w:top w:type="dxa" w:w="60"/>
              <w:left w:type="dxa" w:w="100"/>
              <w:bottom w:type="dxa" w:w="60"/>
              <w:right w:type="dxa" w:w="100"/>
            </w:tcMar>
          </w:tcPr>
          <w:p>
            <w:pPr>
              <w:spacing w:after="20" w:before="20"/>
            </w:pPr>
            <w:r>
              <w:rPr>
                <w:color w:val="1A2332"/>
                <w:sz w:val="18"/>
                <w:szCs w:val="18"/>
              </w:rPr>
              <w:t xml:space="preserve">3</w:t>
            </w:r>
          </w:p>
        </w:tc>
        <w:tc>
          <w:tcPr>
            <w:tcW w:type="dxa" w:w="1337"/>
            <w:tcMar>
              <w:top w:type="dxa" w:w="60"/>
              <w:left w:type="dxa" w:w="100"/>
              <w:bottom w:type="dxa" w:w="60"/>
              <w:right w:type="dxa" w:w="100"/>
            </w:tcMar>
          </w:tcPr>
          <w:p>
            <w:pPr>
              <w:spacing w:after="20" w:before="20"/>
            </w:pPr>
            <w:r>
              <w:rPr>
                <w:color w:val="1A2332"/>
                <w:sz w:val="18"/>
                <w:szCs w:val="18"/>
              </w:rPr>
              <w:t xml:space="preserve">Ihre Digital-Abteilung. Ohne eigene Anstellung.</w:t>
            </w:r>
          </w:p>
        </w:tc>
        <w:tc>
          <w:tcPr>
            <w:tcW w:type="dxa" w:w="1337"/>
            <w:tcMar>
              <w:top w:type="dxa" w:w="60"/>
              <w:left w:type="dxa" w:w="100"/>
              <w:bottom w:type="dxa" w:w="60"/>
              <w:right w:type="dxa" w:w="100"/>
            </w:tcMar>
          </w:tcPr>
          <w:p>
            <w:pPr>
              <w:spacing w:after="20" w:before="20"/>
            </w:pPr>
            <w:r>
              <w:rPr>
                <w:color w:val="1A2332"/>
                <w:sz w:val="18"/>
                <w:szCs w:val="18"/>
              </w:rPr>
              <w:t xml:space="preserve">Wir kümmern uns um alles Digitale — für eine feste Monatspauschale.</w:t>
            </w:r>
          </w:p>
        </w:tc>
        <w:tc>
          <w:tcPr>
            <w:tcW w:type="dxa" w:w="1337"/>
            <w:tcMar>
              <w:top w:type="dxa" w:w="60"/>
              <w:left w:type="dxa" w:w="100"/>
              <w:bottom w:type="dxa" w:w="60"/>
              <w:right w:type="dxa" w:w="100"/>
            </w:tcMar>
          </w:tcPr>
          <w:p>
            <w:pPr>
              <w:spacing w:after="20" w:before="20"/>
            </w:pPr>
            <w:r>
              <w:rPr>
                <w:color w:val="1A2332"/>
                <w:sz w:val="18"/>
                <w:szCs w:val="18"/>
              </w:rPr>
              <w:t xml:space="preserve">5</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8"/>
            <w:tcMar>
              <w:top w:type="dxa" w:w="60"/>
              <w:left w:type="dxa" w:w="100"/>
              <w:bottom w:type="dxa" w:w="60"/>
              <w:right w:type="dxa" w:w="100"/>
            </w:tcMar>
          </w:tcPr>
          <w:p>
            <w:pPr>
              <w:spacing w:after="20" w:before="20"/>
            </w:pPr>
            <w:r>
              <w:rPr>
                <w:color w:val="1A2332"/>
                <w:sz w:val="18"/>
                <w:szCs w:val="18"/>
              </w:rPr>
              <w:t xml:space="preserve">4</w:t>
            </w:r>
          </w:p>
        </w:tc>
      </w:tr>
      <w:tr>
        <w:trPr>
          <w:tblHeader w:val="false"/>
        </w:trPr>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Mehr Kapazität. Ohne mehr Personal.</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Wir digitalisieren Ihren Betrieb, damit Ihre Leute für das Wesentliche frei werden.</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3</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8"/>
            <w:shd w:fill="EEF3F6" w:color="auto" w:val="clear"/>
            <w:tcMar>
              <w:top w:type="dxa" w:w="60"/>
              <w:left w:type="dxa" w:w="100"/>
              <w:bottom w:type="dxa" w:w="60"/>
              <w:right w:type="dxa" w:w="100"/>
            </w:tcMar>
          </w:tcPr>
          <w:p>
            <w:pPr>
              <w:spacing w:after="20" w:before="20"/>
            </w:pPr>
            <w:r>
              <w:rPr>
                <w:color w:val="1A2332"/>
                <w:sz w:val="18"/>
                <w:szCs w:val="18"/>
              </w:rPr>
              <w:t xml:space="preserve">4</w:t>
            </w:r>
          </w:p>
        </w:tc>
      </w:tr>
      <w:tr>
        <w:trPr>
          <w:tblHeader w:val="false"/>
        </w:trPr>
        <w:tc>
          <w:tcPr>
            <w:tcW w:type="dxa" w:w="1337"/>
            <w:tcMar>
              <w:top w:type="dxa" w:w="60"/>
              <w:left w:type="dxa" w:w="100"/>
              <w:bottom w:type="dxa" w:w="60"/>
              <w:right w:type="dxa" w:w="100"/>
            </w:tcMar>
          </w:tcPr>
          <w:p>
            <w:pPr>
              <w:spacing w:after="20" w:before="20"/>
            </w:pPr>
            <w:r>
              <w:rPr>
                <w:color w:val="1A2332"/>
                <w:sz w:val="18"/>
                <w:szCs w:val="18"/>
              </w:rPr>
              <w:t xml:space="preserve">5</w:t>
            </w:r>
          </w:p>
        </w:tc>
        <w:tc>
          <w:tcPr>
            <w:tcW w:type="dxa" w:w="1337"/>
            <w:tcMar>
              <w:top w:type="dxa" w:w="60"/>
              <w:left w:type="dxa" w:w="100"/>
              <w:bottom w:type="dxa" w:w="60"/>
              <w:right w:type="dxa" w:w="100"/>
            </w:tcMar>
          </w:tcPr>
          <w:p>
            <w:pPr>
              <w:spacing w:after="20" w:before="20"/>
            </w:pPr>
            <w:r>
              <w:rPr>
                <w:color w:val="1A2332"/>
                <w:sz w:val="18"/>
                <w:szCs w:val="18"/>
              </w:rPr>
              <w:t xml:space="preserve">Eine Nummer für alles Digitale.</w:t>
            </w:r>
          </w:p>
        </w:tc>
        <w:tc>
          <w:tcPr>
            <w:tcW w:type="dxa" w:w="1337"/>
            <w:tcMar>
              <w:top w:type="dxa" w:w="60"/>
              <w:left w:type="dxa" w:w="100"/>
              <w:bottom w:type="dxa" w:w="60"/>
              <w:right w:type="dxa" w:w="100"/>
            </w:tcMar>
          </w:tcPr>
          <w:p>
            <w:pPr>
              <w:spacing w:after="20" w:before="20"/>
            </w:pPr>
            <w:r>
              <w:rPr>
                <w:color w:val="1A2332"/>
                <w:sz w:val="18"/>
                <w:szCs w:val="18"/>
              </w:rPr>
              <w:t xml:space="preserve">Von der Website bis zur IT — ein Vertrag, ein Ansprechpartner, ein Ergebnis.</w:t>
            </w:r>
          </w:p>
        </w:tc>
        <w:tc>
          <w:tcPr>
            <w:tcW w:type="dxa" w:w="1337"/>
            <w:tcMar>
              <w:top w:type="dxa" w:w="60"/>
              <w:left w:type="dxa" w:w="100"/>
              <w:bottom w:type="dxa" w:w="60"/>
              <w:right w:type="dxa" w:w="100"/>
            </w:tcMar>
          </w:tcPr>
          <w:p>
            <w:pPr>
              <w:spacing w:after="20" w:before="20"/>
            </w:pPr>
            <w:r>
              <w:rPr>
                <w:color w:val="1A2332"/>
                <w:sz w:val="18"/>
                <w:szCs w:val="18"/>
              </w:rPr>
              <w:t xml:space="preserve">5</w:t>
            </w:r>
          </w:p>
        </w:tc>
        <w:tc>
          <w:tcPr>
            <w:tcW w:type="dxa" w:w="1337"/>
            <w:tcMar>
              <w:top w:type="dxa" w:w="60"/>
              <w:left w:type="dxa" w:w="100"/>
              <w:bottom w:type="dxa" w:w="60"/>
              <w:right w:type="dxa" w:w="100"/>
            </w:tcMar>
          </w:tcPr>
          <w:p>
            <w:pPr>
              <w:spacing w:after="20" w:before="20"/>
            </w:pPr>
            <w:r>
              <w:rPr>
                <w:color w:val="1A2332"/>
                <w:sz w:val="18"/>
                <w:szCs w:val="18"/>
              </w:rPr>
              <w:t xml:space="preserve">3</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8"/>
            <w:tcMar>
              <w:top w:type="dxa" w:w="60"/>
              <w:left w:type="dxa" w:w="100"/>
              <w:bottom w:type="dxa" w:w="60"/>
              <w:right w:type="dxa" w:w="100"/>
            </w:tcMar>
          </w:tcPr>
          <w:p>
            <w:pPr>
              <w:spacing w:after="20" w:before="20"/>
            </w:pPr>
            <w:r>
              <w:rPr>
                <w:color w:val="1A2332"/>
                <w:sz w:val="18"/>
                <w:szCs w:val="18"/>
              </w:rPr>
              <w:t xml:space="preserve">4</w:t>
            </w:r>
          </w:p>
        </w:tc>
      </w:tr>
      <w:tr>
        <w:trPr>
          <w:tblHeader w:val="false"/>
        </w:trPr>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6</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Wir nehmen Ihnen das Büro ab, nicht das Handwerk.</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Weniger Papierkram, mehr Zeit für den Betrieb.</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5</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3</w:t>
            </w:r>
          </w:p>
        </w:tc>
        <w:tc>
          <w:tcPr>
            <w:tcW w:type="dxa" w:w="1337"/>
            <w:shd w:fill="EEF3F6" w:color="auto" w:val="clear"/>
            <w:tcMar>
              <w:top w:type="dxa" w:w="60"/>
              <w:left w:type="dxa" w:w="100"/>
              <w:bottom w:type="dxa" w:w="60"/>
              <w:right w:type="dxa" w:w="100"/>
            </w:tcMar>
          </w:tcPr>
          <w:p>
            <w:pPr>
              <w:spacing w:after="20" w:before="20"/>
            </w:pPr>
            <w:r>
              <w:rPr>
                <w:color w:val="1A2332"/>
                <w:sz w:val="18"/>
                <w:szCs w:val="18"/>
              </w:rPr>
              <w:t xml:space="preserve">4</w:t>
            </w:r>
          </w:p>
        </w:tc>
        <w:tc>
          <w:tcPr>
            <w:tcW w:type="dxa" w:w="1338"/>
            <w:shd w:fill="EEF3F6" w:color="auto" w:val="clear"/>
            <w:tcMar>
              <w:top w:type="dxa" w:w="60"/>
              <w:left w:type="dxa" w:w="100"/>
              <w:bottom w:type="dxa" w:w="60"/>
              <w:right w:type="dxa" w:w="100"/>
            </w:tcMar>
          </w:tcPr>
          <w:p>
            <w:pPr>
              <w:spacing w:after="20" w:before="20"/>
            </w:pPr>
            <w:r>
              <w:rPr>
                <w:color w:val="1A2332"/>
                <w:sz w:val="18"/>
                <w:szCs w:val="18"/>
              </w:rPr>
              <w:t xml:space="preserve">3</w:t>
            </w:r>
          </w:p>
        </w:tc>
      </w:tr>
      <w:tr>
        <w:trPr>
          <w:tblHeader w:val="false"/>
        </w:trPr>
        <w:tc>
          <w:tcPr>
            <w:tcW w:type="dxa" w:w="1337"/>
            <w:tcMar>
              <w:top w:type="dxa" w:w="60"/>
              <w:left w:type="dxa" w:w="100"/>
              <w:bottom w:type="dxa" w:w="60"/>
              <w:right w:type="dxa" w:w="100"/>
            </w:tcMar>
          </w:tcPr>
          <w:p>
            <w:pPr>
              <w:spacing w:after="20" w:before="20"/>
            </w:pPr>
            <w:r>
              <w:rPr>
                <w:color w:val="1A2332"/>
                <w:sz w:val="18"/>
                <w:szCs w:val="18"/>
              </w:rPr>
              <w:t xml:space="preserve">7</w:t>
            </w:r>
          </w:p>
        </w:tc>
        <w:tc>
          <w:tcPr>
            <w:tcW w:type="dxa" w:w="1337"/>
            <w:tcMar>
              <w:top w:type="dxa" w:w="60"/>
              <w:left w:type="dxa" w:w="100"/>
              <w:bottom w:type="dxa" w:w="60"/>
              <w:right w:type="dxa" w:w="100"/>
            </w:tcMar>
          </w:tcPr>
          <w:p>
            <w:pPr>
              <w:spacing w:after="20" w:before="20"/>
            </w:pPr>
            <w:r>
              <w:rPr>
                <w:color w:val="1A2332"/>
                <w:sz w:val="18"/>
                <w:szCs w:val="18"/>
              </w:rPr>
              <w:t xml:space="preserve">Digitalisierung, die im Betrieb ankommt.</w:t>
            </w:r>
          </w:p>
        </w:tc>
        <w:tc>
          <w:tcPr>
            <w:tcW w:type="dxa" w:w="1337"/>
            <w:tcMar>
              <w:top w:type="dxa" w:w="60"/>
              <w:left w:type="dxa" w:w="100"/>
              <w:bottom w:type="dxa" w:w="60"/>
              <w:right w:type="dxa" w:w="100"/>
            </w:tcMar>
          </w:tcPr>
          <w:p>
            <w:pPr>
              <w:spacing w:after="20" w:before="20"/>
            </w:pPr>
            <w:r>
              <w:rPr>
                <w:color w:val="1A2332"/>
                <w:sz w:val="18"/>
                <w:szCs w:val="18"/>
              </w:rPr>
              <w:t xml:space="preserve">Kein Tool von der Stange, sondern ein System, das für Sie arbeitet.</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7"/>
            <w:tcMar>
              <w:top w:type="dxa" w:w="60"/>
              <w:left w:type="dxa" w:w="100"/>
              <w:bottom w:type="dxa" w:w="60"/>
              <w:right w:type="dxa" w:w="100"/>
            </w:tcMar>
          </w:tcPr>
          <w:p>
            <w:pPr>
              <w:spacing w:after="20" w:before="20"/>
            </w:pPr>
            <w:r>
              <w:rPr>
                <w:color w:val="1A2332"/>
                <w:sz w:val="18"/>
                <w:szCs w:val="18"/>
              </w:rPr>
              <w:t xml:space="preserve">3</w:t>
            </w:r>
          </w:p>
        </w:tc>
        <w:tc>
          <w:tcPr>
            <w:tcW w:type="dxa" w:w="1337"/>
            <w:tcMar>
              <w:top w:type="dxa" w:w="60"/>
              <w:left w:type="dxa" w:w="100"/>
              <w:bottom w:type="dxa" w:w="60"/>
              <w:right w:type="dxa" w:w="100"/>
            </w:tcMar>
          </w:tcPr>
          <w:p>
            <w:pPr>
              <w:spacing w:after="20" w:before="20"/>
            </w:pPr>
            <w:r>
              <w:rPr>
                <w:color w:val="1A2332"/>
                <w:sz w:val="18"/>
                <w:szCs w:val="18"/>
              </w:rPr>
              <w:t xml:space="preserve">4</w:t>
            </w:r>
          </w:p>
        </w:tc>
        <w:tc>
          <w:tcPr>
            <w:tcW w:type="dxa" w:w="1338"/>
            <w:tcMar>
              <w:top w:type="dxa" w:w="60"/>
              <w:left w:type="dxa" w:w="100"/>
              <w:bottom w:type="dxa" w:w="60"/>
              <w:right w:type="dxa" w:w="100"/>
            </w:tcMar>
          </w:tcPr>
          <w:p>
            <w:pPr>
              <w:spacing w:after="20" w:before="20"/>
            </w:pPr>
            <w:r>
              <w:rPr>
                <w:color w:val="1A2332"/>
                <w:sz w:val="18"/>
                <w:szCs w:val="18"/>
              </w:rPr>
              <w:t xml:space="preserve">4</w:t>
            </w:r>
          </w:p>
        </w:tc>
      </w:tr>
    </w:tbl>
    <w:p>
      <w:pPr>
        <w:spacing w:after="120"/>
      </w:pPr>
    </w:p>
    <w:p>
      <w:pPr>
        <w:spacing w:after="120" w:line="300"/>
        <w:jc w:val="both"/>
      </w:pPr>
      <w:r>
        <w:rPr>
          <w:b/>
          <w:bCs/>
          <w:i w:val="false"/>
          <w:iCs w:val="false"/>
          <w:color w:val="1A2332"/>
          <w:sz w:val="21"/>
          <w:szCs w:val="21"/>
        </w:rPr>
        <w:t xml:space="preserve">Empfehlung: Claim 1</w:t>
      </w:r>
      <w:r>
        <w:rPr>
          <w:i w:val="false"/>
          <w:iCs w:val="false"/>
          <w:color w:val="1A2332"/>
          <w:sz w:val="21"/>
          <w:szCs w:val="21"/>
        </w:rPr>
        <w:t xml:space="preserve"> als Dach, </w:t>
      </w:r>
      <w:r>
        <w:rPr>
          <w:b/>
          <w:bCs/>
          <w:i w:val="false"/>
          <w:iCs w:val="false"/>
          <w:color w:val="1A2332"/>
          <w:sz w:val="21"/>
          <w:szCs w:val="21"/>
        </w:rPr>
        <w:t xml:space="preserve">Claim 2</w:t>
      </w:r>
      <w:r>
        <w:rPr>
          <w:i w:val="false"/>
          <w:iCs w:val="false"/>
          <w:color w:val="1A2332"/>
          <w:sz w:val="21"/>
          <w:szCs w:val="21"/>
        </w:rPr>
        <w:t xml:space="preserve"> («Software kann jeder kaufen. Das Zusammenspiel nicht.») als tragende Kernbotschaft im Fliesstext — er ist Ihr stärkster differenzierender Satz und stammt bereits aus Ihrer eigenen Demo. Claim 1 gewinnt, weil er (a) bereits in beiden Demos in Varianten funktioniert («Sie meistern das Handwerk. Wir das Digitale.» / «Sie meistern die Bewirtschaftung. Wir das Digitale.»), also erprobt ist; (b) die Rollenteilung respektvoll formuliert (der Kunde bleibt der Chef seines Betriebs); (c) segmentierbar ist (Handwerk/Bewirtschaftung einsetzbar) und (d) ohne KI, ohne Anglizismus, ohne Floskel auskommt.</w:t>
      </w:r>
    </w:p>
    <w:p>
      <w:pPr>
        <w:pStyle w:val="Heading2"/>
        <w:spacing w:after="100" w:before="240"/>
      </w:pPr>
      <w:r>
        <w:rPr>
          <w:b/>
          <w:bCs/>
          <w:color w:val="1A2332"/>
          <w:sz w:val="24"/>
          <w:szCs w:val="24"/>
        </w:rPr>
        <w:t xml:space="preserve">6.6 Markenname und Descriptor</w:t>
      </w:r>
    </w:p>
    <w:p>
      <w:pPr>
        <w:spacing w:after="120" w:line="300"/>
        <w:jc w:val="both"/>
      </w:pPr>
      <w:r>
        <w:rPr>
          <w:i w:val="false"/>
          <w:iCs w:val="false"/>
          <w:color w:val="1A2332"/>
          <w:sz w:val="21"/>
          <w:szCs w:val="21"/>
        </w:rPr>
        <w:t xml:space="preserve">«Amplifyr» allein sagt nicht, was Sie tun — für einen Betriebsinhaber ist es ein leeres englisches Kunstwort. Es braucht ein </w:t>
      </w:r>
      <w:r>
        <w:rPr>
          <w:b/>
          <w:bCs/>
          <w:i w:val="false"/>
          <w:iCs w:val="false"/>
          <w:color w:val="1A2332"/>
          <w:sz w:val="21"/>
          <w:szCs w:val="21"/>
        </w:rPr>
        <w:t xml:space="preserve">Descriptor-Lockup</w:t>
      </w:r>
      <w:r>
        <w:rPr>
          <w:i w:val="false"/>
          <w:iCs w:val="false"/>
          <w:color w:val="1A2332"/>
          <w:sz w:val="21"/>
          <w:szCs w:val="21"/>
        </w:rPr>
        <w:t xml:space="preserve">, das immer mitläuft:</w:t>
      </w:r>
    </w:p>
    <w:p>
      <w:pPr>
        <w:pBdr>
          <w:left w:val="single" w:color="C4622D" w:sz="24" w:space="12"/>
        </w:pBdr>
        <w:shd w:fill="EEF3F6" w:color="auto" w:val="clear"/>
        <w:spacing w:after="160" w:before="60" w:line="300"/>
        <w:ind w:left="220" w:right="220"/>
      </w:pPr>
      <w:r>
        <w:rPr>
          <w:b/>
          <w:bCs/>
          <w:color w:val="1A2332"/>
          <w:sz w:val="22"/>
          <w:szCs w:val="22"/>
        </w:rPr>
        <w:t xml:space="preserve">Amplifyr</w:t>
      </w:r>
      <w:r>
        <w:rPr>
          <w:color w:val="1A2332"/>
          <w:sz w:val="22"/>
          <w:szCs w:val="22"/>
        </w:rPr>
        <w:t xml:space="preserve"> — Digitalisierung für Immobilien und Bau</w:t>
      </w:r>
    </w:p>
    <w:p>
      <w:pPr>
        <w:spacing w:after="120" w:line="300"/>
        <w:jc w:val="both"/>
      </w:pPr>
      <w:r>
        <w:rPr>
          <w:i w:val="false"/>
          <w:iCs w:val="false"/>
          <w:color w:val="1A2332"/>
          <w:sz w:val="21"/>
          <w:szCs w:val="21"/>
        </w:rPr>
        <w:t xml:space="preserve">oder, näher am Betriebsmodell:</w:t>
      </w:r>
    </w:p>
    <w:p>
      <w:pPr>
        <w:pBdr>
          <w:left w:val="single" w:color="C4622D" w:sz="24" w:space="12"/>
        </w:pBdr>
        <w:shd w:fill="EEF3F6" w:color="auto" w:val="clear"/>
        <w:spacing w:after="160" w:before="60" w:line="300"/>
        <w:ind w:left="220" w:right="220"/>
      </w:pPr>
      <w:r>
        <w:rPr>
          <w:b/>
          <w:bCs/>
          <w:color w:val="1A2332"/>
          <w:sz w:val="22"/>
          <w:szCs w:val="22"/>
        </w:rPr>
        <w:t xml:space="preserve">Amplifyr</w:t>
      </w:r>
      <w:r>
        <w:rPr>
          <w:color w:val="1A2332"/>
          <w:sz w:val="22"/>
          <w:szCs w:val="22"/>
        </w:rPr>
        <w:t xml:space="preserve"> — Ihre Digital-Abteilung für Immobilien und Bau</w:t>
      </w:r>
    </w:p>
    <w:p>
      <w:pPr>
        <w:spacing w:after="120" w:line="300"/>
        <w:jc w:val="both"/>
      </w:pPr>
      <w:r>
        <w:rPr>
          <w:i w:val="false"/>
          <w:iCs w:val="false"/>
          <w:color w:val="1A2332"/>
          <w:sz w:val="21"/>
          <w:szCs w:val="21"/>
        </w:rPr>
        <w:t xml:space="preserve">Der Name selbst muss nicht geändert werden (Neupositionierung heisst nicht Umbenennung, und ein Wechsel würde die bestehende Domain- und Rechnungsidentität kosten). Aber er darf nie mehr ohne Descriptor auftreten. Konsequenz für die Marke: Der englische Marken-Mix («Build the base. Lead the race.», «amplified») wird zugunsten einer durchgehend deutschen, konkreten Sprache aufgegeben.</w:t>
      </w:r>
    </w:p>
    <w:p>
      <w:pPr>
        <w:pBdr>
          <w:bottom w:val="single" w:color="C9D3DA" w:sz="6" w:space="6"/>
        </w:pBdr>
        <w:spacing w:after="160" w:before="80"/>
      </w:pPr>
    </w:p>
    <w:p>
      <w:pPr>
        <w:pStyle w:val="Heading1"/>
        <w:pageBreakBefore/>
        <w:spacing w:after="160" w:before="120"/>
      </w:pPr>
      <w:r>
        <w:rPr>
          <w:b/>
          <w:bCs/>
          <w:color w:val="1A2332"/>
          <w:sz w:val="34"/>
          <w:szCs w:val="34"/>
        </w:rPr>
        <w:t xml:space="preserve">7. Angebots- und Preisarchitektur</w:t>
      </w:r>
    </w:p>
    <w:p>
      <w:pPr>
        <w:pStyle w:val="Heading2"/>
        <w:spacing w:after="100" w:before="240"/>
      </w:pPr>
      <w:r>
        <w:rPr>
          <w:b/>
          <w:bCs/>
          <w:color w:val="1A2332"/>
          <w:sz w:val="24"/>
          <w:szCs w:val="24"/>
        </w:rPr>
        <w:t xml:space="preserve">7.1 Das Grundprinzip: eine Treppe, keine Menükarte</w:t>
      </w:r>
    </w:p>
    <w:p>
      <w:pPr>
        <w:spacing w:after="120" w:line="300"/>
        <w:jc w:val="both"/>
      </w:pPr>
      <w:r>
        <w:rPr>
          <w:i w:val="false"/>
          <w:iCs w:val="false"/>
          <w:color w:val="1A2332"/>
          <w:sz w:val="21"/>
          <w:szCs w:val="21"/>
        </w:rPr>
        <w:t xml:space="preserve">Der heutige Auftritt bietet ein Menü nebeneinanderstehender Leistungen. Das neue Modell ist eine </w:t>
      </w:r>
      <w:r>
        <w:rPr>
          <w:b/>
          <w:bCs/>
          <w:i w:val="false"/>
          <w:iCs w:val="false"/>
          <w:color w:val="1A2332"/>
          <w:sz w:val="21"/>
          <w:szCs w:val="21"/>
        </w:rPr>
        <w:t xml:space="preserve">Treppe</w:t>
      </w:r>
      <w:r>
        <w:rPr>
          <w:i w:val="false"/>
          <w:iCs w:val="false"/>
          <w:color w:val="1A2332"/>
          <w:sz w:val="21"/>
          <w:szCs w:val="21"/>
        </w:rPr>
        <w:t xml:space="preserve">: Der Kunde steigt niederschwellig ein (Demo), qualifiziert sich über einen bezahlten Diagnoseschritt (Fahrplan), und landet im Recurring (Betriebspaket). Grosse Kunden zweigen in die Partnerschaft ab. Jede Stufe finanziert und qualifiziert die nächste.</w:t>
      </w:r>
    </w:p>
    <w:p>
      <w:pPr>
        <w:spacing w:after="120" w:line="300"/>
        <w:jc w:val="both"/>
      </w:pPr>
      <w:r>
        <w:rPr>
          <w:b/>
          <w:bCs/>
          <w:i w:val="false"/>
          <w:iCs w:val="false"/>
          <w:color w:val="1A2332"/>
          <w:sz w:val="21"/>
          <w:szCs w:val="21"/>
        </w:rPr>
        <w:t xml:space="preserve">Wie Recurring und Boutique widerspruchsfrei in einem 3-Personen-Unternehmen zusammengehen</w:t>
      </w:r>
      <w:r>
        <w:rPr>
          <w:i w:val="false"/>
          <w:iCs w:val="false"/>
          <w:color w:val="1A2332"/>
          <w:sz w:val="21"/>
          <w:szCs w:val="21"/>
        </w:rPr>
        <w:t xml:space="preserve"> (Ihre nicht verhandelbare Vorgabe): Sie gehen zusammen, aber nur unter zwei eisernen Regeln. </w:t>
      </w:r>
      <w:r>
        <w:rPr>
          <w:i w:val="false"/>
          <w:iCs w:val="false"/>
          <w:color w:val="1A2332"/>
          <w:sz w:val="21"/>
          <w:szCs w:val="21"/>
        </w:rPr>
        <w:t xml:space="preserve">Regel 1 — die Standardlinie ist wirklich standardisiert.</w:t>
      </w:r>
      <w:r>
        <w:rPr>
          <w:i w:val="false"/>
          <w:iCs w:val="false"/>
          <w:color w:val="1A2332"/>
          <w:sz w:val="21"/>
          <w:szCs w:val="21"/>
        </w:rPr>
        <w:t xml:space="preserve"> Das Betriebspaket besteht aus einem festen Baukasten (gleiche Website-Basis, gleiche Automatisierungs-Bausteine, gleicher Microsoft-/Cloud-Stack, gleiche Demo-Methode). Nur so bedienen drei Köpfe viele Kunden, ohne pro Kunde neu zu erfinden. </w:t>
      </w:r>
      <w:r>
        <w:rPr>
          <w:i w:val="false"/>
          <w:iCs w:val="false"/>
          <w:color w:val="1A2332"/>
          <w:sz w:val="21"/>
          <w:szCs w:val="21"/>
        </w:rPr>
        <w:t xml:space="preserve">Regel 2 — jedes Boutique-Mandat speist die Standardlinie.</w:t>
      </w:r>
      <w:r>
        <w:rPr>
          <w:i w:val="false"/>
          <w:iCs w:val="false"/>
          <w:color w:val="1A2332"/>
          <w:sz w:val="21"/>
          <w:szCs w:val="21"/>
        </w:rPr>
        <w:t xml:space="preserve"> Was Sie für einen grossen Bewirtschafter einmal teuer bauen (z. B. eine ImmoTop2-Schadensschnittstelle), wird zum wiederverwendbaren Baustein im Betriebspaket. Boutique ist damit nicht nur Umsatz, sondern Ihre Produktentwicklung — bezahlt vom Kunden. Der Zielkonflikt (Boutique frisst Zeit der Standardlinie) wird beherrscht, indem Sie die Zahl gleichzeitiger Boutique-Mandate hart begrenzen (Kapitel 9) und Boutique nur annehmen, wenn ein wiederverwendbarer Baustein herausfällt.</w:t>
      </w:r>
    </w:p>
    <w:p>
      <w:pPr>
        <w:pStyle w:val="Heading2"/>
        <w:spacing w:after="100" w:before="240"/>
      </w:pPr>
      <w:r>
        <w:rPr>
          <w:b/>
          <w:bCs/>
          <w:color w:val="1A2332"/>
          <w:sz w:val="24"/>
          <w:szCs w:val="24"/>
        </w:rPr>
        <w:t xml:space="preserve">7.2 Stufe 1 — Einstieg: «Demo statt Offerte» (kostenlos) + «Digitalisierungs-Fahrplan» (bezahlt)</w:t>
      </w:r>
    </w:p>
    <w:p>
      <w:pPr>
        <w:spacing w:after="120" w:line="300"/>
        <w:jc w:val="both"/>
      </w:pPr>
      <w:r>
        <w:rPr>
          <w:b/>
          <w:bCs/>
          <w:i w:val="false"/>
          <w:iCs w:val="false"/>
          <w:color w:val="1A2332"/>
          <w:sz w:val="21"/>
          <w:szCs w:val="21"/>
        </w:rPr>
        <w:t xml:space="preserve">Sollte die Diagnose bezahlt werden? Ja — das ist eine meiner klaren Empfehlungen.</w:t>
      </w:r>
      <w:r>
        <w:rPr>
          <w:i w:val="false"/>
          <w:iCs w:val="false"/>
          <w:color w:val="1A2332"/>
          <w:sz w:val="21"/>
          <w:szCs w:val="21"/>
        </w:rPr>
        <w:t xml:space="preserve"> Die heutige «kostenlose Potenzialanalyse / Einschätzung» ist aus drei Gründen ein Fehler: Sie zieht unqualifizierte Neugierige an, sie signalisiert, dass Ihre Analyse nichts wert ist, und sie kostet Sie die knappste Ressource (Zeit von drei Personen) ohne Gegenwert. Aber: Der Einstieg darf trotzdem nicht hochschwellig sein. Die Lösung ist eine </w:t>
      </w:r>
      <w:r>
        <w:rPr>
          <w:b/>
          <w:bCs/>
          <w:i w:val="false"/>
          <w:iCs w:val="false"/>
          <w:color w:val="1A2332"/>
          <w:sz w:val="21"/>
          <w:szCs w:val="21"/>
        </w:rPr>
        <w:t xml:space="preserve">zweistufige Schwelle</w:t>
      </w:r>
      <w:r>
        <w:rPr>
          <w:i w:val="false"/>
          <w:iCs w:val="false"/>
          <w:color w:val="1A2332"/>
          <w:sz w:val="21"/>
          <w:szCs w:val="21"/>
        </w:rPr>
        <w:t xml:space="preserve">:</w:t>
      </w:r>
    </w:p>
    <w:p>
      <w:pPr>
        <w:spacing w:after="120" w:line="300"/>
        <w:jc w:val="both"/>
      </w:pPr>
      <w:r>
        <w:rPr>
          <w:i w:val="false"/>
          <w:iCs w:val="false"/>
          <w:color w:val="1A2332"/>
          <w:sz w:val="21"/>
          <w:szCs w:val="21"/>
        </w:rPr>
        <w:t xml:space="preserve">Kostenlos, aber ein Produkt statt eines Gesprächs:</w:t>
      </w:r>
      <w:r>
        <w:rPr>
          <w:i w:val="false"/>
          <w:iCs w:val="false"/>
          <w:color w:val="1A2332"/>
          <w:sz w:val="21"/>
          <w:szCs w:val="21"/>
        </w:rPr>
        <w:t xml:space="preserve"> die </w:t>
      </w:r>
      <w:r>
        <w:rPr>
          <w:b/>
          <w:bCs/>
          <w:i w:val="false"/>
          <w:iCs w:val="false"/>
          <w:color w:val="1A2332"/>
          <w:sz w:val="21"/>
          <w:szCs w:val="21"/>
        </w:rPr>
        <w:t xml:space="preserve">personalisierte Demo</w:t>
      </w:r>
      <w:r>
        <w:rPr>
          <w:i w:val="false"/>
          <w:iCs w:val="false"/>
          <w:color w:val="1A2332"/>
          <w:sz w:val="21"/>
          <w:szCs w:val="21"/>
        </w:rPr>
        <w:t xml:space="preserve">. Sie ist bereits Ihr stärkstes Asset. Sie kostet Sie wenig (weil zunehmend templatisiert) und zeigt dem Kunden seinen eigenen digitalisierten Betrieb. Das ist der Haken — konkret, risikolos, für den Kunden beeindruckend. Behalten Sie das kostenlose Angebot der Webdesign-Seite bei, aber heben Sie es ins Zentrum: «Wir zeigen Ihnen an Ihrem eigenen Betrieb, was möglich ist — als Demo, in wenigen Tagen, kostenlos.»</w:t>
      </w:r>
    </w:p>
    <w:p>
      <w:pPr>
        <w:spacing w:after="120" w:line="300"/>
        <w:jc w:val="both"/>
      </w:pPr>
      <w:r>
        <w:rPr>
          <w:i w:val="false"/>
          <w:iCs w:val="false"/>
          <w:color w:val="1A2332"/>
          <w:sz w:val="21"/>
          <w:szCs w:val="21"/>
        </w:rPr>
        <w:t xml:space="preserve">Bezahlt, sobald es ernst wird:</w:t>
      </w:r>
      <w:r>
        <w:rPr>
          <w:i w:val="false"/>
          <w:iCs w:val="false"/>
          <w:color w:val="1A2332"/>
          <w:sz w:val="21"/>
          <w:szCs w:val="21"/>
        </w:rPr>
        <w:t xml:space="preserve"> der </w:t>
      </w:r>
      <w:r>
        <w:rPr>
          <w:b/>
          <w:bCs/>
          <w:i w:val="false"/>
          <w:iCs w:val="false"/>
          <w:color w:val="1A2332"/>
          <w:sz w:val="21"/>
          <w:szCs w:val="21"/>
        </w:rPr>
        <w:t xml:space="preserve">Digitalisierungs-Fahrplan</w:t>
      </w:r>
      <w:r>
        <w:rPr>
          <w:i w:val="false"/>
          <w:iCs w:val="false"/>
          <w:color w:val="1A2332"/>
          <w:sz w:val="21"/>
          <w:szCs w:val="21"/>
        </w:rPr>
        <w:t xml:space="preserve"> — eine bezahlte Diagnose (Ist-Aufnahme der Systemlandschaft, Prozess- und Datenflussanalyse, priorisierter Umsetzungsplan mit Aufwand und Nutzen in Franken). </w:t>
      </w:r>
      <w:r>
        <w:rPr>
          <w:b/>
          <w:bCs/>
          <w:i w:val="false"/>
          <w:iCs w:val="false"/>
          <w:color w:val="1A2332"/>
          <w:sz w:val="21"/>
          <w:szCs w:val="21"/>
        </w:rPr>
        <w:t xml:space="preserve">Preisband: CHF 1'500–3'500</w:t>
      </w:r>
      <w:r>
        <w:rPr>
          <w:i w:val="false"/>
          <w:iCs w:val="false"/>
          <w:color w:val="1A2332"/>
          <w:sz w:val="21"/>
          <w:szCs w:val="21"/>
        </w:rPr>
        <w:t xml:space="preserve"> (kleiner Bewirtschafter/Handwerker am unteren Rand, grösserer Betrieb am oberen), </w:t>
      </w:r>
      <w:r>
        <w:rPr>
          <w:b/>
          <w:bCs/>
          <w:i w:val="false"/>
          <w:iCs w:val="false"/>
          <w:color w:val="1A2332"/>
          <w:sz w:val="21"/>
          <w:szCs w:val="21"/>
        </w:rPr>
        <w:t xml:space="preserve">anrechenbar</w:t>
      </w:r>
      <w:r>
        <w:rPr>
          <w:i w:val="false"/>
          <w:iCs w:val="false"/>
          <w:color w:val="1A2332"/>
          <w:sz w:val="21"/>
          <w:szCs w:val="21"/>
        </w:rPr>
        <w:t xml:space="preserve"> bei Beauftragung eines Betriebspakets oder einer Partnerschaft. Wirkung: qualifiziert (wer zahlt, meint es ernst), erhöht die Abschlussquote (Commitment-Effekt), und positioniert Ihre Analyse als das wertvolle Gut, das sie ist. Referenz: eidg. dipl. Immobilientreuhänder verrechnen CHF 145–200/Std. Beratung (gryps.ch) — ein Fahrplan zu CHF 2'500 ist marktkonform.</w:t>
      </w:r>
    </w:p>
    <w:p>
      <w:pPr>
        <w:pStyle w:val="Heading2"/>
        <w:spacing w:after="100" w:before="240"/>
      </w:pPr>
      <w:r>
        <w:rPr>
          <w:b/>
          <w:bCs/>
          <w:color w:val="1A2332"/>
          <w:sz w:val="24"/>
          <w:szCs w:val="24"/>
        </w:rPr>
        <w:t xml:space="preserve">7.3 Stufe 2 — Recurring-Kern: das «Betriebspaket» (skalierbar, viele KMU)</w:t>
      </w:r>
    </w:p>
    <w:p>
      <w:pPr>
        <w:spacing w:after="120" w:line="300"/>
        <w:jc w:val="both"/>
      </w:pPr>
      <w:r>
        <w:rPr>
          <w:i w:val="false"/>
          <w:iCs w:val="false"/>
          <w:color w:val="1A2332"/>
          <w:sz w:val="21"/>
          <w:szCs w:val="21"/>
        </w:rPr>
        <w:t xml:space="preserve">Das Herz des Modells und der verlässliche Cashflow. Eine monatliche Pauschale, die Aufbau </w:t>
      </w:r>
      <w:r>
        <w:rPr>
          <w:i w:val="false"/>
          <w:iCs w:val="false"/>
          <w:color w:val="1A2332"/>
          <w:sz w:val="21"/>
          <w:szCs w:val="21"/>
        </w:rPr>
        <w:t xml:space="preserve">und</w:t>
      </w:r>
      <w:r>
        <w:rPr>
          <w:i w:val="false"/>
          <w:iCs w:val="false"/>
          <w:color w:val="1A2332"/>
          <w:sz w:val="21"/>
          <w:szCs w:val="21"/>
        </w:rPr>
        <w:t xml:space="preserve"> Betrieb bündelt — «eine Nummer für alles Digitale». Drei Stufen, damit sich der Kunde selbst einordnet:</w:t>
      </w:r>
    </w:p>
    <w:tbl>
      <w:tblPr>
        <w:tblW w:type="dxa" w:w="9360"/>
        <w:tblBorders>
          <w:top w:val="single" w:color="C9D3DA" w:sz="2"/>
          <w:left w:val="single" w:color="C9D3DA" w:sz="2"/>
          <w:bottom w:val="single" w:color="C9D3DA" w:sz="2"/>
          <w:right w:val="single" w:color="C9D3DA" w:sz="2"/>
          <w:insideH w:val="single" w:color="C9D3DA" w:sz="2"/>
          <w:insideV w:val="single" w:color="C9D3DA" w:sz="2"/>
        </w:tblBorders>
      </w:tblPr>
      <w:tblGrid>
        <w:gridCol w:w="2340"/>
        <w:gridCol w:w="2340"/>
        <w:gridCol w:w="2340"/>
        <w:gridCol w:w="2340"/>
      </w:tblGrid>
      <w:tr>
        <w:trPr>
          <w:tblHeader/>
        </w:trPr>
        <w:tc>
          <w:tcPr>
            <w:tcW w:type="dxa" w:w="2340"/>
            <w:shd w:fill="2E6E8E" w:color="auto" w:val="clear"/>
            <w:tcMar>
              <w:top w:type="dxa" w:w="60"/>
              <w:left w:type="dxa" w:w="100"/>
              <w:bottom w:type="dxa" w:w="60"/>
              <w:right w:type="dxa" w:w="100"/>
            </w:tcMar>
          </w:tcPr>
          <w:p>
            <w:pPr>
              <w:spacing w:after="20" w:before="20"/>
            </w:pPr>
            <w:r>
              <w:rPr>
                <w:b/>
                <w:bCs/>
                <w:color w:val="FFFFFF"/>
                <w:sz w:val="18"/>
                <w:szCs w:val="18"/>
              </w:rPr>
              <w:t xml:space="preserve">Paket</w:t>
            </w:r>
          </w:p>
        </w:tc>
        <w:tc>
          <w:tcPr>
            <w:tcW w:type="dxa" w:w="2340"/>
            <w:shd w:fill="2E6E8E" w:color="auto" w:val="clear"/>
            <w:tcMar>
              <w:top w:type="dxa" w:w="60"/>
              <w:left w:type="dxa" w:w="100"/>
              <w:bottom w:type="dxa" w:w="60"/>
              <w:right w:type="dxa" w:w="100"/>
            </w:tcMar>
          </w:tcPr>
          <w:p>
            <w:pPr>
              <w:spacing w:after="20" w:before="20"/>
            </w:pPr>
            <w:r>
              <w:rPr>
                <w:b/>
                <w:bCs/>
                <w:color w:val="FFFFFF"/>
                <w:sz w:val="18"/>
                <w:szCs w:val="18"/>
              </w:rPr>
              <w:t xml:space="preserve">Für wen</w:t>
            </w:r>
          </w:p>
        </w:tc>
        <w:tc>
          <w:tcPr>
            <w:tcW w:type="dxa" w:w="2340"/>
            <w:shd w:fill="2E6E8E" w:color="auto" w:val="clear"/>
            <w:tcMar>
              <w:top w:type="dxa" w:w="60"/>
              <w:left w:type="dxa" w:w="100"/>
              <w:bottom w:type="dxa" w:w="60"/>
              <w:right w:type="dxa" w:w="100"/>
            </w:tcMar>
          </w:tcPr>
          <w:p>
            <w:pPr>
              <w:spacing w:after="20" w:before="20"/>
            </w:pPr>
            <w:r>
              <w:rPr>
                <w:b/>
                <w:bCs/>
                <w:color w:val="FFFFFF"/>
                <w:sz w:val="18"/>
                <w:szCs w:val="18"/>
              </w:rPr>
              <w:t xml:space="preserve">Enthält (Baukasten)</w:t>
            </w:r>
          </w:p>
        </w:tc>
        <w:tc>
          <w:tcPr>
            <w:tcW w:type="dxa" w:w="2340"/>
            <w:shd w:fill="2E6E8E" w:color="auto" w:val="clear"/>
            <w:tcMar>
              <w:top w:type="dxa" w:w="60"/>
              <w:left w:type="dxa" w:w="100"/>
              <w:bottom w:type="dxa" w:w="60"/>
              <w:right w:type="dxa" w:w="100"/>
            </w:tcMar>
          </w:tcPr>
          <w:p>
            <w:pPr>
              <w:spacing w:after="20" w:before="20"/>
            </w:pPr>
            <w:r>
              <w:rPr>
                <w:b/>
                <w:bCs/>
                <w:color w:val="FFFFFF"/>
                <w:sz w:val="18"/>
                <w:szCs w:val="18"/>
              </w:rPr>
              <w:t xml:space="preserve">Preisband CHF/Monat</w:t>
            </w:r>
          </w:p>
        </w:tc>
      </w:tr>
      <w:tr>
        <w:trPr>
          <w:tblHeader w:val="false"/>
        </w:trPr>
        <w:tc>
          <w:tcPr>
            <w:tcW w:type="dxa" w:w="2340"/>
            <w:tcMar>
              <w:top w:type="dxa" w:w="60"/>
              <w:left w:type="dxa" w:w="100"/>
              <w:bottom w:type="dxa" w:w="60"/>
              <w:right w:type="dxa" w:w="100"/>
            </w:tcMar>
          </w:tcPr>
          <w:p>
            <w:pPr>
              <w:spacing w:after="20" w:before="20"/>
            </w:pPr>
            <w:r>
              <w:rPr>
                <w:b/>
                <w:bCs/>
                <w:color w:val="1A2332"/>
                <w:sz w:val="18"/>
                <w:szCs w:val="18"/>
              </w:rPr>
              <w:t xml:space="preserve">Basis</w:t>
            </w:r>
          </w:p>
        </w:tc>
        <w:tc>
          <w:tcPr>
            <w:tcW w:type="dxa" w:w="2340"/>
            <w:tcMar>
              <w:top w:type="dxa" w:w="60"/>
              <w:left w:type="dxa" w:w="100"/>
              <w:bottom w:type="dxa" w:w="60"/>
              <w:right w:type="dxa" w:w="100"/>
            </w:tcMar>
          </w:tcPr>
          <w:p>
            <w:pPr>
              <w:spacing w:after="20" w:before="20"/>
            </w:pPr>
            <w:r>
              <w:rPr>
                <w:color w:val="1A2332"/>
                <w:sz w:val="18"/>
                <w:szCs w:val="18"/>
              </w:rPr>
              <w:t xml:space="preserve">Kleiner Betrieb, erster Schritt</w:t>
            </w:r>
          </w:p>
        </w:tc>
        <w:tc>
          <w:tcPr>
            <w:tcW w:type="dxa" w:w="2340"/>
            <w:tcMar>
              <w:top w:type="dxa" w:w="60"/>
              <w:left w:type="dxa" w:w="100"/>
              <w:bottom w:type="dxa" w:w="60"/>
              <w:right w:type="dxa" w:w="100"/>
            </w:tcMar>
          </w:tcPr>
          <w:p>
            <w:pPr>
              <w:spacing w:after="20" w:before="20"/>
            </w:pPr>
            <w:r>
              <w:rPr>
                <w:color w:val="1A2332"/>
                <w:sz w:val="18"/>
                <w:szCs w:val="18"/>
              </w:rPr>
              <w:t xml:space="preserve">Arbeitende Website + KI-Assistent (Anfragen/Termine), Microsoft-365-Betrieb, Backup/Security-Grundschutz, Helpdesk, 1 Automatisierung, Monatsrapport</w:t>
            </w:r>
          </w:p>
        </w:tc>
        <w:tc>
          <w:tcPr>
            <w:tcW w:type="dxa" w:w="2340"/>
            <w:tcMar>
              <w:top w:type="dxa" w:w="60"/>
              <w:left w:type="dxa" w:w="100"/>
              <w:bottom w:type="dxa" w:w="60"/>
              <w:right w:type="dxa" w:w="100"/>
            </w:tcMar>
          </w:tcPr>
          <w:p>
            <w:pPr>
              <w:spacing w:after="20" w:before="20"/>
            </w:pPr>
            <w:r>
              <w:rPr>
                <w:b/>
                <w:bCs/>
                <w:color w:val="1A2332"/>
                <w:sz w:val="18"/>
                <w:szCs w:val="18"/>
              </w:rPr>
              <w:t xml:space="preserve">490–990</w:t>
            </w:r>
          </w:p>
        </w:tc>
      </w:tr>
      <w:tr>
        <w:trPr>
          <w:tblHeader w:val="false"/>
        </w:trPr>
        <w:tc>
          <w:tcPr>
            <w:tcW w:type="dxa" w:w="2340"/>
            <w:shd w:fill="EEF3F6" w:color="auto" w:val="clear"/>
            <w:tcMar>
              <w:top w:type="dxa" w:w="60"/>
              <w:left w:type="dxa" w:w="100"/>
              <w:bottom w:type="dxa" w:w="60"/>
              <w:right w:type="dxa" w:w="100"/>
            </w:tcMar>
          </w:tcPr>
          <w:p>
            <w:pPr>
              <w:spacing w:after="20" w:before="20"/>
            </w:pPr>
            <w:r>
              <w:rPr>
                <w:b/>
                <w:bCs/>
                <w:color w:val="1A2332"/>
                <w:sz w:val="18"/>
                <w:szCs w:val="18"/>
              </w:rPr>
              <w:t xml:space="preserve">Standard</w:t>
            </w:r>
          </w:p>
        </w:tc>
        <w:tc>
          <w:tcPr>
            <w:tcW w:type="dxa" w:w="2340"/>
            <w:shd w:fill="EEF3F6" w:color="auto" w:val="clear"/>
            <w:tcMar>
              <w:top w:type="dxa" w:w="60"/>
              <w:left w:type="dxa" w:w="100"/>
              <w:bottom w:type="dxa" w:w="60"/>
              <w:right w:type="dxa" w:w="100"/>
            </w:tcMar>
          </w:tcPr>
          <w:p>
            <w:pPr>
              <w:spacing w:after="20" w:before="20"/>
            </w:pPr>
            <w:r>
              <w:rPr>
                <w:color w:val="1A2332"/>
                <w:sz w:val="18"/>
                <w:szCs w:val="18"/>
              </w:rPr>
              <w:t xml:space="preserve">Etablierter Betrieb, mehrere Systeme</w:t>
            </w:r>
          </w:p>
        </w:tc>
        <w:tc>
          <w:tcPr>
            <w:tcW w:type="dxa" w:w="2340"/>
            <w:shd w:fill="EEF3F6" w:color="auto" w:val="clear"/>
            <w:tcMar>
              <w:top w:type="dxa" w:w="60"/>
              <w:left w:type="dxa" w:w="100"/>
              <w:bottom w:type="dxa" w:w="60"/>
              <w:right w:type="dxa" w:w="100"/>
            </w:tcMar>
          </w:tcPr>
          <w:p>
            <w:pPr>
              <w:spacing w:after="20" w:before="20"/>
            </w:pPr>
            <w:r>
              <w:rPr>
                <w:color w:val="1A2332"/>
                <w:sz w:val="18"/>
                <w:szCs w:val="18"/>
              </w:rPr>
              <w:t xml:space="preserve">Basis + Anbindung Branchensoftware (ImmoTop2/Rimo bzw. Sorba/Baubit), 3–5 Automatisierungen (z. B. Schadenlauf, Offerte→Rechnung), erweiterte Managed Services, priorisierter Support/SLA</w:t>
            </w:r>
          </w:p>
        </w:tc>
        <w:tc>
          <w:tcPr>
            <w:tcW w:type="dxa" w:w="2340"/>
            <w:shd w:fill="EEF3F6" w:color="auto" w:val="clear"/>
            <w:tcMar>
              <w:top w:type="dxa" w:w="60"/>
              <w:left w:type="dxa" w:w="100"/>
              <w:bottom w:type="dxa" w:w="60"/>
              <w:right w:type="dxa" w:w="100"/>
            </w:tcMar>
          </w:tcPr>
          <w:p>
            <w:pPr>
              <w:spacing w:after="20" w:before="20"/>
            </w:pPr>
            <w:r>
              <w:rPr>
                <w:b/>
                <w:bCs/>
                <w:color w:val="1A2332"/>
                <w:sz w:val="18"/>
                <w:szCs w:val="18"/>
              </w:rPr>
              <w:t xml:space="preserve">1'200–2'800</w:t>
            </w:r>
          </w:p>
        </w:tc>
      </w:tr>
      <w:tr>
        <w:trPr>
          <w:tblHeader w:val="false"/>
        </w:trPr>
        <w:tc>
          <w:tcPr>
            <w:tcW w:type="dxa" w:w="2340"/>
            <w:tcMar>
              <w:top w:type="dxa" w:w="60"/>
              <w:left w:type="dxa" w:w="100"/>
              <w:bottom w:type="dxa" w:w="60"/>
              <w:right w:type="dxa" w:w="100"/>
            </w:tcMar>
          </w:tcPr>
          <w:p>
            <w:pPr>
              <w:spacing w:after="20" w:before="20"/>
            </w:pPr>
            <w:r>
              <w:rPr>
                <w:b/>
                <w:bCs/>
                <w:color w:val="1A2332"/>
                <w:sz w:val="18"/>
                <w:szCs w:val="18"/>
              </w:rPr>
              <w:t xml:space="preserve">Komplett</w:t>
            </w:r>
          </w:p>
        </w:tc>
        <w:tc>
          <w:tcPr>
            <w:tcW w:type="dxa" w:w="2340"/>
            <w:tcMar>
              <w:top w:type="dxa" w:w="60"/>
              <w:left w:type="dxa" w:w="100"/>
              <w:bottom w:type="dxa" w:w="60"/>
              <w:right w:type="dxa" w:w="100"/>
            </w:tcMar>
          </w:tcPr>
          <w:p>
            <w:pPr>
              <w:spacing w:after="20" w:before="20"/>
            </w:pPr>
            <w:r>
              <w:rPr>
                <w:color w:val="1A2332"/>
                <w:sz w:val="18"/>
                <w:szCs w:val="18"/>
              </w:rPr>
              <w:t xml:space="preserve">Grösserer Betrieb, hoher Digitalisierungsgrad</w:t>
            </w:r>
          </w:p>
        </w:tc>
        <w:tc>
          <w:tcPr>
            <w:tcW w:type="dxa" w:w="2340"/>
            <w:tcMar>
              <w:top w:type="dxa" w:w="60"/>
              <w:left w:type="dxa" w:w="100"/>
              <w:bottom w:type="dxa" w:w="60"/>
              <w:right w:type="dxa" w:w="100"/>
            </w:tcMar>
          </w:tcPr>
          <w:p>
            <w:pPr>
              <w:spacing w:after="20" w:before="20"/>
            </w:pPr>
            <w:r>
              <w:rPr>
                <w:color w:val="1A2332"/>
                <w:sz w:val="18"/>
                <w:szCs w:val="18"/>
              </w:rPr>
              <w:t xml:space="preserve">Standard + laufende Weiterentwicklung, Datenqualität/Reporting-Vorstufe, mehrere Standorte/Nutzergruppen, fester Betreuer, kurze Reaktionszeiten</w:t>
            </w:r>
          </w:p>
        </w:tc>
        <w:tc>
          <w:tcPr>
            <w:tcW w:type="dxa" w:w="2340"/>
            <w:tcMar>
              <w:top w:type="dxa" w:w="60"/>
              <w:left w:type="dxa" w:w="100"/>
              <w:bottom w:type="dxa" w:w="60"/>
              <w:right w:type="dxa" w:w="100"/>
            </w:tcMar>
          </w:tcPr>
          <w:p>
            <w:pPr>
              <w:spacing w:after="20" w:before="20"/>
            </w:pPr>
            <w:r>
              <w:rPr>
                <w:b/>
                <w:bCs/>
                <w:color w:val="1A2332"/>
                <w:sz w:val="18"/>
                <w:szCs w:val="18"/>
              </w:rPr>
              <w:t xml:space="preserve">3'000–6'000+</w:t>
            </w:r>
          </w:p>
        </w:tc>
      </w:tr>
    </w:tbl>
    <w:p>
      <w:pPr>
        <w:spacing w:after="120"/>
      </w:pPr>
    </w:p>
    <w:p>
      <w:pPr>
        <w:spacing w:after="120" w:line="300"/>
        <w:jc w:val="both"/>
      </w:pPr>
      <w:r>
        <w:rPr>
          <w:i w:val="false"/>
          <w:iCs w:val="false"/>
          <w:color w:val="1A2332"/>
          <w:sz w:val="21"/>
          <w:szCs w:val="21"/>
        </w:rPr>
        <w:t xml:space="preserve">Die IT-/Managed-Services-Bausteine (Sinans Bereich) stecken </w:t>
      </w:r>
      <w:r>
        <w:rPr>
          <w:b/>
          <w:bCs/>
          <w:i w:val="false"/>
          <w:iCs w:val="false"/>
          <w:color w:val="1A2332"/>
          <w:sz w:val="21"/>
          <w:szCs w:val="21"/>
        </w:rPr>
        <w:t xml:space="preserve">in</w:t>
      </w:r>
      <w:r>
        <w:rPr>
          <w:i w:val="false"/>
          <w:iCs w:val="false"/>
          <w:color w:val="1A2332"/>
          <w:sz w:val="21"/>
          <w:szCs w:val="21"/>
        </w:rPr>
        <w:t xml:space="preserve"> diesen Paketen — Security, Backup, M365, Helpdesk, Monitoring als Fundamentschicht, nicht als separat verkauftes Schaufenster-Produkt. Preislogik: orientiert am CH-MSP-Niveau von 80–110 CHF/User/Monat für den IT-Anteil (it-provider.ch, theiasolutions.ch), plus Aufbau-/Automatisierungs-/Website-Wert. Für einen 15-Personen-Bewirtschafter liegt allein der IT-Anteil bei rund CHF 1'200–1'650/Monat — das Standard-Band ist damit realistisch, nicht ambitioniert.</w:t>
      </w:r>
    </w:p>
    <w:p>
      <w:pPr>
        <w:spacing w:after="120" w:line="300"/>
        <w:jc w:val="both"/>
      </w:pPr>
      <w:r>
        <w:rPr>
          <w:i w:val="false"/>
          <w:iCs w:val="false"/>
          <w:color w:val="1A2332"/>
          <w:sz w:val="21"/>
          <w:szCs w:val="21"/>
        </w:rPr>
        <w:t xml:space="preserve">Warum das den Zielkonflikt «MSP macht austauschbar» löst:</w:t>
      </w:r>
      <w:r>
        <w:rPr>
          <w:i w:val="false"/>
          <w:iCs w:val="false"/>
          <w:color w:val="1A2332"/>
          <w:sz w:val="21"/>
          <w:szCs w:val="21"/>
        </w:rPr>
        <w:t xml:space="preserve"> MSP allein im Schaufenster macht Sie zur Ware (jeder kann Backup). Als unsichtbares Fundament unter «Ihre Systeme spielen zusammen und ich betreibe das Ganze» ist derselbe MSP-Umsatz plötzlich Teil eines nicht austauschbaren Ganzen. Sie verkaufen nicht Backup, Sie verkaufen «Sie müssen nie wieder darüber nachdenken» — und liefern Backup als Teil davon.</w:t>
      </w:r>
    </w:p>
    <w:p>
      <w:pPr>
        <w:pStyle w:val="Heading2"/>
        <w:spacing w:after="100" w:before="240"/>
      </w:pPr>
      <w:r>
        <w:rPr>
          <w:b/>
          <w:bCs/>
          <w:color w:val="1A2332"/>
          <w:sz w:val="24"/>
          <w:szCs w:val="24"/>
        </w:rPr>
        <w:t xml:space="preserve">7.4 Stufe 3 — Boutique: die «Digitalisierungspartnerschaft» (wenige grosse Kunden)</w:t>
      </w:r>
    </w:p>
    <w:p>
      <w:pPr>
        <w:spacing w:after="120" w:line="300"/>
        <w:jc w:val="both"/>
      </w:pPr>
      <w:r>
        <w:rPr>
          <w:i w:val="false"/>
          <w:iCs w:val="false"/>
          <w:color w:val="1A2332"/>
          <w:sz w:val="21"/>
          <w:szCs w:val="21"/>
        </w:rPr>
        <w:t xml:space="preserve">Für grössere Bewirtschafter, Immobiliengesellschaften oder Bauunternehmen mit echtem Digitalisierungsbudget. Ein initiales Aufbauprojekt (Systemintegration, individuelle Automatisierung, Datenarchitektur) plus fortlaufender Retainer. </w:t>
      </w:r>
      <w:r>
        <w:rPr>
          <w:b/>
          <w:bCs/>
          <w:i w:val="false"/>
          <w:iCs w:val="false"/>
          <w:color w:val="1A2332"/>
          <w:sz w:val="21"/>
          <w:szCs w:val="21"/>
        </w:rPr>
        <w:t xml:space="preserve">Projektvolumen: CHF 25'000–150'000+</w:t>
      </w:r>
      <w:r>
        <w:rPr>
          <w:i w:val="false"/>
          <w:iCs w:val="false"/>
          <w:color w:val="1A2332"/>
          <w:sz w:val="21"/>
          <w:szCs w:val="21"/>
        </w:rPr>
        <w:t xml:space="preserve">, Retainer im oberen Betriebspaket-Band oder darüber. Zwei bis vier solcher Anker in den ersten zwei Jahren — mehr verträgt das Team nicht, und mehr braucht es nicht: Sie liefern die Flagship-Referenzen, die margenstarke Grundlast und die wiederverwendbaren Bausteine für die Standardlinie. Timo führt die Partnerschaft (Ökonomie/Entscheider), David die Datenarchitektur, Sinan den Betrieb.</w:t>
      </w:r>
    </w:p>
    <w:p>
      <w:pPr>
        <w:pStyle w:val="Heading2"/>
        <w:spacing w:after="100" w:before="240"/>
      </w:pPr>
      <w:r>
        <w:rPr>
          <w:b/>
          <w:bCs/>
          <w:color w:val="1A2332"/>
          <w:sz w:val="24"/>
          <w:szCs w:val="24"/>
        </w:rPr>
        <w:t xml:space="preserve">7.5 «Demo statt Offerte» als benannte Methode — ja</w:t>
      </w:r>
    </w:p>
    <w:p>
      <w:pPr>
        <w:spacing w:after="120" w:line="300"/>
        <w:jc w:val="both"/>
      </w:pPr>
      <w:r>
        <w:rPr>
          <w:i w:val="false"/>
          <w:iCs w:val="false"/>
          <w:color w:val="1A2332"/>
          <w:sz w:val="21"/>
          <w:szCs w:val="21"/>
        </w:rPr>
        <w:t xml:space="preserve">Das lohnt sich, und zwar nachdrücklich. Machen Sie es zur benannten, markierten Methode: </w:t>
      </w:r>
      <w:r>
        <w:rPr>
          <w:b/>
          <w:bCs/>
          <w:i w:val="false"/>
          <w:iCs w:val="false"/>
          <w:color w:val="1A2332"/>
          <w:sz w:val="21"/>
          <w:szCs w:val="21"/>
        </w:rPr>
        <w:t xml:space="preserve">«Bei uns gibt es keine Offerte ins Blaue. Wir bauen Ihnen zuerst eine Demo Ihres eigenen digitalisierten Betriebs — dann entscheiden Sie.»</w:t>
      </w:r>
      <w:r>
        <w:rPr>
          <w:i w:val="false"/>
          <w:iCs w:val="false"/>
          <w:color w:val="1A2332"/>
          <w:sz w:val="21"/>
          <w:szCs w:val="21"/>
        </w:rPr>
        <w:t xml:space="preserve"> Das dreht den ganzen Verkaufsprozess um: weg vom abstrakten Verkaufsgespräch, hin zum konkreten Erlebnis. Es ist Ihr grösster Differenzierer gegenüber Beratern (die PowerPoint liefern) und Softwarehäusern (die Demos ihres Produkts zeigen, nicht </w:t>
      </w:r>
      <w:r>
        <w:rPr>
          <w:i w:val="false"/>
          <w:iCs w:val="false"/>
          <w:color w:val="1A2332"/>
          <w:sz w:val="21"/>
          <w:szCs w:val="21"/>
        </w:rPr>
        <w:t xml:space="preserve">Ihres Betriebs</w:t>
      </w:r>
      <w:r>
        <w:rPr>
          <w:i w:val="false"/>
          <w:iCs w:val="false"/>
          <w:color w:val="1A2332"/>
          <w:sz w:val="21"/>
          <w:szCs w:val="21"/>
        </w:rPr>
        <w:t xml:space="preserve">). Voraussetzung: die Demo-Produktion muss so templatisiert sein, dass sie in Tagen und nicht Wochen steht — sonst frisst der kostenlose Haken Ihre Marge. Die rechtliche Absicherung (echte Firmennamen, Indexierbarkeit) ist zwingend mitzudenken (Kapitel 10).</w:t>
      </w:r>
    </w:p>
    <w:p>
      <w:pPr>
        <w:pStyle w:val="Heading2"/>
        <w:spacing w:after="100" w:before="240"/>
      </w:pPr>
      <w:r>
        <w:rPr>
          <w:b/>
          <w:bCs/>
          <w:color w:val="1A2332"/>
          <w:sz w:val="24"/>
          <w:szCs w:val="24"/>
        </w:rPr>
        <w:t xml:space="preserve">7.6 Der Verkaufsprozess in fünf Schritten</w:t>
      </w:r>
    </w:p>
    <w:p>
      <w:pPr>
        <w:pStyle w:val="ListParagraph"/>
        <w:numPr>
          <w:ilvl w:val="0"/>
          <w:numId w:val="2"/>
        </w:numPr>
        <w:spacing w:after="60" w:line="288"/>
      </w:pPr>
      <w:r>
        <w:rPr>
          <w:b/>
          <w:bCs/>
          <w:color w:val="1A2332"/>
          <w:sz w:val="21"/>
          <w:szCs w:val="21"/>
        </w:rPr>
        <w:t xml:space="preserve">Anstoss</w:t>
      </w:r>
      <w:r>
        <w:rPr>
          <w:color w:val="1A2332"/>
          <w:sz w:val="21"/>
          <w:szCs w:val="21"/>
        </w:rPr>
        <w:t xml:space="preserve"> — über Timos Netzwerk/SVIT/Empfehlung oder Website. Ein CTA: «Kostenlose Demo Ihres Betriebs anfordern.»</w:t>
      </w:r>
    </w:p>
    <w:p>
      <w:pPr>
        <w:pStyle w:val="ListParagraph"/>
        <w:numPr>
          <w:ilvl w:val="0"/>
          <w:numId w:val="2"/>
        </w:numPr>
        <w:spacing w:after="60" w:line="288"/>
      </w:pPr>
      <w:r>
        <w:rPr>
          <w:b/>
          <w:bCs/>
          <w:color w:val="1A2332"/>
          <w:sz w:val="21"/>
          <w:szCs w:val="21"/>
        </w:rPr>
        <w:t xml:space="preserve">Demo</w:t>
      </w:r>
      <w:r>
        <w:rPr>
          <w:color w:val="1A2332"/>
          <w:sz w:val="21"/>
          <w:szCs w:val="21"/>
        </w:rPr>
        <w:t xml:space="preserve"> — personalisierte Demo-Seite in wenigen Tagen; zeigt Schmerz in Franken/Kapazität und Lösung als Alltagsgeschichte.</w:t>
      </w:r>
    </w:p>
    <w:p>
      <w:pPr>
        <w:pStyle w:val="ListParagraph"/>
        <w:numPr>
          <w:ilvl w:val="0"/>
          <w:numId w:val="2"/>
        </w:numPr>
        <w:spacing w:after="60" w:line="288"/>
      </w:pPr>
      <w:r>
        <w:rPr>
          <w:b/>
          <w:bCs/>
          <w:color w:val="1A2332"/>
          <w:sz w:val="21"/>
          <w:szCs w:val="21"/>
        </w:rPr>
        <w:t xml:space="preserve">Fahrplan</w:t>
      </w:r>
      <w:r>
        <w:rPr>
          <w:color w:val="1A2332"/>
          <w:sz w:val="21"/>
          <w:szCs w:val="21"/>
        </w:rPr>
        <w:t xml:space="preserve"> (bezahlt, CHF 1'500–3'500) — Ist-Aufnahme und priorisierter Plan; anrechenbar. Hier qualifiziert sich der ernsthafte Kunde.</w:t>
      </w:r>
    </w:p>
    <w:p>
      <w:pPr>
        <w:pStyle w:val="ListParagraph"/>
        <w:numPr>
          <w:ilvl w:val="0"/>
          <w:numId w:val="2"/>
        </w:numPr>
        <w:spacing w:after="60" w:line="288"/>
      </w:pPr>
      <w:r>
        <w:rPr>
          <w:b/>
          <w:bCs/>
          <w:color w:val="1A2332"/>
          <w:sz w:val="21"/>
          <w:szCs w:val="21"/>
        </w:rPr>
        <w:t xml:space="preserve">Betriebspaket oder Partnerschaft</w:t>
      </w:r>
      <w:r>
        <w:rPr>
          <w:color w:val="1A2332"/>
          <w:sz w:val="21"/>
          <w:szCs w:val="21"/>
        </w:rPr>
        <w:t xml:space="preserve"> — Umsetzung startet mit dem, «was zuerst brennt» (Demo-Logik), dann Baustein um Baustein.</w:t>
      </w:r>
    </w:p>
    <w:p>
      <w:pPr>
        <w:pStyle w:val="ListParagraph"/>
        <w:numPr>
          <w:ilvl w:val="0"/>
          <w:numId w:val="2"/>
        </w:numPr>
        <w:spacing w:after="60" w:line="288"/>
      </w:pPr>
      <w:r>
        <w:rPr>
          <w:b/>
          <w:bCs/>
          <w:color w:val="1A2332"/>
          <w:sz w:val="21"/>
          <w:szCs w:val="21"/>
        </w:rPr>
        <w:t xml:space="preserve">Betrieb und Ausbau</w:t>
      </w:r>
      <w:r>
        <w:rPr>
          <w:color w:val="1A2332"/>
          <w:sz w:val="21"/>
          <w:szCs w:val="21"/>
        </w:rPr>
        <w:t xml:space="preserve"> — monatliche Pauschale, Monatsrapport, laufende Weiterentwicklung. Recurring-Grundlast wächst.</w:t>
      </w:r>
    </w:p>
    <w:p>
      <w:pPr>
        <w:pBdr>
          <w:bottom w:val="single" w:color="C9D3DA" w:sz="6" w:space="6"/>
        </w:pBdr>
        <w:spacing w:after="160" w:before="80"/>
      </w:pPr>
    </w:p>
    <w:p>
      <w:pPr>
        <w:pStyle w:val="Heading1"/>
        <w:pageBreakBefore/>
        <w:spacing w:after="160" w:before="120"/>
      </w:pPr>
      <w:r>
        <w:rPr>
          <w:b/>
          <w:bCs/>
          <w:color w:val="1A2332"/>
          <w:sz w:val="34"/>
          <w:szCs w:val="34"/>
        </w:rPr>
        <w:t xml:space="preserve">8. Website-Bauplan</w:t>
      </w:r>
    </w:p>
    <w:p>
      <w:pPr>
        <w:spacing w:after="120" w:line="300"/>
        <w:jc w:val="both"/>
      </w:pPr>
      <w:r>
        <w:rPr>
          <w:i w:val="false"/>
          <w:iCs w:val="false"/>
          <w:color w:val="1A2332"/>
          <w:sz w:val="21"/>
          <w:szCs w:val="21"/>
        </w:rPr>
        <w:t xml:space="preserve">So konkret, dass ein Texter und ein Designer direkt loslegen können.</w:t>
      </w:r>
    </w:p>
    <w:p>
      <w:pPr>
        <w:pStyle w:val="Heading2"/>
        <w:spacing w:after="100" w:before="240"/>
      </w:pPr>
      <w:r>
        <w:rPr>
          <w:b/>
          <w:bCs/>
          <w:color w:val="1A2332"/>
          <w:sz w:val="24"/>
          <w:szCs w:val="24"/>
        </w:rPr>
        <w:t xml:space="preserve">8.1 Leitprinzip</w:t>
      </w:r>
    </w:p>
    <w:p>
      <w:pPr>
        <w:spacing w:after="120" w:line="300"/>
        <w:jc w:val="both"/>
      </w:pPr>
      <w:r>
        <w:rPr>
          <w:i w:val="false"/>
          <w:iCs w:val="false"/>
          <w:color w:val="1A2332"/>
          <w:sz w:val="21"/>
          <w:szCs w:val="21"/>
        </w:rPr>
        <w:t xml:space="preserve">Die Startseite bildet </w:t>
      </w:r>
      <w:r>
        <w:rPr>
          <w:b/>
          <w:bCs/>
          <w:i w:val="false"/>
          <w:iCs w:val="false"/>
          <w:color w:val="1A2332"/>
          <w:sz w:val="21"/>
          <w:szCs w:val="21"/>
        </w:rPr>
        <w:t xml:space="preserve">die Welt des Kunden</w:t>
      </w:r>
      <w:r>
        <w:rPr>
          <w:i w:val="false"/>
          <w:iCs w:val="false"/>
          <w:color w:val="1A2332"/>
          <w:sz w:val="21"/>
          <w:szCs w:val="21"/>
        </w:rPr>
        <w:t xml:space="preserve"> ab, nicht Ihre interne Organisation. Der Fehler der drei Säulen «Fundament/Effizienz/Wirkung» (= Sinan/David/Timo) wird nicht wiederholt. Struktur folgt dem Kundenweg: Erkenne ich mich? → Was kostet mich das? → Wie sieht die Lösung aus? → Wer seid ihr? → Was ist der nächste Schritt?</w:t>
      </w:r>
    </w:p>
    <w:p>
      <w:pPr>
        <w:pStyle w:val="Heading2"/>
        <w:spacing w:after="100" w:before="240"/>
      </w:pPr>
      <w:r>
        <w:rPr>
          <w:b/>
          <w:bCs/>
          <w:color w:val="1A2332"/>
          <w:sz w:val="24"/>
          <w:szCs w:val="24"/>
        </w:rPr>
        <w:t xml:space="preserve">8.2 Seitenarchitektur und Navigation</w:t>
      </w:r>
    </w:p>
    <w:p>
      <w:pPr>
        <w:spacing w:after="120" w:line="300"/>
        <w:jc w:val="both"/>
      </w:pPr>
      <w:r>
        <w:rPr>
          <w:b/>
          <w:bCs/>
          <w:i w:val="false"/>
          <w:iCs w:val="false"/>
          <w:color w:val="1A2332"/>
          <w:sz w:val="21"/>
          <w:szCs w:val="21"/>
        </w:rPr>
        <w:t xml:space="preserve">Neue Hauptnavigation (5 Punkte statt heute 6 + Submenüs):</w:t>
      </w:r>
    </w:p>
    <w:p>
      <w:pPr>
        <w:pBdr>
          <w:left w:val="single" w:color="C4622D" w:sz="24" w:space="12"/>
        </w:pBdr>
        <w:shd w:fill="EEF3F6" w:color="auto" w:val="clear"/>
        <w:spacing w:after="160" w:before="60" w:line="300"/>
        <w:ind w:left="220" w:right="220"/>
      </w:pPr>
      <w:r>
        <w:rPr>
          <w:b/>
          <w:bCs/>
          <w:color w:val="1A2332"/>
          <w:sz w:val="22"/>
          <w:szCs w:val="22"/>
        </w:rPr>
        <w:t xml:space="preserve">Immobilienbewirtschaftung · Handwerk &amp; Bau · So arbeiten wir · Über uns · [Demo anfordern]</w:t>
      </w:r>
    </w:p>
    <w:p>
      <w:pPr>
        <w:pStyle w:val="ListParagraph"/>
        <w:numPr>
          <w:ilvl w:val="0"/>
          <w:numId w:val="1"/>
        </w:numPr>
        <w:spacing w:after="60" w:line="288"/>
      </w:pPr>
      <w:r>
        <w:rPr>
          <w:color w:val="1A2332"/>
          <w:sz w:val="21"/>
          <w:szCs w:val="21"/>
        </w:rPr>
        <w:t xml:space="preserve">«Immobilienbewirtschaftung» und «Handwerk &amp; Bau» sind die zwei Segmentseiten — die Welt des Kunden, nicht Ihre Leistungen.</w:t>
      </w:r>
    </w:p>
    <w:p>
      <w:pPr>
        <w:pStyle w:val="ListParagraph"/>
        <w:numPr>
          <w:ilvl w:val="0"/>
          <w:numId w:val="1"/>
        </w:numPr>
        <w:spacing w:after="60" w:line="288"/>
      </w:pPr>
      <w:r>
        <w:rPr>
          <w:color w:val="1A2332"/>
          <w:sz w:val="21"/>
          <w:szCs w:val="21"/>
        </w:rPr>
        <w:t xml:space="preserve">«So arbeiten wir» ersetzt die verstreuten Leistungsseiten: hier stehen Methode («Demo statt Offerte»), Betriebspaket-Logik und das GU-Prinzip.</w:t>
      </w:r>
    </w:p>
    <w:p>
      <w:pPr>
        <w:pStyle w:val="ListParagraph"/>
        <w:numPr>
          <w:ilvl w:val="0"/>
          <w:numId w:val="1"/>
        </w:numPr>
        <w:spacing w:after="60" w:line="288"/>
      </w:pPr>
      <w:r>
        <w:rPr>
          <w:color w:val="1A2332"/>
          <w:sz w:val="21"/>
          <w:szCs w:val="21"/>
        </w:rPr>
        <w:t xml:space="preserve">«[Demo anfordern]» ist der eine Haupt-CTA, als Button abgesetzt.</w:t>
      </w:r>
    </w:p>
    <w:p>
      <w:pPr>
        <w:pStyle w:val="ListParagraph"/>
        <w:numPr>
          <w:ilvl w:val="0"/>
          <w:numId w:val="1"/>
        </w:numPr>
        <w:spacing w:after="60" w:line="288"/>
      </w:pPr>
      <w:r>
        <w:rPr>
          <w:b/>
          <w:bCs/>
          <w:color w:val="1A2332"/>
          <w:sz w:val="21"/>
          <w:szCs w:val="21"/>
        </w:rPr>
        <w:t xml:space="preserve">Kundenportal</w:t>
      </w:r>
      <w:r>
        <w:rPr>
          <w:color w:val="1A2332"/>
          <w:sz w:val="21"/>
          <w:szCs w:val="21"/>
        </w:rPr>
        <w:t xml:space="preserve"> wandert in den Footer (Funktion für Bestandskunden, kein Navigationspunkt für Interessenten).</w:t>
      </w:r>
    </w:p>
    <w:p>
      <w:pPr>
        <w:spacing w:after="120" w:line="300"/>
        <w:jc w:val="both"/>
      </w:pPr>
      <w:r>
        <w:rPr>
          <w:b/>
          <w:bCs/>
          <w:i w:val="false"/>
          <w:iCs w:val="false"/>
          <w:color w:val="1A2332"/>
          <w:sz w:val="21"/>
          <w:szCs w:val="21"/>
        </w:rPr>
        <w:t xml:space="preserve">Was aus der Top-Navigation verschwindet:</w:t>
      </w:r>
      <w:r>
        <w:rPr>
          <w:i w:val="false"/>
          <w:iCs w:val="false"/>
          <w:color w:val="1A2332"/>
          <w:sz w:val="21"/>
          <w:szCs w:val="21"/>
        </w:rPr>
        <w:t xml:space="preserve"> «KI-Transformation», «IT-Lösungen», «Digitaler Auftritt» als eigene Punkte. Sie werden nicht gelöscht, sondern zu </w:t>
      </w:r>
      <w:r>
        <w:rPr>
          <w:i w:val="false"/>
          <w:iCs w:val="false"/>
          <w:color w:val="1A2332"/>
          <w:sz w:val="21"/>
          <w:szCs w:val="21"/>
        </w:rPr>
        <w:t xml:space="preserve">Beweismitteln innerhalb</w:t>
      </w:r>
      <w:r>
        <w:rPr>
          <w:i w:val="false"/>
          <w:iCs w:val="false"/>
          <w:color w:val="1A2332"/>
          <w:sz w:val="21"/>
          <w:szCs w:val="21"/>
        </w:rPr>
        <w:t xml:space="preserve"> der Segmentseiten und von «So arbeiten wir». KI-Transformation als Navigationspunkt ist besonders schädlich — es stellt das Mittel ins Schaufenster.</w:t>
      </w:r>
    </w:p>
    <w:p>
      <w:pPr>
        <w:spacing w:after="120" w:line="300"/>
        <w:jc w:val="both"/>
      </w:pPr>
      <w:r>
        <w:rPr>
          <w:b/>
          <w:bCs/>
          <w:i w:val="false"/>
          <w:iCs w:val="false"/>
          <w:color w:val="1A2332"/>
          <w:sz w:val="21"/>
          <w:szCs w:val="21"/>
        </w:rPr>
        <w:t xml:space="preserve">Seitenbaum:</w:t>
      </w:r>
    </w:p>
    <w:p>
      <w:pPr>
        <w:pStyle w:val="ListParagraph"/>
        <w:numPr>
          <w:ilvl w:val="0"/>
          <w:numId w:val="1"/>
        </w:numPr>
        <w:spacing w:after="60" w:line="288"/>
      </w:pPr>
      <w:r>
        <w:rPr>
          <w:color w:val="1A2332"/>
          <w:sz w:val="21"/>
          <w:szCs w:val="21"/>
        </w:rPr>
        <w:t xml:space="preserve">Startseite</w:t>
      </w:r>
    </w:p>
    <w:p>
      <w:pPr>
        <w:pStyle w:val="ListParagraph"/>
        <w:numPr>
          <w:ilvl w:val="0"/>
          <w:numId w:val="1"/>
        </w:numPr>
        <w:spacing w:after="60" w:line="288"/>
      </w:pPr>
      <w:r>
        <w:rPr>
          <w:color w:val="1A2332"/>
          <w:sz w:val="21"/>
          <w:szCs w:val="21"/>
        </w:rPr>
        <w:t xml:space="preserve">Segmentseite Immobilienbewirtschaftung </w:t>
      </w:r>
      <w:r>
        <w:rPr>
          <w:i/>
          <w:iCs/>
          <w:color w:val="1A2332"/>
          <w:sz w:val="21"/>
          <w:szCs w:val="21"/>
        </w:rPr>
        <w:t xml:space="preserve">(Leitsegment — zuerst und prominent)</w:t>
      </w:r>
    </w:p>
    <w:p>
      <w:pPr>
        <w:pStyle w:val="ListParagraph"/>
        <w:numPr>
          <w:ilvl w:val="0"/>
          <w:numId w:val="1"/>
        </w:numPr>
        <w:spacing w:after="60" w:line="288"/>
      </w:pPr>
      <w:r>
        <w:rPr>
          <w:color w:val="1A2332"/>
          <w:sz w:val="21"/>
          <w:szCs w:val="21"/>
        </w:rPr>
        <w:t xml:space="preserve">Segmentseite Handwerk &amp; Bau</w:t>
      </w:r>
    </w:p>
    <w:p>
      <w:pPr>
        <w:pStyle w:val="ListParagraph"/>
        <w:numPr>
          <w:ilvl w:val="0"/>
          <w:numId w:val="1"/>
        </w:numPr>
        <w:spacing w:after="60" w:line="288"/>
      </w:pPr>
      <w:r>
        <w:rPr>
          <w:color w:val="1A2332"/>
          <w:sz w:val="21"/>
          <w:szCs w:val="21"/>
        </w:rPr>
        <w:t xml:space="preserve">So arbeiten wir </w:t>
      </w:r>
      <w:r>
        <w:rPr>
          <w:i/>
          <w:iCs/>
          <w:color w:val="1A2332"/>
          <w:sz w:val="21"/>
          <w:szCs w:val="21"/>
        </w:rPr>
        <w:t xml:space="preserve">(Methode, Pakete-Logik, GU-Prinzip; die heutigen IT-/KI-/Web-Inhalte als Belegunterseiten dahinter)</w:t>
      </w:r>
    </w:p>
    <w:p>
      <w:pPr>
        <w:pStyle w:val="ListParagraph"/>
        <w:numPr>
          <w:ilvl w:val="0"/>
          <w:numId w:val="1"/>
        </w:numPr>
        <w:spacing w:after="60" w:line="288"/>
      </w:pPr>
      <w:r>
        <w:rPr>
          <w:color w:val="1A2332"/>
          <w:sz w:val="21"/>
          <w:szCs w:val="21"/>
        </w:rPr>
        <w:t xml:space="preserve">Über uns </w:t>
      </w:r>
      <w:r>
        <w:rPr>
          <w:i/>
          <w:iCs/>
          <w:color w:val="1A2332"/>
          <w:sz w:val="21"/>
          <w:szCs w:val="21"/>
        </w:rPr>
        <w:t xml:space="preserve">(Team als unfairer Vorteil, nicht als drei Lebensläufe)</w:t>
      </w:r>
    </w:p>
    <w:p>
      <w:pPr>
        <w:pStyle w:val="ListParagraph"/>
        <w:numPr>
          <w:ilvl w:val="0"/>
          <w:numId w:val="1"/>
        </w:numPr>
        <w:spacing w:after="60" w:line="288"/>
      </w:pPr>
      <w:r>
        <w:rPr>
          <w:color w:val="1A2332"/>
          <w:sz w:val="21"/>
          <w:szCs w:val="21"/>
        </w:rPr>
        <w:t xml:space="preserve">Zweite Ebene / Footer: Preise-Logik, FAQ, Referenzen, Kundenportal, Impressum/Datenschutz/AGB, Blog</w:t>
      </w:r>
    </w:p>
    <w:p>
      <w:pPr>
        <w:pStyle w:val="Heading2"/>
        <w:spacing w:after="100" w:before="240"/>
      </w:pPr>
      <w:r>
        <w:rPr>
          <w:b/>
          <w:bCs/>
          <w:color w:val="1A2332"/>
          <w:sz w:val="24"/>
          <w:szCs w:val="24"/>
        </w:rPr>
        <w:t xml:space="preserve">8.3 Startseite, Sektion für Sektion</w:t>
      </w:r>
    </w:p>
    <w:p>
      <w:pPr>
        <w:pStyle w:val="ListParagraph"/>
        <w:numPr>
          <w:ilvl w:val="0"/>
          <w:numId w:val="2"/>
        </w:numPr>
        <w:spacing w:after="60" w:line="288"/>
      </w:pPr>
      <w:r>
        <w:rPr>
          <w:b/>
          <w:bCs/>
          <w:color w:val="1A2332"/>
          <w:sz w:val="21"/>
          <w:szCs w:val="21"/>
        </w:rPr>
        <w:t xml:space="preserve">Hero.</w:t>
      </w:r>
      <w:r>
        <w:rPr>
          <w:color w:val="1A2332"/>
          <w:sz w:val="21"/>
          <w:szCs w:val="21"/>
        </w:rPr>
        <w:t xml:space="preserve"> Kernbotschaft + ein CTA.</w:t>
      </w:r>
    </w:p>
    <w:p>
      <w:pPr>
        <w:spacing w:after="120" w:line="300"/>
        <w:jc w:val="both"/>
      </w:pPr>
      <w:r>
        <w:rPr>
          <w:i w:val="false"/>
          <w:iCs w:val="false"/>
          <w:color w:val="1A2332"/>
          <w:sz w:val="21"/>
          <w:szCs w:val="21"/>
        </w:rPr>
        <w:t xml:space="preserve">Zweck:</w:t>
      </w:r>
      <w:r>
        <w:rPr>
          <w:i w:val="false"/>
          <w:iCs w:val="false"/>
          <w:color w:val="1A2332"/>
          <w:sz w:val="21"/>
          <w:szCs w:val="21"/>
        </w:rPr>
        <w:t xml:space="preserve"> Sofort Rolle und Nutzen klarmachen. </w:t>
      </w:r>
      <w:r>
        <w:rPr>
          <w:i w:val="false"/>
          <w:iCs w:val="false"/>
          <w:color w:val="1A2332"/>
          <w:sz w:val="21"/>
          <w:szCs w:val="21"/>
        </w:rPr>
        <w:t xml:space="preserve">Inhalt:</w:t>
      </w:r>
      <w:r>
        <w:rPr>
          <w:i w:val="false"/>
          <w:iCs w:val="false"/>
          <w:color w:val="1A2332"/>
          <w:sz w:val="21"/>
          <w:szCs w:val="21"/>
        </w:rPr>
        <w:t xml:space="preserve"> Claim «Sie führen Ihren Betrieb. Wir führen das Digitale.» + Subclaim «Ihre ausgelagerte Digital-Abteilung für Immobilien und Bau — ein Ansprechpartner für Website, Software und IT, aufgebaut und laufend betrieben.» + Button «Kostenlose Demo Ihres Betriebs anfordern». Kein englischer Zweitclaim, keine McKinsey-Zahl.</w:t>
      </w:r>
    </w:p>
    <w:p>
      <w:pPr>
        <w:pStyle w:val="ListParagraph"/>
        <w:numPr>
          <w:ilvl w:val="0"/>
          <w:numId w:val="2"/>
        </w:numPr>
        <w:spacing w:after="60" w:line="288"/>
      </w:pPr>
      <w:r>
        <w:rPr>
          <w:b/>
          <w:bCs/>
          <w:color w:val="1A2332"/>
          <w:sz w:val="21"/>
          <w:szCs w:val="21"/>
        </w:rPr>
        <w:t xml:space="preserve">Das Problem, das der Kunde kennt.</w:t>
      </w:r>
    </w:p>
    <w:p>
      <w:pPr>
        <w:spacing w:after="120" w:line="300"/>
        <w:jc w:val="both"/>
      </w:pPr>
      <w:r>
        <w:rPr>
          <w:i w:val="false"/>
          <w:iCs w:val="false"/>
          <w:color w:val="1A2332"/>
          <w:sz w:val="21"/>
          <w:szCs w:val="21"/>
        </w:rPr>
        <w:t xml:space="preserve">Zweck:</w:t>
      </w:r>
      <w:r>
        <w:rPr>
          <w:i w:val="false"/>
          <w:iCs w:val="false"/>
          <w:color w:val="1A2332"/>
          <w:sz w:val="21"/>
          <w:szCs w:val="21"/>
        </w:rPr>
        <w:t xml:space="preserve"> Wiedererkennung/Betroffenheit. </w:t>
      </w:r>
      <w:r>
        <w:rPr>
          <w:i w:val="false"/>
          <w:iCs w:val="false"/>
          <w:color w:val="1A2332"/>
          <w:sz w:val="21"/>
          <w:szCs w:val="21"/>
        </w:rPr>
        <w:t xml:space="preserve">Kernbotschaft:</w:t>
      </w:r>
      <w:r>
        <w:rPr>
          <w:i w:val="false"/>
          <w:iCs w:val="false"/>
          <w:color w:val="1A2332"/>
          <w:sz w:val="21"/>
          <w:szCs w:val="21"/>
        </w:rPr>
        <w:t xml:space="preserve"> «In Ihrem Betrieb läuft schon vieles digital — nur spielt es nicht zusammen.» Drei, vier konkrete Reibungssätze aus dem Alltag (Anfrage geht auf der Website ein, aber nicht ins ERP; Handwerkerauftrag steht nicht in der Rechnung; Telefon klingelt, niemand kann ran). Keine Technikbegriffe.</w:t>
      </w:r>
    </w:p>
    <w:p>
      <w:pPr>
        <w:pStyle w:val="ListParagraph"/>
        <w:numPr>
          <w:ilvl w:val="0"/>
          <w:numId w:val="2"/>
        </w:numPr>
        <w:spacing w:after="60" w:line="288"/>
      </w:pPr>
      <w:r>
        <w:rPr>
          <w:b/>
          <w:bCs/>
          <w:color w:val="1A2332"/>
          <w:sz w:val="21"/>
          <w:szCs w:val="21"/>
        </w:rPr>
        <w:t xml:space="preserve">Der differenzierende Satz.</w:t>
      </w:r>
    </w:p>
    <w:p>
      <w:pPr>
        <w:spacing w:after="120" w:line="300"/>
        <w:jc w:val="both"/>
      </w:pPr>
      <w:r>
        <w:rPr>
          <w:i w:val="false"/>
          <w:iCs w:val="false"/>
          <w:color w:val="1A2332"/>
          <w:sz w:val="21"/>
          <w:szCs w:val="21"/>
        </w:rPr>
        <w:t xml:space="preserve">Zweck:</w:t>
      </w:r>
      <w:r>
        <w:rPr>
          <w:i w:val="false"/>
          <w:iCs w:val="false"/>
          <w:color w:val="1A2332"/>
          <w:sz w:val="21"/>
          <w:szCs w:val="21"/>
        </w:rPr>
        <w:t xml:space="preserve"> Positionierung in einem Bild. </w:t>
      </w:r>
      <w:r>
        <w:rPr>
          <w:i w:val="false"/>
          <w:iCs w:val="false"/>
          <w:color w:val="1A2332"/>
          <w:sz w:val="21"/>
          <w:szCs w:val="21"/>
        </w:rPr>
        <w:t xml:space="preserve">Kernbotschaft:</w:t>
      </w:r>
      <w:r>
        <w:rPr>
          <w:i w:val="false"/>
          <w:iCs w:val="false"/>
          <w:color w:val="1A2332"/>
          <w:sz w:val="21"/>
          <w:szCs w:val="21"/>
        </w:rPr>
        <w:t xml:space="preserve"> «Software kann jeder kaufen. Das Zusammenspiel nicht.» Kurz erklärt: Ihre bestehende Branchensoftware bleibt; wir verbinden, ergänzen, betreiben.</w:t>
      </w:r>
    </w:p>
    <w:p>
      <w:pPr>
        <w:pStyle w:val="ListParagraph"/>
        <w:numPr>
          <w:ilvl w:val="0"/>
          <w:numId w:val="2"/>
        </w:numPr>
        <w:spacing w:after="60" w:line="288"/>
      </w:pPr>
      <w:r>
        <w:rPr>
          <w:b/>
          <w:bCs/>
          <w:color w:val="1A2332"/>
          <w:sz w:val="21"/>
          <w:szCs w:val="21"/>
        </w:rPr>
        <w:t xml:space="preserve">Zwei Türen (Segment-Einstieg).</w:t>
      </w:r>
    </w:p>
    <w:p>
      <w:pPr>
        <w:spacing w:after="120" w:line="300"/>
        <w:jc w:val="both"/>
      </w:pPr>
      <w:r>
        <w:rPr>
          <w:i w:val="false"/>
          <w:iCs w:val="false"/>
          <w:color w:val="1A2332"/>
          <w:sz w:val="21"/>
          <w:szCs w:val="21"/>
        </w:rPr>
        <w:t xml:space="preserve">Zweck:</w:t>
      </w:r>
      <w:r>
        <w:rPr>
          <w:i w:val="false"/>
          <w:iCs w:val="false"/>
          <w:color w:val="1A2332"/>
          <w:sz w:val="21"/>
          <w:szCs w:val="21"/>
        </w:rPr>
        <w:t xml:space="preserve"> Selbstzuordnung. </w:t>
      </w:r>
      <w:r>
        <w:rPr>
          <w:i w:val="false"/>
          <w:iCs w:val="false"/>
          <w:color w:val="1A2332"/>
          <w:sz w:val="21"/>
          <w:szCs w:val="21"/>
        </w:rPr>
        <w:t xml:space="preserve">Inhalt:</w:t>
      </w:r>
      <w:r>
        <w:rPr>
          <w:i w:val="false"/>
          <w:iCs w:val="false"/>
          <w:color w:val="1A2332"/>
          <w:sz w:val="21"/>
          <w:szCs w:val="21"/>
        </w:rPr>
        <w:t xml:space="preserve"> Zwei grosse Kacheln «Ich bewirtschafte Immobilien» / «Ich führe einen Handwerks- oder Baubetrieb» → führen auf die jeweilige Segmentseite. (Bewirtschaftung optisch zuerst/links = Leitsegment.)</w:t>
      </w:r>
    </w:p>
    <w:p>
      <w:pPr>
        <w:pStyle w:val="ListParagraph"/>
        <w:numPr>
          <w:ilvl w:val="0"/>
          <w:numId w:val="2"/>
        </w:numPr>
        <w:spacing w:after="60" w:line="288"/>
      </w:pPr>
      <w:r>
        <w:rPr>
          <w:b/>
          <w:bCs/>
          <w:color w:val="1A2332"/>
          <w:sz w:val="21"/>
          <w:szCs w:val="21"/>
        </w:rPr>
        <w:t xml:space="preserve">So arbeiten wir — Demo statt Offerte.</w:t>
      </w:r>
    </w:p>
    <w:p>
      <w:pPr>
        <w:spacing w:after="120" w:line="300"/>
        <w:jc w:val="both"/>
      </w:pPr>
      <w:r>
        <w:rPr>
          <w:i w:val="false"/>
          <w:iCs w:val="false"/>
          <w:color w:val="1A2332"/>
          <w:sz w:val="21"/>
          <w:szCs w:val="21"/>
        </w:rPr>
        <w:t xml:space="preserve">Zweck:</w:t>
      </w:r>
      <w:r>
        <w:rPr>
          <w:i w:val="false"/>
          <w:iCs w:val="false"/>
          <w:color w:val="1A2332"/>
          <w:sz w:val="21"/>
          <w:szCs w:val="21"/>
        </w:rPr>
        <w:t xml:space="preserve"> Methode als Differenzierer. </w:t>
      </w:r>
      <w:r>
        <w:rPr>
          <w:i w:val="false"/>
          <w:iCs w:val="false"/>
          <w:color w:val="1A2332"/>
          <w:sz w:val="21"/>
          <w:szCs w:val="21"/>
        </w:rPr>
        <w:t xml:space="preserve">Kernbotschaft:</w:t>
      </w:r>
      <w:r>
        <w:rPr>
          <w:i w:val="false"/>
          <w:iCs w:val="false"/>
          <w:color w:val="1A2332"/>
          <w:sz w:val="21"/>
          <w:szCs w:val="21"/>
        </w:rPr>
        <w:t xml:space="preserve"> «Bei uns gibt es keine Offerte ins Blaue. Zuerst bauen wir Ihnen eine Demo Ihres eigenen digitalisierten Betriebs.» Drei Schritte: Demo → Fahrplan → Betrieb.</w:t>
      </w:r>
    </w:p>
    <w:p>
      <w:pPr>
        <w:pStyle w:val="ListParagraph"/>
        <w:numPr>
          <w:ilvl w:val="0"/>
          <w:numId w:val="2"/>
        </w:numPr>
        <w:spacing w:after="60" w:line="288"/>
      </w:pPr>
      <w:r>
        <w:rPr>
          <w:b/>
          <w:bCs/>
          <w:color w:val="1A2332"/>
          <w:sz w:val="21"/>
          <w:szCs w:val="21"/>
        </w:rPr>
        <w:t xml:space="preserve">Das GU-Prinzip (Verantwortung).</w:t>
      </w:r>
    </w:p>
    <w:p>
      <w:pPr>
        <w:spacing w:after="120" w:line="300"/>
        <w:jc w:val="both"/>
      </w:pPr>
      <w:r>
        <w:rPr>
          <w:i w:val="false"/>
          <w:iCs w:val="false"/>
          <w:color w:val="1A2332"/>
          <w:sz w:val="21"/>
          <w:szCs w:val="21"/>
        </w:rPr>
        <w:t xml:space="preserve">Zweck:</w:t>
      </w:r>
      <w:r>
        <w:rPr>
          <w:i w:val="false"/>
          <w:iCs w:val="false"/>
          <w:color w:val="1A2332"/>
          <w:sz w:val="21"/>
          <w:szCs w:val="21"/>
        </w:rPr>
        <w:t xml:space="preserve"> Verantwortungsübernahme fühlbar machen. </w:t>
      </w:r>
      <w:r>
        <w:rPr>
          <w:i w:val="false"/>
          <w:iCs w:val="false"/>
          <w:color w:val="1A2332"/>
          <w:sz w:val="21"/>
          <w:szCs w:val="21"/>
        </w:rPr>
        <w:t xml:space="preserve">Kernbotschaft:</w:t>
      </w:r>
      <w:r>
        <w:rPr>
          <w:i w:val="false"/>
          <w:iCs w:val="false"/>
          <w:color w:val="1A2332"/>
          <w:sz w:val="21"/>
          <w:szCs w:val="21"/>
        </w:rPr>
        <w:t xml:space="preserve"> «Ein Vertrag, ein Ansprechpartner, ein Ergebnis — wie ein Generalunternehmer, aber für alles Digitale.» (Als Metapher, nicht als Titel.)</w:t>
      </w:r>
    </w:p>
    <w:p>
      <w:pPr>
        <w:pStyle w:val="ListParagraph"/>
        <w:numPr>
          <w:ilvl w:val="0"/>
          <w:numId w:val="2"/>
        </w:numPr>
        <w:spacing w:after="60" w:line="288"/>
      </w:pPr>
      <w:r>
        <w:rPr>
          <w:b/>
          <w:bCs/>
          <w:color w:val="1A2332"/>
          <w:sz w:val="21"/>
          <w:szCs w:val="21"/>
        </w:rPr>
        <w:t xml:space="preserve">Das Team als unfairer Vorteil.</w:t>
      </w:r>
    </w:p>
    <w:p>
      <w:pPr>
        <w:spacing w:after="120" w:line="300"/>
        <w:jc w:val="both"/>
      </w:pPr>
      <w:r>
        <w:rPr>
          <w:i w:val="false"/>
          <w:iCs w:val="false"/>
          <w:color w:val="1A2332"/>
          <w:sz w:val="21"/>
          <w:szCs w:val="21"/>
        </w:rPr>
        <w:t xml:space="preserve">Zweck:</w:t>
      </w:r>
      <w:r>
        <w:rPr>
          <w:i w:val="false"/>
          <w:iCs w:val="false"/>
          <w:color w:val="1A2332"/>
          <w:sz w:val="21"/>
          <w:szCs w:val="21"/>
        </w:rPr>
        <w:t xml:space="preserve"> Glaubwürdigkeit. </w:t>
      </w:r>
      <w:r>
        <w:rPr>
          <w:i w:val="false"/>
          <w:iCs w:val="false"/>
          <w:color w:val="1A2332"/>
          <w:sz w:val="21"/>
          <w:szCs w:val="21"/>
        </w:rPr>
        <w:t xml:space="preserve">Kernbotschaft:</w:t>
      </w:r>
      <w:r>
        <w:rPr>
          <w:i w:val="false"/>
          <w:iCs w:val="false"/>
          <w:color w:val="1A2332"/>
          <w:sz w:val="21"/>
          <w:szCs w:val="21"/>
        </w:rPr>
        <w:t xml:space="preserve"> nicht drei Lebensläufe, sondern «drei Leute, die zusammen die ganze Kette abdecken — vom Handwerk (David, gelernter Elektriker) über die Systeme (Sinan) bis zur Immobilienökonomie (Timo, ex-Bewirtschafter)».</w:t>
      </w:r>
    </w:p>
    <w:p>
      <w:pPr>
        <w:pStyle w:val="ListParagraph"/>
        <w:numPr>
          <w:ilvl w:val="0"/>
          <w:numId w:val="2"/>
        </w:numPr>
        <w:spacing w:after="60" w:line="288"/>
      </w:pPr>
      <w:r>
        <w:rPr>
          <w:b/>
          <w:bCs/>
          <w:color w:val="1A2332"/>
          <w:sz w:val="21"/>
          <w:szCs w:val="21"/>
        </w:rPr>
        <w:t xml:space="preserve">Beweis (statt Referenzliste).</w:t>
      </w:r>
    </w:p>
    <w:p>
      <w:pPr>
        <w:spacing w:after="120" w:line="300"/>
        <w:jc w:val="both"/>
      </w:pPr>
      <w:r>
        <w:rPr>
          <w:i w:val="false"/>
          <w:iCs w:val="false"/>
          <w:color w:val="1A2332"/>
          <w:sz w:val="21"/>
          <w:szCs w:val="21"/>
        </w:rPr>
        <w:t xml:space="preserve">Zweck:</w:t>
      </w:r>
      <w:r>
        <w:rPr>
          <w:i w:val="false"/>
          <w:iCs w:val="false"/>
          <w:color w:val="1A2332"/>
          <w:sz w:val="21"/>
          <w:szCs w:val="21"/>
        </w:rPr>
        <w:t xml:space="preserve"> Vertrauen ohne lange Kundenliste. </w:t>
      </w:r>
      <w:r>
        <w:rPr>
          <w:i w:val="false"/>
          <w:iCs w:val="false"/>
          <w:color w:val="1A2332"/>
          <w:sz w:val="21"/>
          <w:szCs w:val="21"/>
        </w:rPr>
        <w:t xml:space="preserve">Inhalt:</w:t>
      </w:r>
      <w:r>
        <w:rPr>
          <w:i w:val="false"/>
          <w:iCs w:val="false"/>
          <w:color w:val="1A2332"/>
          <w:sz w:val="21"/>
          <w:szCs w:val="21"/>
        </w:rPr>
        <w:t xml:space="preserve"> die zwei Demos als anonymisierte/eingewilligte Fallbeispiele, echte Partner mit Zahlen (Woonig «2'500+ eVotings», CORA, Maxïe Kücük-Richter), CH-Datenstandort/revDSG als Vertrauenssiegel, genannte Branchensoftware als Kompetenzsignal.</w:t>
      </w:r>
    </w:p>
    <w:p>
      <w:pPr>
        <w:pStyle w:val="ListParagraph"/>
        <w:numPr>
          <w:ilvl w:val="0"/>
          <w:numId w:val="2"/>
        </w:numPr>
        <w:spacing w:after="60" w:line="288"/>
      </w:pPr>
      <w:r>
        <w:rPr>
          <w:b/>
          <w:bCs/>
          <w:color w:val="1A2332"/>
          <w:sz w:val="21"/>
          <w:szCs w:val="21"/>
        </w:rPr>
        <w:t xml:space="preserve">Ein CTA, wiederholt.</w:t>
      </w:r>
    </w:p>
    <w:p>
      <w:pPr>
        <w:spacing w:after="120" w:line="300"/>
        <w:jc w:val="both"/>
      </w:pPr>
      <w:r>
        <w:rPr>
          <w:i w:val="false"/>
          <w:iCs w:val="false"/>
          <w:color w:val="1A2332"/>
          <w:sz w:val="21"/>
          <w:szCs w:val="21"/>
        </w:rPr>
        <w:t xml:space="preserve">Zweck:</w:t>
      </w:r>
      <w:r>
        <w:rPr>
          <w:i w:val="false"/>
          <w:iCs w:val="false"/>
          <w:color w:val="1A2332"/>
          <w:sz w:val="21"/>
          <w:szCs w:val="21"/>
        </w:rPr>
        <w:t xml:space="preserve"> Conversion. </w:t>
      </w:r>
      <w:r>
        <w:rPr>
          <w:i w:val="false"/>
          <w:iCs w:val="false"/>
          <w:color w:val="1A2332"/>
          <w:sz w:val="21"/>
          <w:szCs w:val="21"/>
        </w:rPr>
        <w:t xml:space="preserve">Inhalt:</w:t>
      </w:r>
      <w:r>
        <w:rPr>
          <w:i w:val="false"/>
          <w:iCs w:val="false"/>
          <w:color w:val="1A2332"/>
          <w:sz w:val="21"/>
          <w:szCs w:val="21"/>
        </w:rPr>
        <w:t xml:space="preserve"> «Kostenlose Demo Ihres Betriebs anfordern» + Nebenkanäle (Termin/WhatsApp/Telefon) dezent darunter. Nicht sechs konkurrierende CTAs.</w:t>
      </w:r>
    </w:p>
    <w:p>
      <w:pPr>
        <w:pStyle w:val="Heading2"/>
        <w:spacing w:after="100" w:before="240"/>
      </w:pPr>
      <w:r>
        <w:rPr>
          <w:b/>
          <w:bCs/>
          <w:color w:val="1A2332"/>
          <w:sz w:val="24"/>
          <w:szCs w:val="24"/>
        </w:rPr>
        <w:t xml:space="preserve">8.4 Segmentseite Immobilienbewirtschaftung (Vorbild: Göldi-Demo)</w:t>
      </w:r>
    </w:p>
    <w:p>
      <w:pPr>
        <w:spacing w:after="120" w:line="300"/>
        <w:jc w:val="both"/>
      </w:pPr>
      <w:r>
        <w:rPr>
          <w:i w:val="false"/>
          <w:iCs w:val="false"/>
          <w:color w:val="1A2332"/>
          <w:sz w:val="21"/>
          <w:szCs w:val="21"/>
        </w:rPr>
        <w:t xml:space="preserve">Aufbau: Hero mit segmentspezifischem Claim («Sie meistern die Bewirtschaftung. Wir das Digitale.») → Kapazitätsrechner (freigesetzte Stunden, nicht Kostensenkung) → </w:t>
      </w:r>
      <w:r>
        <w:rPr>
          <w:b/>
          <w:bCs/>
          <w:i w:val="false"/>
          <w:iCs w:val="false"/>
          <w:color w:val="1A2332"/>
          <w:sz w:val="21"/>
          <w:szCs w:val="21"/>
        </w:rPr>
        <w:t xml:space="preserve">die Use Cases, die hier stehen müssen:</w:t>
      </w:r>
      <w:r>
        <w:rPr>
          <w:i w:val="false"/>
          <w:iCs w:val="false"/>
          <w:color w:val="1A2332"/>
          <w:sz w:val="21"/>
          <w:szCs w:val="21"/>
        </w:rPr>
        <w:t xml:space="preserve"> (a) Schadensabwicklung von der Meldung bis zum Beleg («Der Wasserschaden am Sonntag»), (b) Versammlung von Einladung bis Protokoll («Der Versammlungsabend im März»), (c) Erreichbarkeit/Mieteranfragen rund um die Uhr, (d) Nebenkostenabrechnung/Rechnungsprüfung → Systemarchitektur als Wabe («Ihr ImmoTop2 bleibt, wir bauen darum herum») → Einwand-FAQ (ImmoTop2, «Eigentümer wollen Papier», «jede Liegenschaft anders») → Team → CTA. </w:t>
      </w:r>
      <w:r>
        <w:rPr>
          <w:b/>
          <w:bCs/>
          <w:i w:val="false"/>
          <w:iCs w:val="false"/>
          <w:color w:val="1A2332"/>
          <w:sz w:val="21"/>
          <w:szCs w:val="21"/>
        </w:rPr>
        <w:t xml:space="preserve">Branchensoftware namentlich nennen: ja</w:t>
      </w:r>
      <w:r>
        <w:rPr>
          <w:i w:val="false"/>
          <w:iCs w:val="false"/>
          <w:color w:val="1A2332"/>
          <w:sz w:val="21"/>
          <w:szCs w:val="21"/>
        </w:rPr>
        <w:t xml:space="preserve"> — ImmoTop2, Rimo R5, Garaio REM, AbaImmo als «Ihre Software bleibt, wir verbinden sie». Das ist ein starkes Vertrauens- und Kompetenzsignal und entkräftet den häufigsten Einwand direkt.</w:t>
      </w:r>
    </w:p>
    <w:p>
      <w:pPr>
        <w:pStyle w:val="Heading2"/>
        <w:spacing w:after="100" w:before="240"/>
      </w:pPr>
      <w:r>
        <w:rPr>
          <w:b/>
          <w:bCs/>
          <w:color w:val="1A2332"/>
          <w:sz w:val="24"/>
          <w:szCs w:val="24"/>
        </w:rPr>
        <w:t xml:space="preserve">8.5 Segmentseite Handwerk &amp; Bau (Vorbild: Picassino-Demo)</w:t>
      </w:r>
    </w:p>
    <w:p>
      <w:pPr>
        <w:spacing w:after="120" w:line="300"/>
        <w:jc w:val="both"/>
      </w:pPr>
      <w:r>
        <w:rPr>
          <w:i w:val="false"/>
          <w:iCs w:val="false"/>
          <w:color w:val="1A2332"/>
          <w:sz w:val="21"/>
          <w:szCs w:val="21"/>
        </w:rPr>
        <w:t xml:space="preserve">Aufbau: Hero («Sie meistern das Handwerk. Wir das Digitale.») → personalisierbarer Kostenrechner (Papierkram in Franken, wie 23'400 CHF) → 7-Phasen-Auftragsablauf von Anfrage bis Rechnung → Use Cases: Offerte→Rapport→Rechnung, Baustellenrapport/Zeiterfassung, Telefonannahme/Anfragen, Nachtragsmanagement → Einwand-FAQ («Hab schon Software und IT-ler» → «zu dritt decken wir alle Bereiche ab und verbinden, was Sie haben») → Team mit Handwerksbezug → CTA. </w:t>
      </w:r>
      <w:r>
        <w:rPr>
          <w:b/>
          <w:bCs/>
          <w:i w:val="false"/>
          <w:iCs w:val="false"/>
          <w:color w:val="1A2332"/>
          <w:sz w:val="21"/>
          <w:szCs w:val="21"/>
        </w:rPr>
        <w:t xml:space="preserve">Branchensoftware nennen: ja</w:t>
      </w:r>
      <w:r>
        <w:rPr>
          <w:i w:val="false"/>
          <w:iCs w:val="false"/>
          <w:color w:val="1A2332"/>
          <w:sz w:val="21"/>
          <w:szCs w:val="21"/>
        </w:rPr>
        <w:t xml:space="preserve"> — Sorba, Baubit, Abacus, Bexio als «wir verbinden Ihre Werkzeuge». </w:t>
      </w:r>
      <w:r>
        <w:rPr>
          <w:i w:val="false"/>
          <w:iCs w:val="false"/>
          <w:color w:val="1A2332"/>
          <w:sz w:val="21"/>
          <w:szCs w:val="21"/>
        </w:rPr>
        <w:t xml:space="preserve">Wichtig:</w:t>
      </w:r>
      <w:r>
        <w:rPr>
          <w:i w:val="false"/>
          <w:iCs w:val="false"/>
          <w:color w:val="1A2332"/>
          <w:sz w:val="21"/>
          <w:szCs w:val="21"/>
        </w:rPr>
        <w:t xml:space="preserve"> Den Titel «digitaler Generalunternehmer» hier vom stehenden Seitentitel zur erklärenden Metapher zurückstufen.</w:t>
      </w:r>
    </w:p>
    <w:p>
      <w:pPr>
        <w:pStyle w:val="Heading2"/>
        <w:spacing w:after="100" w:before="240"/>
      </w:pPr>
      <w:r>
        <w:rPr>
          <w:b/>
          <w:bCs/>
          <w:color w:val="1A2332"/>
          <w:sz w:val="24"/>
          <w:szCs w:val="24"/>
        </w:rPr>
        <w:t xml:space="preserve">8.6 Beweisführung — was fehlende Referenzen ersetzt</w:t>
      </w:r>
    </w:p>
    <w:p>
      <w:pPr>
        <w:spacing w:after="120" w:line="300"/>
        <w:jc w:val="both"/>
      </w:pPr>
      <w:r>
        <w:rPr>
          <w:i w:val="false"/>
          <w:iCs w:val="false"/>
          <w:color w:val="1A2332"/>
          <w:sz w:val="21"/>
          <w:szCs w:val="21"/>
        </w:rPr>
        <w:t xml:space="preserve">Sie haben noch keine lange Kundenliste. Ersatz, in dieser Reihenfolge der Wirkung: (1) </w:t>
      </w:r>
      <w:r>
        <w:rPr>
          <w:b/>
          <w:bCs/>
          <w:i w:val="false"/>
          <w:iCs w:val="false"/>
          <w:color w:val="1A2332"/>
          <w:sz w:val="21"/>
          <w:szCs w:val="21"/>
        </w:rPr>
        <w:t xml:space="preserve">die personalisierten Demos</w:t>
      </w:r>
      <w:r>
        <w:rPr>
          <w:i w:val="false"/>
          <w:iCs w:val="false"/>
          <w:color w:val="1A2332"/>
          <w:sz w:val="21"/>
          <w:szCs w:val="21"/>
        </w:rPr>
        <w:t xml:space="preserve"> — sie zeigen Kompetenz am konkreten Fall, stärker als jedes Logo; (2) </w:t>
      </w:r>
      <w:r>
        <w:rPr>
          <w:b/>
          <w:bCs/>
          <w:i w:val="false"/>
          <w:iCs w:val="false"/>
          <w:color w:val="1A2332"/>
          <w:sz w:val="21"/>
          <w:szCs w:val="21"/>
        </w:rPr>
        <w:t xml:space="preserve">echte Partner mit Zahlen</w:t>
      </w:r>
      <w:r>
        <w:rPr>
          <w:i w:val="false"/>
          <w:iCs w:val="false"/>
          <w:color w:val="1A2332"/>
          <w:sz w:val="21"/>
          <w:szCs w:val="21"/>
        </w:rPr>
        <w:t xml:space="preserve"> (Woonig 2'500+ eVotings, CORA, Maxïe Kücük-Richter mit eidg. FA und SVIT-Dozentur) — geliehene Glaubwürdigkeit; (3) </w:t>
      </w:r>
      <w:r>
        <w:rPr>
          <w:b/>
          <w:bCs/>
          <w:i w:val="false"/>
          <w:iCs w:val="false"/>
          <w:color w:val="1A2332"/>
          <w:sz w:val="21"/>
          <w:szCs w:val="21"/>
        </w:rPr>
        <w:t xml:space="preserve">das Team-Profil</w:t>
      </w:r>
      <w:r>
        <w:rPr>
          <w:i w:val="false"/>
          <w:iCs w:val="false"/>
          <w:color w:val="1A2332"/>
          <w:sz w:val="21"/>
          <w:szCs w:val="21"/>
        </w:rPr>
        <w:t xml:space="preserve"> als Beweis, dass Sie die Branche von innen kennen; (4) </w:t>
      </w:r>
      <w:r>
        <w:rPr>
          <w:b/>
          <w:bCs/>
          <w:i w:val="false"/>
          <w:iCs w:val="false"/>
          <w:color w:val="1A2332"/>
          <w:sz w:val="21"/>
          <w:szCs w:val="21"/>
        </w:rPr>
        <w:t xml:space="preserve">genannte Branchensoftware</w:t>
      </w:r>
      <w:r>
        <w:rPr>
          <w:i w:val="false"/>
          <w:iCs w:val="false"/>
          <w:color w:val="1A2332"/>
          <w:sz w:val="21"/>
          <w:szCs w:val="21"/>
        </w:rPr>
        <w:t xml:space="preserve"> als Kompetenzsignal; (5) </w:t>
      </w:r>
      <w:r>
        <w:rPr>
          <w:b/>
          <w:bCs/>
          <w:i w:val="false"/>
          <w:iCs w:val="false"/>
          <w:color w:val="1A2332"/>
          <w:sz w:val="21"/>
          <w:szCs w:val="21"/>
        </w:rPr>
        <w:t xml:space="preserve">CH-Datenstandort und revDSG-Konformität</w:t>
      </w:r>
      <w:r>
        <w:rPr>
          <w:i w:val="false"/>
          <w:iCs w:val="false"/>
          <w:color w:val="1A2332"/>
          <w:sz w:val="21"/>
          <w:szCs w:val="21"/>
        </w:rPr>
        <w:t xml:space="preserve"> als überprüfbares Vertrauenssiegel; (6) </w:t>
      </w:r>
      <w:r>
        <w:rPr>
          <w:b/>
          <w:bCs/>
          <w:i w:val="false"/>
          <w:iCs w:val="false"/>
          <w:color w:val="1A2332"/>
          <w:sz w:val="21"/>
          <w:szCs w:val="21"/>
        </w:rPr>
        <w:t xml:space="preserve">Transparenz</w:t>
      </w:r>
      <w:r>
        <w:rPr>
          <w:i w:val="false"/>
          <w:iCs w:val="false"/>
          <w:color w:val="1A2332"/>
          <w:sz w:val="21"/>
          <w:szCs w:val="21"/>
        </w:rPr>
        <w:t xml:space="preserve"> über Vorgehen und Preise (der bezahlte Fahrplan mit klarem Ergebnis). Ergänzend: die ersten ein bis zwei Referenzkunden mit einem kurzen, konkreten Ergebnis (freigesetzte Stunden) zitierbar machen, sobald vorhanden.</w:t>
      </w:r>
    </w:p>
    <w:p>
      <w:pPr>
        <w:pStyle w:val="Heading2"/>
        <w:spacing w:after="100" w:before="240"/>
      </w:pPr>
      <w:r>
        <w:rPr>
          <w:b/>
          <w:bCs/>
          <w:color w:val="1A2332"/>
          <w:sz w:val="24"/>
          <w:szCs w:val="24"/>
        </w:rPr>
        <w:t xml:space="preserve">8.7 CTA-Hierarchie und Conversion-Pfad</w:t>
      </w:r>
    </w:p>
    <w:p>
      <w:pPr>
        <w:spacing w:after="120" w:line="300"/>
        <w:jc w:val="both"/>
      </w:pPr>
      <w:r>
        <w:rPr>
          <w:i w:val="false"/>
          <w:iCs w:val="false"/>
          <w:color w:val="1A2332"/>
          <w:sz w:val="21"/>
          <w:szCs w:val="21"/>
        </w:rPr>
        <w:t xml:space="preserve">Ein primärer CTA über die ganze Seite: </w:t>
      </w:r>
      <w:r>
        <w:rPr>
          <w:b/>
          <w:bCs/>
          <w:i w:val="false"/>
          <w:iCs w:val="false"/>
          <w:color w:val="1A2332"/>
          <w:sz w:val="21"/>
          <w:szCs w:val="21"/>
        </w:rPr>
        <w:t xml:space="preserve">«Kostenlose Demo Ihres Betriebs anfordern».</w:t>
      </w:r>
      <w:r>
        <w:rPr>
          <w:i w:val="false"/>
          <w:iCs w:val="false"/>
          <w:color w:val="1A2332"/>
          <w:sz w:val="21"/>
          <w:szCs w:val="21"/>
        </w:rPr>
        <w:t xml:space="preserve"> Sekundär und dezent: Termin buchen (30 Min.), WhatsApp, Telefon, E-Mail. Die heutige Zersplitterung (Potenzialanalyse / Einschätzung / Erstgespräch / Bestandsaufnahme / Audit) wird auf diesen einen Pfad reduziert. Pfad: Demo → (bezahlter) Fahrplan → Betriebspaket. Die Risikoumkehr der Webdesign-Seite («Keine Kreditkarte. Kein Risiko.») wandert ins Zentrum.</w:t>
      </w:r>
    </w:p>
    <w:p>
      <w:pPr>
        <w:pStyle w:val="Heading2"/>
        <w:spacing w:after="100" w:before="240"/>
      </w:pPr>
      <w:r>
        <w:rPr>
          <w:b/>
          <w:bCs/>
          <w:color w:val="1A2332"/>
          <w:sz w:val="24"/>
          <w:szCs w:val="24"/>
        </w:rPr>
        <w:t xml:space="preserve">8.8 Streichliste (mit Begründung)</w:t>
      </w:r>
    </w:p>
    <w:p>
      <w:pPr>
        <w:pStyle w:val="ListParagraph"/>
        <w:numPr>
          <w:ilvl w:val="0"/>
          <w:numId w:val="1"/>
        </w:numPr>
        <w:spacing w:after="60" w:line="288"/>
      </w:pPr>
      <w:r>
        <w:rPr>
          <w:b/>
          <w:bCs/>
          <w:color w:val="1A2332"/>
          <w:sz w:val="21"/>
          <w:szCs w:val="21"/>
        </w:rPr>
        <w:t xml:space="preserve">«Build the base. Lead the race.»</w:t>
      </w:r>
      <w:r>
        <w:rPr>
          <w:color w:val="1A2332"/>
          <w:sz w:val="21"/>
          <w:szCs w:val="21"/>
        </w:rPr>
        <w:t xml:space="preserve"> — englisch, abstrakt, für die Zielgruppe wertlos; widerspricht der deutschen Kundensprache.</w:t>
      </w:r>
    </w:p>
    <w:p>
      <w:pPr>
        <w:pStyle w:val="ListParagraph"/>
        <w:numPr>
          <w:ilvl w:val="0"/>
          <w:numId w:val="1"/>
        </w:numPr>
        <w:spacing w:after="60" w:line="288"/>
      </w:pPr>
      <w:r>
        <w:rPr>
          <w:b/>
          <w:bCs/>
          <w:color w:val="1A2332"/>
          <w:sz w:val="21"/>
          <w:szCs w:val="21"/>
        </w:rPr>
        <w:t xml:space="preserve">McKinsey-Statistik «57 % Automatisierungspotenzial».</w:t>
      </w:r>
      <w:r>
        <w:rPr>
          <w:color w:val="1A2332"/>
          <w:sz w:val="21"/>
          <w:szCs w:val="21"/>
        </w:rPr>
        <w:t xml:space="preserve"> — weckt Rationalisierungsangst statt Entlastung, sagt nichts über den einzelnen Betrieb.</w:t>
      </w:r>
    </w:p>
    <w:p>
      <w:pPr>
        <w:pStyle w:val="ListParagraph"/>
        <w:numPr>
          <w:ilvl w:val="0"/>
          <w:numId w:val="1"/>
        </w:numPr>
        <w:spacing w:after="60" w:line="288"/>
      </w:pPr>
      <w:r>
        <w:rPr>
          <w:b/>
          <w:bCs/>
          <w:color w:val="1A2332"/>
          <w:sz w:val="21"/>
          <w:szCs w:val="21"/>
        </w:rPr>
        <w:t xml:space="preserve">«amplified»-Baukasten</w:t>
      </w:r>
      <w:r>
        <w:rPr>
          <w:color w:val="1A2332"/>
          <w:sz w:val="21"/>
          <w:szCs w:val="21"/>
        </w:rPr>
        <w:t xml:space="preserve"> («Transformation amplified», «IT amplified»). — leere Marketingformel ohne Versprechen.</w:t>
      </w:r>
    </w:p>
    <w:p>
      <w:pPr>
        <w:pStyle w:val="ListParagraph"/>
        <w:numPr>
          <w:ilvl w:val="0"/>
          <w:numId w:val="1"/>
        </w:numPr>
        <w:spacing w:after="60" w:line="288"/>
      </w:pPr>
      <w:r>
        <w:rPr>
          <w:b/>
          <w:bCs/>
          <w:color w:val="1A2332"/>
          <w:sz w:val="21"/>
          <w:szCs w:val="21"/>
        </w:rPr>
        <w:t xml:space="preserve">Drei Säulen «Fundament/Effizienz/Wirkung».</w:t>
      </w:r>
      <w:r>
        <w:rPr>
          <w:color w:val="1A2332"/>
          <w:sz w:val="21"/>
          <w:szCs w:val="21"/>
        </w:rPr>
        <w:t xml:space="preserve"> — bildet Ihre Innensicht ab, nicht die Kundenwelt (der Kardinalfehler).</w:t>
      </w:r>
    </w:p>
    <w:p>
      <w:pPr>
        <w:pStyle w:val="ListParagraph"/>
        <w:numPr>
          <w:ilvl w:val="0"/>
          <w:numId w:val="1"/>
        </w:numPr>
        <w:spacing w:after="60" w:line="288"/>
      </w:pPr>
      <w:r>
        <w:rPr>
          <w:b/>
          <w:bCs/>
          <w:color w:val="1A2332"/>
          <w:sz w:val="21"/>
          <w:szCs w:val="21"/>
        </w:rPr>
        <w:t xml:space="preserve">Navigationspunkt «KI-Transformation».</w:t>
      </w:r>
      <w:r>
        <w:rPr>
          <w:color w:val="1A2332"/>
          <w:sz w:val="21"/>
          <w:szCs w:val="21"/>
        </w:rPr>
        <w:t xml:space="preserve"> — stellt das Mittel ins Schaufenster; Inhalt wandert als Beleg in Segmentseiten.</w:t>
      </w:r>
    </w:p>
    <w:p>
      <w:pPr>
        <w:pStyle w:val="ListParagraph"/>
        <w:numPr>
          <w:ilvl w:val="0"/>
          <w:numId w:val="1"/>
        </w:numPr>
        <w:spacing w:after="60" w:line="288"/>
      </w:pPr>
      <w:r>
        <w:rPr>
          <w:b/>
          <w:bCs/>
          <w:color w:val="1A2332"/>
          <w:sz w:val="21"/>
          <w:szCs w:val="21"/>
        </w:rPr>
        <w:t xml:space="preserve">Navigationspunkte «IT-Lösungen» und «Digitaler Auftritt» als eigenständige Top-Level-Punkte.</w:t>
      </w:r>
      <w:r>
        <w:rPr>
          <w:color w:val="1A2332"/>
          <w:sz w:val="21"/>
          <w:szCs w:val="21"/>
        </w:rPr>
        <w:t xml:space="preserve"> — werden Bestandteile des Betriebspakets/«So arbeiten wir», nicht separat verkaufte Produkte.</w:t>
      </w:r>
    </w:p>
    <w:p>
      <w:pPr>
        <w:pStyle w:val="ListParagraph"/>
        <w:numPr>
          <w:ilvl w:val="0"/>
          <w:numId w:val="1"/>
        </w:numPr>
        <w:spacing w:after="60" w:line="288"/>
      </w:pPr>
      <w:r>
        <w:rPr>
          <w:b/>
          <w:bCs/>
          <w:color w:val="1A2332"/>
          <w:sz w:val="21"/>
          <w:szCs w:val="21"/>
        </w:rPr>
        <w:t xml:space="preserve">Purpose-Satz «Wir schaffen das digitale Fundament, damit Ihre Vision Realität wird».</w:t>
      </w:r>
      <w:r>
        <w:rPr>
          <w:color w:val="1A2332"/>
          <w:sz w:val="21"/>
          <w:szCs w:val="21"/>
        </w:rPr>
        <w:t xml:space="preserve"> — Floskel, unkonkret; ersetzt durch die neue Kernbotschaft.</w:t>
      </w:r>
    </w:p>
    <w:p>
      <w:pPr>
        <w:pStyle w:val="ListParagraph"/>
        <w:numPr>
          <w:ilvl w:val="0"/>
          <w:numId w:val="1"/>
        </w:numPr>
        <w:spacing w:after="60" w:line="288"/>
      </w:pPr>
      <w:r>
        <w:rPr>
          <w:b/>
          <w:bCs/>
          <w:color w:val="1A2332"/>
          <w:sz w:val="21"/>
          <w:szCs w:val="21"/>
        </w:rPr>
        <w:t xml:space="preserve">Sechs konkurrierende CTA-Varianten.</w:t>
      </w:r>
      <w:r>
        <w:rPr>
          <w:color w:val="1A2332"/>
          <w:sz w:val="21"/>
          <w:szCs w:val="21"/>
        </w:rPr>
        <w:t xml:space="preserve"> — auf einen Pfad reduzieren.</w:t>
      </w:r>
    </w:p>
    <w:p>
      <w:pPr>
        <w:pStyle w:val="ListParagraph"/>
        <w:numPr>
          <w:ilvl w:val="0"/>
          <w:numId w:val="1"/>
        </w:numPr>
        <w:spacing w:after="60" w:line="288"/>
      </w:pPr>
      <w:r>
        <w:rPr>
          <w:b/>
          <w:bCs/>
          <w:color w:val="1A2332"/>
          <w:sz w:val="21"/>
          <w:szCs w:val="21"/>
        </w:rPr>
        <w:t xml:space="preserve">Sofort zu korrigieren (Vertrauensschäden):</w:t>
      </w:r>
      <w:r>
        <w:rPr>
          <w:color w:val="1A2332"/>
          <w:sz w:val="21"/>
          <w:szCs w:val="21"/>
        </w:rPr>
        <w:t xml:space="preserve"> Tippfehler «unternemerisch» (Über-uns); Namenswiderspruch «Sinan Ekici» vs. «Sinan Sen» (Webdesign-Chatbot); leere «Pakete &amp; Preise»-Verlinkung — entweder Preise/Preislogik zeigen oder Menüpunkt entfernen.</w:t>
      </w:r>
    </w:p>
    <w:p>
      <w:pPr>
        <w:pStyle w:val="ListParagraph"/>
        <w:numPr>
          <w:ilvl w:val="0"/>
          <w:numId w:val="1"/>
        </w:numPr>
        <w:spacing w:after="60" w:line="288"/>
      </w:pPr>
      <w:r>
        <w:rPr>
          <w:b/>
          <w:bCs/>
          <w:color w:val="1A2332"/>
          <w:sz w:val="21"/>
          <w:szCs w:val="21"/>
        </w:rPr>
        <w:t xml:space="preserve">Streichen: das Wort «ganzheitlich» und «massgeschneidert»</w:t>
      </w:r>
      <w:r>
        <w:rPr>
          <w:color w:val="1A2332"/>
          <w:sz w:val="21"/>
          <w:szCs w:val="21"/>
        </w:rPr>
        <w:t xml:space="preserve"> wo vorhanden — durch konkrete Aussagen ersetzen.</w:t>
      </w:r>
    </w:p>
    <w:p>
      <w:pPr>
        <w:pStyle w:val="Heading2"/>
        <w:spacing w:after="100" w:before="240"/>
      </w:pPr>
      <w:r>
        <w:rPr>
          <w:b/>
          <w:bCs/>
          <w:color w:val="1A2332"/>
          <w:sz w:val="24"/>
          <w:szCs w:val="24"/>
        </w:rPr>
        <w:t xml:space="preserve">8.9 Domainstrategie für die Demo-Domains</w:t>
      </w:r>
    </w:p>
    <w:p>
      <w:pPr>
        <w:spacing w:after="120" w:line="300"/>
        <w:jc w:val="both"/>
      </w:pPr>
      <w:r>
        <w:rPr>
          <w:i w:val="false"/>
          <w:iCs w:val="false"/>
          <w:color w:val="1A2332"/>
          <w:sz w:val="21"/>
          <w:szCs w:val="21"/>
        </w:rPr>
        <w:t xml:space="preserve">Empfehlung: </w:t>
      </w:r>
      <w:r>
        <w:rPr>
          <w:b/>
          <w:bCs/>
          <w:i w:val="false"/>
          <w:iCs w:val="false"/>
          <w:color w:val="1A2332"/>
          <w:sz w:val="21"/>
          <w:szCs w:val="21"/>
        </w:rPr>
        <w:t xml:space="preserve">konsolidieren unter amplifyr.ch, mit einer Ausnahme für die personalisierten Einzeldemos.</w:t>
      </w:r>
      <w:r>
        <w:rPr>
          <w:i w:val="false"/>
          <w:iCs w:val="false"/>
          <w:color w:val="1A2332"/>
          <w:sz w:val="21"/>
          <w:szCs w:val="21"/>
        </w:rPr>
        <w:t xml:space="preserve"> Konkret:</w:t>
      </w:r>
    </w:p>
    <w:p>
      <w:pPr>
        <w:pStyle w:val="ListParagraph"/>
        <w:numPr>
          <w:ilvl w:val="0"/>
          <w:numId w:val="1"/>
        </w:numPr>
        <w:spacing w:after="60" w:line="288"/>
      </w:pPr>
      <w:r>
        <w:rPr>
          <w:color w:val="1A2332"/>
          <w:sz w:val="21"/>
          <w:szCs w:val="21"/>
        </w:rPr>
        <w:t xml:space="preserve">Die </w:t>
      </w:r>
      <w:r>
        <w:rPr>
          <w:i/>
          <w:iCs/>
          <w:color w:val="1A2332"/>
          <w:sz w:val="21"/>
          <w:szCs w:val="21"/>
        </w:rPr>
        <w:t xml:space="preserve">Methode</w:t>
      </w:r>
      <w:r>
        <w:rPr>
          <w:color w:val="1A2332"/>
          <w:sz w:val="21"/>
          <w:szCs w:val="21"/>
        </w:rPr>
        <w:t xml:space="preserve"> und die </w:t>
      </w:r>
      <w:r>
        <w:rPr>
          <w:i/>
          <w:iCs/>
          <w:color w:val="1A2332"/>
          <w:sz w:val="21"/>
          <w:szCs w:val="21"/>
        </w:rPr>
        <w:t xml:space="preserve">Muster</w:t>
      </w:r>
      <w:r>
        <w:rPr>
          <w:color w:val="1A2332"/>
          <w:sz w:val="21"/>
          <w:szCs w:val="21"/>
        </w:rPr>
        <w:t xml:space="preserve">-Fälle leben unter amplifyr.ch (Segmentseiten, «So arbeiten wir»). Dort gehört die Reputation gebündelt — jeder Demo-Traffic soll auf die Marke Amplifyr einzahlen, nicht auf zwei fremde Domains.</w:t>
      </w:r>
    </w:p>
    <w:p>
      <w:pPr>
        <w:pStyle w:val="ListParagraph"/>
        <w:numPr>
          <w:ilvl w:val="0"/>
          <w:numId w:val="1"/>
        </w:numPr>
        <w:spacing w:after="60" w:line="288"/>
      </w:pPr>
      <w:r>
        <w:rPr>
          <w:color w:val="1A2332"/>
          <w:sz w:val="21"/>
          <w:szCs w:val="21"/>
        </w:rPr>
        <w:t xml:space="preserve">Die </w:t>
      </w:r>
      <w:r>
        <w:rPr>
          <w:i/>
          <w:iCs/>
          <w:color w:val="1A2332"/>
          <w:sz w:val="21"/>
          <w:szCs w:val="21"/>
        </w:rPr>
        <w:t xml:space="preserve">personalisierten Einzeldemos</w:t>
      </w:r>
      <w:r>
        <w:rPr>
          <w:color w:val="1A2332"/>
          <w:sz w:val="21"/>
          <w:szCs w:val="21"/>
        </w:rPr>
        <w:t xml:space="preserve"> für konkrete Interessenten können weiterhin unter kurzen, teilbaren URLs laufen (z. B. </w:t>
      </w:r>
      <w:r>
        <w:rPr>
          <w:rFonts w:ascii="Consolas" w:cs="Consolas" w:eastAsia="Consolas" w:hAnsi="Consolas"/>
          <w:color w:val="1A2332"/>
          <w:sz w:val="21"/>
          <w:szCs w:val="21"/>
        </w:rPr>
        <w:t xml:space="preserve">amplifyr.ch/demo/[betrieb]</w:t>
      </w:r>
      <w:r>
        <w:rPr>
          <w:color w:val="1A2332"/>
          <w:sz w:val="21"/>
          <w:szCs w:val="21"/>
        </w:rPr>
        <w:t xml:space="preserve"> oder als Subdomain), </w:t>
      </w:r>
      <w:r>
        <w:rPr>
          <w:b/>
          <w:bCs/>
          <w:color w:val="1A2332"/>
          <w:sz w:val="21"/>
          <w:szCs w:val="21"/>
        </w:rPr>
        <w:t xml:space="preserve">müssen aber `noindex` sein und dürfen echte Firmennamen nur mit Einwilligung tragen</w:t>
      </w:r>
      <w:r>
        <w:rPr>
          <w:color w:val="1A2332"/>
          <w:sz w:val="21"/>
          <w:szCs w:val="21"/>
        </w:rPr>
        <w:t xml:space="preserve"> (Kapitel 10). Die separaten Marken-Domains </w:t>
      </w:r>
      <w:r>
        <w:rPr>
          <w:rFonts w:ascii="Consolas" w:cs="Consolas" w:eastAsia="Consolas" w:hAnsi="Consolas"/>
          <w:color w:val="1A2332"/>
          <w:sz w:val="21"/>
          <w:szCs w:val="21"/>
        </w:rPr>
        <w:t xml:space="preserve">ihr-digitaler-handwerksbetrieb.ch</w:t>
      </w:r>
      <w:r>
        <w:rPr>
          <w:color w:val="1A2332"/>
          <w:sz w:val="21"/>
          <w:szCs w:val="21"/>
        </w:rPr>
        <w:t xml:space="preserve"> und </w:t>
      </w:r>
      <w:r>
        <w:rPr>
          <w:rFonts w:ascii="Consolas" w:cs="Consolas" w:eastAsia="Consolas" w:hAnsi="Consolas"/>
          <w:color w:val="1A2332"/>
          <w:sz w:val="21"/>
          <w:szCs w:val="21"/>
        </w:rPr>
        <w:t xml:space="preserve">ihre-digitale-bewirtschaftung.ch</w:t>
      </w:r>
      <w:r>
        <w:rPr>
          <w:color w:val="1A2332"/>
          <w:sz w:val="21"/>
          <w:szCs w:val="21"/>
        </w:rPr>
        <w:t xml:space="preserve"> als </w:t>
      </w:r>
      <w:r>
        <w:rPr>
          <w:i/>
          <w:iCs/>
          <w:color w:val="1A2332"/>
          <w:sz w:val="21"/>
          <w:szCs w:val="21"/>
        </w:rPr>
        <w:t xml:space="preserve">eigenständige Segmentmarken</w:t>
      </w:r>
      <w:r>
        <w:rPr>
          <w:color w:val="1A2332"/>
          <w:sz w:val="21"/>
          <w:szCs w:val="21"/>
        </w:rPr>
        <w:t xml:space="preserve"> zu führen, rate ich ab: Es zersplittert eine ohnehin knappe Markenkraft auf drei Namen und erzeugt genau die Inkonsistenz, die heute schon schadet. Behalten Sie die Domains defensiv (Weiterleitung auf die jeweilige Segmentseite), aber bauen Sie die Marke unter Amplifyr.</w:t>
      </w:r>
    </w:p>
    <w:p>
      <w:pPr>
        <w:spacing w:after="120" w:line="300"/>
        <w:jc w:val="both"/>
      </w:pPr>
      <w:r>
        <w:rPr>
          <w:i w:val="false"/>
          <w:iCs w:val="false"/>
          <w:color w:val="1A2332"/>
          <w:sz w:val="21"/>
          <w:szCs w:val="21"/>
        </w:rPr>
        <w:t xml:space="preserve">Prüfpunkt:</w:t>
      </w:r>
      <w:r>
        <w:rPr>
          <w:i w:val="false"/>
          <w:iCs w:val="false"/>
          <w:color w:val="1A2332"/>
          <w:sz w:val="21"/>
          <w:szCs w:val="21"/>
        </w:rPr>
        <w:t xml:space="preserve"> Falls die Demos als SEO-Landingpages Traffic bringen sollen, widerspricht das dem </w:t>
      </w:r>
      <w:r>
        <w:rPr>
          <w:rFonts w:ascii="Consolas" w:cs="Consolas" w:eastAsia="Consolas" w:hAnsi="Consolas"/>
          <w:i w:val="false"/>
          <w:iCs w:val="false"/>
          <w:color w:val="1A2332"/>
          <w:sz w:val="21"/>
          <w:szCs w:val="21"/>
        </w:rPr>
        <w:t xml:space="preserve">noindex</w:t>
      </w:r>
      <w:r>
        <w:rPr>
          <w:i w:val="false"/>
          <w:iCs w:val="false"/>
          <w:color w:val="1A2332"/>
          <w:sz w:val="21"/>
          <w:szCs w:val="21"/>
        </w:rPr>
        <w:t xml:space="preserve">-Schutz — dann braucht es generische, einwilligungsfreie Muster-Demos (fiktiver Betrieb) für die Indexierung und personalisierte Demos nur privat. Diese Entscheidung in Kapitel 10.</w:t>
      </w:r>
    </w:p>
    <w:p>
      <w:pPr>
        <w:pBdr>
          <w:bottom w:val="single" w:color="C9D3DA" w:sz="6" w:space="6"/>
        </w:pBdr>
        <w:spacing w:after="160" w:before="80"/>
      </w:pPr>
    </w:p>
    <w:p>
      <w:pPr>
        <w:pStyle w:val="Heading1"/>
        <w:pageBreakBefore/>
        <w:spacing w:after="160" w:before="120"/>
      </w:pPr>
      <w:r>
        <w:rPr>
          <w:b/>
          <w:bCs/>
          <w:color w:val="1A2332"/>
          <w:sz w:val="34"/>
          <w:szCs w:val="34"/>
        </w:rPr>
        <w:t xml:space="preserve">9. Roadmap</w:t>
      </w:r>
    </w:p>
    <w:p>
      <w:pPr>
        <w:pStyle w:val="Heading2"/>
        <w:spacing w:after="100" w:before="240"/>
      </w:pPr>
      <w:r>
        <w:rPr>
          <w:b/>
          <w:bCs/>
          <w:color w:val="1A2332"/>
          <w:sz w:val="24"/>
          <w:szCs w:val="24"/>
        </w:rPr>
        <w:t xml:space="preserve">90 Tage — Fundament und Leitsegment</w:t>
      </w:r>
    </w:p>
    <w:p>
      <w:pPr>
        <w:spacing w:after="120" w:line="300"/>
        <w:jc w:val="both"/>
      </w:pPr>
      <w:r>
        <w:rPr>
          <w:i/>
          <w:iCs/>
          <w:color w:val="55606E"/>
          <w:sz w:val="21"/>
          <w:szCs w:val="21"/>
        </w:rPr>
        <w:t xml:space="preserve">Ziel: Neue Positionierung steht, erste Bewirtschaftungs-Referenz in Arbeit.</w:t>
      </w:r>
    </w:p>
    <w:p>
      <w:pPr>
        <w:pStyle w:val="ListParagraph"/>
        <w:numPr>
          <w:ilvl w:val="0"/>
          <w:numId w:val="1"/>
        </w:numPr>
        <w:spacing w:after="60" w:line="288"/>
      </w:pPr>
      <w:r>
        <w:rPr>
          <w:color w:val="1A2332"/>
          <w:sz w:val="21"/>
          <w:szCs w:val="21"/>
        </w:rPr>
        <w:t xml:space="preserve">Woche 1–3: Positionierung intern verabschieden; Claim, Descriptor und Übersetzungstabelle festziehen; IGE-/Handelsregister-Kurzcheck für Claim/Descriptor; rechtliche Sofortkorrekturen (Tippfehler, Namenswiderspruch, GU-Titel entschärfen).</w:t>
      </w:r>
    </w:p>
    <w:p>
      <w:pPr>
        <w:pStyle w:val="ListParagraph"/>
        <w:numPr>
          <w:ilvl w:val="0"/>
          <w:numId w:val="1"/>
        </w:numPr>
        <w:spacing w:after="60" w:line="288"/>
      </w:pPr>
      <w:r>
        <w:rPr>
          <w:color w:val="1A2332"/>
          <w:sz w:val="21"/>
          <w:szCs w:val="21"/>
        </w:rPr>
        <w:t xml:space="preserve">Woche 2–6: Website-Umbau nach Kapitel 8 — neue Navigation, Startseite, Segmentseite Bewirtschaftung zuerst. Streichliste umsetzen. MSP aus Top-Nav ins Betriebspaket. Demo-Seiten mit </w:t>
      </w:r>
      <w:r>
        <w:rPr>
          <w:rFonts w:ascii="Consolas" w:cs="Consolas" w:eastAsia="Consolas" w:hAnsi="Consolas"/>
          <w:color w:val="1A2332"/>
          <w:sz w:val="21"/>
          <w:szCs w:val="21"/>
        </w:rPr>
        <w:t xml:space="preserve">noindex</w:t>
      </w:r>
      <w:r>
        <w:rPr>
          <w:color w:val="1A2332"/>
          <w:sz w:val="21"/>
          <w:szCs w:val="21"/>
        </w:rPr>
        <w:t xml:space="preserve"> und Einwilligungsprozess absichern.</w:t>
      </w:r>
    </w:p>
    <w:p>
      <w:pPr>
        <w:pStyle w:val="ListParagraph"/>
        <w:numPr>
          <w:ilvl w:val="0"/>
          <w:numId w:val="1"/>
        </w:numPr>
        <w:spacing w:after="60" w:line="288"/>
      </w:pPr>
      <w:r>
        <w:rPr>
          <w:color w:val="1A2332"/>
          <w:sz w:val="21"/>
          <w:szCs w:val="21"/>
        </w:rPr>
        <w:t xml:space="preserve">Woche 3–8: «Demo statt Offerte» und Fahrplan-Angebot produktisieren (Template, damit eine Demo in Tagen steht; Fahrplan-Struktur und Preis CHF 1'500–3'500 definieren). Betriebspaket-Baukasten und drei Preisstufen final.</w:t>
      </w:r>
    </w:p>
    <w:p>
      <w:pPr>
        <w:pStyle w:val="ListParagraph"/>
        <w:numPr>
          <w:ilvl w:val="0"/>
          <w:numId w:val="1"/>
        </w:numPr>
        <w:spacing w:after="60" w:line="288"/>
      </w:pPr>
      <w:r>
        <w:rPr>
          <w:color w:val="1A2332"/>
          <w:sz w:val="21"/>
          <w:szCs w:val="21"/>
        </w:rPr>
        <w:t xml:space="preserve">Woche 4–12: Leitsegment-Vertrieb: 5–8 Zielbewirtschafter über Timos Netzwerk/SVIT identifizieren, personalisierte Demos bauen und präsentieren, ersten bezahlten Fahrplan verkaufen.</w:t>
      </w:r>
    </w:p>
    <w:p>
      <w:pPr>
        <w:pStyle w:val="ListParagraph"/>
        <w:numPr>
          <w:ilvl w:val="0"/>
          <w:numId w:val="1"/>
        </w:numPr>
        <w:spacing w:after="60" w:line="288"/>
      </w:pPr>
      <w:r>
        <w:rPr>
          <w:i/>
          <w:iCs/>
          <w:color w:val="1A2332"/>
          <w:sz w:val="21"/>
          <w:szCs w:val="21"/>
        </w:rPr>
        <w:t xml:space="preserve">Messbare Zwischenziele nach 90 Tagen:</w:t>
      </w:r>
      <w:r>
        <w:rPr>
          <w:color w:val="1A2332"/>
          <w:sz w:val="21"/>
          <w:szCs w:val="21"/>
        </w:rPr>
        <w:t xml:space="preserve"> neue Website live; ≥5 personalisierte Demos versendet; ≥2 bezahlte Fahrpläne verkauft; ≥1 Betriebspaket oder Partnerschaft in Verhandlung.</w:t>
      </w:r>
    </w:p>
    <w:p>
      <w:pPr>
        <w:pStyle w:val="Heading2"/>
        <w:spacing w:after="100" w:before="240"/>
      </w:pPr>
      <w:r>
        <w:rPr>
          <w:b/>
          <w:bCs/>
          <w:color w:val="1A2332"/>
          <w:sz w:val="24"/>
          <w:szCs w:val="24"/>
        </w:rPr>
        <w:t xml:space="preserve">12 Monate — Recurring-Basis und Segment 2</w:t>
      </w:r>
    </w:p>
    <w:p>
      <w:pPr>
        <w:spacing w:after="120" w:line="300"/>
        <w:jc w:val="both"/>
      </w:pPr>
      <w:r>
        <w:rPr>
          <w:i/>
          <w:iCs/>
          <w:color w:val="55606E"/>
          <w:sz w:val="21"/>
          <w:szCs w:val="21"/>
        </w:rPr>
        <w:t xml:space="preserve">Ziel: Tragfähige Recurring-Grundlast im Leitsegment, Handwerk als Segment 2 erschlossen.</w:t>
      </w:r>
    </w:p>
    <w:p>
      <w:pPr>
        <w:pStyle w:val="ListParagraph"/>
        <w:numPr>
          <w:ilvl w:val="0"/>
          <w:numId w:val="1"/>
        </w:numPr>
        <w:spacing w:after="60" w:line="288"/>
      </w:pPr>
      <w:r>
        <w:rPr>
          <w:color w:val="1A2332"/>
          <w:sz w:val="21"/>
          <w:szCs w:val="21"/>
        </w:rPr>
        <w:t xml:space="preserve">Monat 4–9: Bewirtschaftung skalieren — Ziel 4–6 Betriebspakete + 1–2 Boutique-Partnerschaften. Jedes Boutique-Mandat speist mindestens einen wiederverwendbaren Baustein (z. B. Schadenschnittstelle) in die Standardlinie.</w:t>
      </w:r>
    </w:p>
    <w:p>
      <w:pPr>
        <w:pStyle w:val="ListParagraph"/>
        <w:numPr>
          <w:ilvl w:val="0"/>
          <w:numId w:val="1"/>
        </w:numPr>
        <w:spacing w:after="60" w:line="288"/>
      </w:pPr>
      <w:r>
        <w:rPr>
          <w:color w:val="1A2332"/>
          <w:sz w:val="21"/>
          <w:szCs w:val="21"/>
        </w:rPr>
        <w:t xml:space="preserve">Monat 6–9: erste nennbare Bewirtschaftungs-Referenz mit konkretem Ergebnis (freigesetzte Stunden) publizieren.</w:t>
      </w:r>
    </w:p>
    <w:p>
      <w:pPr>
        <w:pStyle w:val="ListParagraph"/>
        <w:numPr>
          <w:ilvl w:val="0"/>
          <w:numId w:val="1"/>
        </w:numPr>
        <w:spacing w:after="60" w:line="288"/>
      </w:pPr>
      <w:r>
        <w:rPr>
          <w:color w:val="1A2332"/>
          <w:sz w:val="21"/>
          <w:szCs w:val="21"/>
        </w:rPr>
        <w:t xml:space="preserve">Monat 9–12: Segment 2 aktivieren — Handwerk/Bau über die bestehenden Bewirtschafter-Beziehungen (deren Handwerkernetz) und über kantonale Gewerbe-/Baumeisterverbände. Picassino-Linie reaktivieren.</w:t>
      </w:r>
    </w:p>
    <w:p>
      <w:pPr>
        <w:pStyle w:val="ListParagraph"/>
        <w:numPr>
          <w:ilvl w:val="0"/>
          <w:numId w:val="1"/>
        </w:numPr>
        <w:spacing w:after="60" w:line="288"/>
      </w:pPr>
      <w:r>
        <w:rPr>
          <w:i/>
          <w:iCs/>
          <w:color w:val="1A2332"/>
          <w:sz w:val="21"/>
          <w:szCs w:val="21"/>
        </w:rPr>
        <w:t xml:space="preserve">Messbare Zwischenziele nach 12 Monaten:</w:t>
      </w:r>
      <w:r>
        <w:rPr>
          <w:color w:val="1A2332"/>
          <w:sz w:val="21"/>
          <w:szCs w:val="21"/>
        </w:rPr>
        <w:t xml:space="preserve"> Recurring-Umsatz deckt die Fixkosten der drei Partner; ≥8–10 aktive Betriebspakete; ≥2 Flagship-Referenzen (je Segment eine); definierter, wiederholbarer Demo-zu-Vertrag-Prozess.</w:t>
      </w:r>
    </w:p>
    <w:p>
      <w:pPr>
        <w:pStyle w:val="Heading2"/>
        <w:spacing w:after="100" w:before="240"/>
      </w:pPr>
      <w:r>
        <w:rPr>
          <w:b/>
          <w:bCs/>
          <w:color w:val="1A2332"/>
          <w:sz w:val="24"/>
          <w:szCs w:val="24"/>
        </w:rPr>
        <w:t xml:space="preserve">3 Jahre — die Kette und die Eigentümer-Ebene</w:t>
      </w:r>
    </w:p>
    <w:p>
      <w:pPr>
        <w:spacing w:after="120" w:line="300"/>
        <w:jc w:val="both"/>
      </w:pPr>
      <w:r>
        <w:rPr>
          <w:i/>
          <w:iCs/>
          <w:color w:val="55606E"/>
          <w:sz w:val="21"/>
          <w:szCs w:val="21"/>
        </w:rPr>
        <w:t xml:space="preserve">Ziel: Verteidigungsfähige Position entlang der ganzen Kette, Einstieg in die Eigentümer-/Reporting-Ebene.</w:t>
      </w:r>
    </w:p>
    <w:p>
      <w:pPr>
        <w:pStyle w:val="ListParagraph"/>
        <w:numPr>
          <w:ilvl w:val="0"/>
          <w:numId w:val="1"/>
        </w:numPr>
        <w:spacing w:after="60" w:line="288"/>
      </w:pPr>
      <w:r>
        <w:rPr>
          <w:color w:val="1A2332"/>
          <w:sz w:val="21"/>
          <w:szCs w:val="21"/>
        </w:rPr>
        <w:t xml:space="preserve">Jahr 2–3: Beide Segmente tragen Recurring; das Zusammenspiel Bewirtschafter ↔ Handwerker (Schadenmeldung → Auftrag → Rapport → Rechnung) wird zum sichtbaren, benannten Produkt — der Netzwerkeffekt der Kette.</w:t>
      </w:r>
    </w:p>
    <w:p>
      <w:pPr>
        <w:pStyle w:val="ListParagraph"/>
        <w:numPr>
          <w:ilvl w:val="0"/>
          <w:numId w:val="1"/>
        </w:numPr>
        <w:spacing w:after="60" w:line="288"/>
      </w:pPr>
      <w:r>
        <w:rPr>
          <w:color w:val="1A2332"/>
          <w:sz w:val="21"/>
          <w:szCs w:val="21"/>
        </w:rPr>
        <w:t xml:space="preserve">Jahr 3: aus der an der Basis entstehenden, strukturierten Datenkette ein Reporting-/Portfolio-Datenprodukt für institutionelle Eigentümer/Asset Manager entwickeln (CO2/CAPEX/Zustand unter AMAS/REIDA) — jetzt mit realen Referenzen und realer Datenbasis. Erst prüfen, ob das Team dafür (ggf. mit erster Anstellung) die Kapazität hat.</w:t>
      </w:r>
    </w:p>
    <w:p>
      <w:pPr>
        <w:pStyle w:val="ListParagraph"/>
        <w:numPr>
          <w:ilvl w:val="0"/>
          <w:numId w:val="1"/>
        </w:numPr>
        <w:spacing w:after="60" w:line="288"/>
      </w:pPr>
      <w:r>
        <w:rPr>
          <w:i/>
          <w:iCs/>
          <w:color w:val="1A2332"/>
          <w:sz w:val="21"/>
          <w:szCs w:val="21"/>
        </w:rPr>
        <w:t xml:space="preserve">Messbare Zwischenziele nach 3 Jahren:</w:t>
      </w:r>
      <w:r>
        <w:rPr>
          <w:color w:val="1A2332"/>
          <w:sz w:val="21"/>
          <w:szCs w:val="21"/>
        </w:rPr>
        <w:t xml:space="preserve"> Recurring als dominante Umsatzquelle; erste Eigentümer-/Asset-Manager-Pilotierung; wiederverwendbare Bausteinbibliothek, die die Demo-zu-Betrieb-Marge deutlich verbessert; ggf. erste Anstellung, um die 3-Personen-Kapazitätsgrenze zu überwinden.</w:t>
      </w:r>
    </w:p>
    <w:p>
      <w:pPr>
        <w:pBdr>
          <w:bottom w:val="single" w:color="C9D3DA" w:sz="6" w:space="6"/>
        </w:pBdr>
        <w:spacing w:after="160" w:before="80"/>
      </w:pPr>
    </w:p>
    <w:p>
      <w:pPr>
        <w:pStyle w:val="Heading1"/>
        <w:pageBreakBefore/>
        <w:spacing w:after="160" w:before="120"/>
      </w:pPr>
      <w:r>
        <w:rPr>
          <w:b/>
          <w:bCs/>
          <w:color w:val="1A2332"/>
          <w:sz w:val="34"/>
          <w:szCs w:val="34"/>
        </w:rPr>
        <w:t xml:space="preserve">10. Risiken, Prüfpunkte und offene Fragen</w:t>
      </w:r>
    </w:p>
    <w:p>
      <w:pPr>
        <w:spacing w:after="120" w:line="300"/>
        <w:jc w:val="both"/>
      </w:pPr>
      <w:r>
        <w:rPr>
          <w:b/>
          <w:bCs/>
          <w:i w:val="false"/>
          <w:iCs w:val="false"/>
          <w:color w:val="1A2332"/>
          <w:sz w:val="21"/>
          <w:szCs w:val="21"/>
        </w:rPr>
        <w:t xml:space="preserve">Überdehnung bei drei Köpfen.</w:t>
      </w:r>
      <w:r>
        <w:rPr>
          <w:i w:val="false"/>
          <w:iCs w:val="false"/>
          <w:color w:val="1A2332"/>
          <w:sz w:val="21"/>
          <w:szCs w:val="21"/>
        </w:rPr>
        <w:t xml:space="preserve"> Das grösste Risiko. Gegenmittel sind im Modell angelegt: harte Sequenz (ein Leitsegment), begrenzte Zahl gleichzeitiger Boutique-Mandate (max. 2–3), strikte Standardisierung der Betriebspakete, und die Regel «Boutique nur, wenn ein wiederverwendbarer Baustein herausfällt». </w:t>
      </w:r>
      <w:r>
        <w:rPr>
          <w:i w:val="false"/>
          <w:iCs w:val="false"/>
          <w:color w:val="1A2332"/>
          <w:sz w:val="21"/>
          <w:szCs w:val="21"/>
        </w:rPr>
        <w:t xml:space="preserve">Prüfpunkt:</w:t>
      </w:r>
      <w:r>
        <w:rPr>
          <w:i w:val="false"/>
          <w:iCs w:val="false"/>
          <w:color w:val="1A2332"/>
          <w:sz w:val="21"/>
          <w:szCs w:val="21"/>
        </w:rPr>
        <w:t xml:space="preserve"> monatliche Auslastungssteuerung; sobald die Standardlinie unter Boutique leidet, Boutique-Annahme stoppen.</w:t>
      </w:r>
    </w:p>
    <w:p>
      <w:pPr>
        <w:spacing w:after="120" w:line="300"/>
        <w:jc w:val="both"/>
      </w:pPr>
      <w:r>
        <w:rPr>
          <w:b/>
          <w:bCs/>
          <w:i w:val="false"/>
          <w:iCs w:val="false"/>
          <w:color w:val="1A2332"/>
          <w:sz w:val="21"/>
          <w:szCs w:val="21"/>
        </w:rPr>
        <w:t xml:space="preserve">«Gesamtverantwortung» ohne Haftungsdeckung und SLA.</w:t>
      </w:r>
      <w:r>
        <w:rPr>
          <w:i w:val="false"/>
          <w:iCs w:val="false"/>
          <w:color w:val="1A2332"/>
          <w:sz w:val="21"/>
          <w:szCs w:val="21"/>
        </w:rPr>
        <w:t xml:space="preserve"> Sie versprechen, «dass das Ganze funktioniert» — inklusive Drittsysteme, die Sie nicht kontrollieren. </w:t>
      </w:r>
      <w:r>
        <w:rPr>
          <w:i w:val="false"/>
          <w:iCs w:val="false"/>
          <w:color w:val="1A2332"/>
          <w:sz w:val="21"/>
          <w:szCs w:val="21"/>
        </w:rPr>
        <w:t xml:space="preserve">Zwingend vor Skalierung:</w:t>
      </w:r>
      <w:r>
        <w:rPr>
          <w:i w:val="false"/>
          <w:iCs w:val="false"/>
          <w:color w:val="1A2332"/>
          <w:sz w:val="21"/>
          <w:szCs w:val="21"/>
        </w:rPr>
        <w:t xml:space="preserve"> saubere SLA-Definition (Reaktions- vs. Lösungszeiten, was ist abgedeckt, was nicht), Haftungsbegrenzung in AGB/Verträgen, und eine Berufshaftpflicht/IT-Haftpflicht, die die Orchestrierung von Drittanbietern abdeckt. Klären: Haften Sie für einen Ausfall von ImmoTop2 oder eines Cloud-Anbieters? Antwort muss vertraglich «nein, aber wir koordinieren die Behebung» sein.</w:t>
      </w:r>
    </w:p>
    <w:p>
      <w:pPr>
        <w:spacing w:after="120" w:line="300"/>
        <w:jc w:val="both"/>
      </w:pPr>
      <w:r>
        <w:rPr>
          <w:b/>
          <w:bCs/>
          <w:i w:val="false"/>
          <w:iCs w:val="false"/>
          <w:color w:val="1A2332"/>
          <w:sz w:val="21"/>
          <w:szCs w:val="21"/>
        </w:rPr>
        <w:t xml:space="preserve">Haftung bei Orchestrierung von Drittanbietern.</w:t>
      </w:r>
      <w:r>
        <w:rPr>
          <w:i w:val="false"/>
          <w:iCs w:val="false"/>
          <w:color w:val="1A2332"/>
          <w:sz w:val="21"/>
          <w:szCs w:val="21"/>
        </w:rPr>
        <w:t xml:space="preserve"> Wenn Sie als «ein Ansprechpartner» auftreten, erwartet der Kunde, dass Sie geradestehen. </w:t>
      </w:r>
      <w:r>
        <w:rPr>
          <w:i w:val="false"/>
          <w:iCs w:val="false"/>
          <w:color w:val="1A2332"/>
          <w:sz w:val="21"/>
          <w:szCs w:val="21"/>
        </w:rPr>
        <w:t xml:space="preserve">Prüfpunkt:</w:t>
      </w:r>
      <w:r>
        <w:rPr>
          <w:i w:val="false"/>
          <w:iCs w:val="false"/>
          <w:color w:val="1A2332"/>
          <w:sz w:val="21"/>
          <w:szCs w:val="21"/>
        </w:rPr>
        <w:t xml:space="preserve"> vertragliche Klarstellung der Rolle (Koordination, nicht Gewährleistung fremder Software) — und genau hier ist die Entschärfung des GU-Begriffs (Kapitel 6.2) auch juristisch relevant, weil «Generalunternehmer» eine weitergehende Haftung suggeriert.</w:t>
      </w:r>
    </w:p>
    <w:p>
      <w:pPr>
        <w:spacing w:after="120" w:line="300"/>
        <w:jc w:val="both"/>
      </w:pPr>
      <w:r>
        <w:rPr>
          <w:b/>
          <w:bCs/>
          <w:i w:val="false"/>
          <w:iCs w:val="false"/>
          <w:color w:val="1A2332"/>
          <w:sz w:val="21"/>
          <w:szCs w:val="21"/>
        </w:rPr>
        <w:t xml:space="preserve">Datenschutz (revDSG) — Pflicht und Chance zugleich.</w:t>
      </w:r>
      <w:r>
        <w:rPr>
          <w:i w:val="false"/>
          <w:iCs w:val="false"/>
          <w:color w:val="1A2332"/>
          <w:sz w:val="21"/>
          <w:szCs w:val="21"/>
        </w:rPr>
        <w:t xml:space="preserve"> Bewirtschafter bearbeiten sensible Mieterdaten; als deren Dienstleister sind Sie Unterauftragsbearbeiter. </w:t>
      </w:r>
      <w:r>
        <w:rPr>
          <w:i w:val="false"/>
          <w:iCs w:val="false"/>
          <w:color w:val="1A2332"/>
          <w:sz w:val="21"/>
          <w:szCs w:val="21"/>
        </w:rPr>
        <w:t xml:space="preserve">Zwingend:</w:t>
      </w:r>
      <w:r>
        <w:rPr>
          <w:i w:val="false"/>
          <w:iCs w:val="false"/>
          <w:color w:val="1A2332"/>
          <w:sz w:val="21"/>
          <w:szCs w:val="21"/>
        </w:rPr>
        <w:t xml:space="preserve"> Bearbeitungsverzeichnis, Auftragsbearbeitungsverträge (AVV) mit jedem Kunden und jedem Subprozessor, dokumentierte Regelung der Auslandbekanntgabe. </w:t>
      </w:r>
      <w:r>
        <w:rPr>
          <w:i w:val="false"/>
          <w:iCs w:val="false"/>
          <w:color w:val="1A2332"/>
          <w:sz w:val="21"/>
          <w:szCs w:val="21"/>
        </w:rPr>
        <w:t xml:space="preserve">Chance:</w:t>
      </w:r>
      <w:r>
        <w:rPr>
          <w:i w:val="false"/>
          <w:iCs w:val="false"/>
          <w:color w:val="1A2332"/>
          <w:sz w:val="21"/>
          <w:szCs w:val="21"/>
        </w:rPr>
        <w:t xml:space="preserve"> CH-Datenstandort und revDSG-Konformität «ab Werk» als aktives Verkaufsargument führen (Kapitel 3.4), nicht nur als Pflicht abhaken. Bussen bis CHF 250'000 machen das zu einem ernsten, aber auch differenzierenden Thema.</w:t>
      </w:r>
    </w:p>
    <w:p>
      <w:pPr>
        <w:spacing w:after="120" w:line="300"/>
        <w:jc w:val="both"/>
      </w:pPr>
      <w:r>
        <w:rPr>
          <w:b/>
          <w:bCs/>
          <w:i w:val="false"/>
          <w:iCs w:val="false"/>
          <w:color w:val="1A2332"/>
          <w:sz w:val="21"/>
          <w:szCs w:val="21"/>
        </w:rPr>
        <w:t xml:space="preserve">Echte Firmennamen auf öffentlichen Demo-Seiten.</w:t>
      </w:r>
      <w:r>
        <w:rPr>
          <w:i w:val="false"/>
          <w:iCs w:val="false"/>
          <w:color w:val="1A2332"/>
          <w:sz w:val="21"/>
          <w:szCs w:val="21"/>
        </w:rPr>
        <w:t xml:space="preserve"> Die Demos nennen «Picassino», «Göldi &amp; Partner» und verweisen auf deren echte Websites. Risiken: Namens-/Firmenrecht, UWG (unlauterer Wettbewerb, wenn der Eindruck einer Geschäftsbeziehung entsteht, die nicht besteht), und ungewollte Indexierung. </w:t>
      </w:r>
      <w:r>
        <w:rPr>
          <w:i w:val="false"/>
          <w:iCs w:val="false"/>
          <w:color w:val="1A2332"/>
          <w:sz w:val="21"/>
          <w:szCs w:val="21"/>
        </w:rPr>
        <w:t xml:space="preserve">Zwingend:</w:t>
      </w:r>
      <w:r>
        <w:rPr>
          <w:i w:val="false"/>
          <w:iCs w:val="false"/>
          <w:color w:val="1A2332"/>
          <w:sz w:val="21"/>
          <w:szCs w:val="21"/>
        </w:rPr>
        <w:t xml:space="preserve"> schriftliche Einwilligung jedes genannten Betriebs; </w:t>
      </w:r>
      <w:r>
        <w:rPr>
          <w:rFonts w:ascii="Consolas" w:cs="Consolas" w:eastAsia="Consolas" w:hAnsi="Consolas"/>
          <w:i w:val="false"/>
          <w:iCs w:val="false"/>
          <w:color w:val="1A2332"/>
          <w:sz w:val="21"/>
          <w:szCs w:val="21"/>
        </w:rPr>
        <w:t xml:space="preserve">noindex</w:t>
      </w:r>
      <w:r>
        <w:rPr>
          <w:i w:val="false"/>
          <w:iCs w:val="false"/>
          <w:color w:val="1A2332"/>
          <w:sz w:val="21"/>
          <w:szCs w:val="21"/>
        </w:rPr>
        <w:t xml:space="preserve"> und nicht erratbare URLs für personalisierte Demos; der bestehende Göldi-Disclaimer («Inhalte basieren auf goeldi-immobilien.ch, keine Beratung im rechtlichen Sinn») ist ein guter Anfang, aber Einwilligung schlägt Disclaimer. Für öffentlich indexierbare Demos: fiktiver Musterbetrieb.</w:t>
      </w:r>
    </w:p>
    <w:p>
      <w:pPr>
        <w:spacing w:after="120" w:line="300"/>
        <w:jc w:val="both"/>
      </w:pPr>
      <w:r>
        <w:rPr>
          <w:b/>
          <w:bCs/>
          <w:i w:val="false"/>
          <w:iCs w:val="false"/>
          <w:color w:val="1A2332"/>
          <w:sz w:val="21"/>
          <w:szCs w:val="21"/>
        </w:rPr>
        <w:t xml:space="preserve">Abhängigkeit von wenigen Grosskunden.</w:t>
      </w:r>
      <w:r>
        <w:rPr>
          <w:i w:val="false"/>
          <w:iCs w:val="false"/>
          <w:color w:val="1A2332"/>
          <w:sz w:val="21"/>
          <w:szCs w:val="21"/>
        </w:rPr>
        <w:t xml:space="preserve"> Zwei bis vier Boutique-Anker bringen margenstarke Grundlast — aber auch Klumpenrisiko. Gegenmittel: die Betriebspaket-Basis (viele kleine Kunden) muss früh genug tragen, damit kein einzelner Grosskunde &gt;25–30 % des Umsatzes ausmacht. </w:t>
      </w:r>
      <w:r>
        <w:rPr>
          <w:i w:val="false"/>
          <w:iCs w:val="false"/>
          <w:color w:val="1A2332"/>
          <w:sz w:val="21"/>
          <w:szCs w:val="21"/>
        </w:rPr>
        <w:t xml:space="preserve">Prüfpunkt:</w:t>
      </w:r>
      <w:r>
        <w:rPr>
          <w:i w:val="false"/>
          <w:iCs w:val="false"/>
          <w:color w:val="1A2332"/>
          <w:sz w:val="21"/>
          <w:szCs w:val="21"/>
        </w:rPr>
        <w:t xml:space="preserve"> Umsatzkonzentration quartalsweise überwachen.</w:t>
      </w:r>
    </w:p>
    <w:p>
      <w:pPr>
        <w:spacing w:after="120" w:line="300"/>
        <w:jc w:val="both"/>
      </w:pPr>
      <w:r>
        <w:rPr>
          <w:b/>
          <w:bCs/>
          <w:i w:val="false"/>
          <w:iCs w:val="false"/>
          <w:color w:val="1A2332"/>
          <w:sz w:val="21"/>
          <w:szCs w:val="21"/>
        </w:rPr>
        <w:t xml:space="preserve">Verwechslungs-/Haftungsrisiko «Generalunternehmer».</w:t>
      </w:r>
      <w:r>
        <w:rPr>
          <w:i w:val="false"/>
          <w:iCs w:val="false"/>
          <w:color w:val="1A2332"/>
          <w:sz w:val="21"/>
          <w:szCs w:val="21"/>
        </w:rPr>
        <w:t xml:space="preserve"> Behandelt in 5.2/6.2 — im Schaufenster vermeiden, als Metapher mit Abgrenzung führen.</w:t>
      </w:r>
    </w:p>
    <w:p>
      <w:pPr>
        <w:spacing w:after="120" w:line="300"/>
        <w:jc w:val="both"/>
      </w:pPr>
      <w:r>
        <w:rPr>
          <w:b/>
          <w:bCs/>
          <w:i w:val="false"/>
          <w:iCs w:val="false"/>
          <w:color w:val="1A2332"/>
          <w:sz w:val="21"/>
          <w:szCs w:val="21"/>
        </w:rPr>
        <w:t xml:space="preserve">Namens-/Markenprüfung.</w:t>
      </w:r>
      <w:r>
        <w:rPr>
          <w:i w:val="false"/>
          <w:iCs w:val="false"/>
          <w:color w:val="1A2332"/>
          <w:sz w:val="21"/>
          <w:szCs w:val="21"/>
        </w:rPr>
        <w:t xml:space="preserve"> «Amplifyr» plus Descriptor und der Claim sollten vor grossflächigem Roll-out über IGE (Markenregister) und Handelsregister geprüft werden; die «frei/besetzt»-Aussagen dieses Papiers beruhen auf Web-Negativbefunden, nicht auf einer Rechtsprüfung.</w:t>
      </w:r>
    </w:p>
    <w:p>
      <w:pPr>
        <w:spacing w:after="120" w:line="300"/>
        <w:jc w:val="both"/>
      </w:pPr>
      <w:r>
        <w:rPr>
          <w:b/>
          <w:bCs/>
          <w:i w:val="false"/>
          <w:iCs w:val="false"/>
          <w:color w:val="1A2332"/>
          <w:sz w:val="21"/>
          <w:szCs w:val="21"/>
        </w:rPr>
        <w:t xml:space="preserve">Offene Fragen, die die Recherche nicht abschliessend klären konnte</w:t>
      </w:r>
      <w:r>
        <w:rPr>
          <w:i w:val="false"/>
          <w:iCs w:val="false"/>
          <w:color w:val="1A2332"/>
          <w:sz w:val="21"/>
          <w:szCs w:val="21"/>
        </w:rPr>
        <w:t xml:space="preserve"> (mit der Information, die sie auflösen würde):</w:t>
      </w:r>
    </w:p>
    <w:p>
      <w:pPr>
        <w:pStyle w:val="ListParagraph"/>
        <w:numPr>
          <w:ilvl w:val="0"/>
          <w:numId w:val="1"/>
        </w:numPr>
        <w:spacing w:after="60" w:line="288"/>
      </w:pPr>
      <w:r>
        <w:rPr>
          <w:i/>
          <w:iCs/>
          <w:color w:val="1A2332"/>
          <w:sz w:val="21"/>
          <w:szCs w:val="21"/>
        </w:rPr>
        <w:t xml:space="preserve">Exakte Grösse des adressierbaren Bewirtschaftungssegments</w:t>
      </w:r>
      <w:r>
        <w:rPr>
          <w:color w:val="1A2332"/>
          <w:sz w:val="21"/>
          <w:szCs w:val="21"/>
        </w:rPr>
        <w:t xml:space="preserve"> (3'500 vs. 22'400 je nach Abgrenzung) — auflösbar über BFS-STATENT-Rohdaten und den SVIT-Jahresbericht.</w:t>
      </w:r>
    </w:p>
    <w:p>
      <w:pPr>
        <w:pStyle w:val="ListParagraph"/>
        <w:numPr>
          <w:ilvl w:val="0"/>
          <w:numId w:val="1"/>
        </w:numPr>
        <w:spacing w:after="60" w:line="288"/>
      </w:pPr>
      <w:r>
        <w:rPr>
          <w:i/>
          <w:iCs/>
          <w:color w:val="1A2332"/>
          <w:sz w:val="21"/>
          <w:szCs w:val="21"/>
        </w:rPr>
        <w:t xml:space="preserve">CH-Benchmark Einheiten pro Bewirtschafter und Administrationszeit-Anteil</w:t>
      </w:r>
      <w:r>
        <w:rPr>
          <w:color w:val="1A2332"/>
          <w:sz w:val="21"/>
          <w:szCs w:val="21"/>
        </w:rPr>
        <w:t xml:space="preserve"> — bisher nur DE-/Anbieterzahlen; auflösbar über eine eigene kleine Kundenerhebung oder SVIT-/sgv-Daten. Bis dahin im Marketing als Schätzung kennzeichnen.</w:t>
      </w:r>
    </w:p>
    <w:p>
      <w:pPr>
        <w:pStyle w:val="ListParagraph"/>
        <w:numPr>
          <w:ilvl w:val="0"/>
          <w:numId w:val="1"/>
        </w:numPr>
        <w:spacing w:after="60" w:line="288"/>
      </w:pPr>
      <w:r>
        <w:rPr>
          <w:i/>
          <w:iCs/>
          <w:color w:val="1A2332"/>
          <w:sz w:val="21"/>
          <w:szCs w:val="21"/>
        </w:rPr>
        <w:t xml:space="preserve">Zahlungsbereitschaft und Preisakzeptanz der Betriebspaket-Bänder</w:t>
      </w:r>
      <w:r>
        <w:rPr>
          <w:color w:val="1A2332"/>
          <w:sz w:val="21"/>
          <w:szCs w:val="21"/>
        </w:rPr>
        <w:t xml:space="preserve"> — auflösbar erst am Markt (die ersten fünf Fahrpläne/Angebote sind Ihr Preistest).</w:t>
      </w:r>
    </w:p>
    <w:p>
      <w:pPr>
        <w:pStyle w:val="ListParagraph"/>
        <w:numPr>
          <w:ilvl w:val="0"/>
          <w:numId w:val="1"/>
        </w:numPr>
        <w:spacing w:after="60" w:line="288"/>
      </w:pPr>
      <w:r>
        <w:rPr>
          <w:i/>
          <w:iCs/>
          <w:color w:val="1A2332"/>
          <w:sz w:val="21"/>
          <w:szCs w:val="21"/>
        </w:rPr>
        <w:t xml:space="preserve">Welches der beiden Segmente Timos Netzwerk real schneller öffnet</w:t>
      </w:r>
      <w:r>
        <w:rPr>
          <w:color w:val="1A2332"/>
          <w:sz w:val="21"/>
          <w:szCs w:val="21"/>
        </w:rPr>
        <w:t xml:space="preserve"> — auflösbar durch die ersten 5–8 Gespräche; falls sich zeigt, dass Handwerk über einen konkreten Verbandskanal schneller skaliert, ist die Sequenz zu überdenken (die Logik «Bewirtschaftung zuerst» bleibt aber der Default).</w:t>
      </w:r>
    </w:p>
    <w:p>
      <w:pPr>
        <w:pBdr>
          <w:bottom w:val="single" w:color="C9D3DA" w:sz="6" w:space="6"/>
        </w:pBdr>
        <w:spacing w:after="160" w:before="80"/>
      </w:pPr>
    </w:p>
    <w:p>
      <w:pPr>
        <w:pStyle w:val="Heading1"/>
        <w:pageBreakBefore/>
        <w:spacing w:after="160" w:before="120"/>
      </w:pPr>
      <w:r>
        <w:rPr>
          <w:b/>
          <w:bCs/>
          <w:color w:val="1A2332"/>
          <w:sz w:val="34"/>
          <w:szCs w:val="34"/>
        </w:rPr>
        <w:t xml:space="preserve">11. Quellenverzeichnis</w:t>
      </w:r>
    </w:p>
    <w:p>
      <w:pPr>
        <w:spacing w:after="120" w:line="300"/>
        <w:jc w:val="both"/>
      </w:pPr>
      <w:r>
        <w:rPr>
          <w:b/>
          <w:bCs/>
          <w:i w:val="false"/>
          <w:iCs w:val="false"/>
          <w:color w:val="1A2332"/>
          <w:sz w:val="21"/>
          <w:szCs w:val="21"/>
        </w:rPr>
        <w:t xml:space="preserve">Bestehender Auftritt (selbst aufgerufen, 20.8.2026):</w:t>
      </w:r>
      <w:r>
        <w:rPr>
          <w:i w:val="false"/>
          <w:iCs w:val="false"/>
          <w:color w:val="1A2332"/>
          <w:sz w:val="21"/>
          <w:szCs w:val="21"/>
        </w:rPr>
        <w:t xml:space="preserve"> amplifyr.ch und Unterseiten /ki-transformation, /handwerker, /it-solutions, /webdesign, /ueber-uns; Demos ihr-digitaler-handwerksbetrieb.ch/picassino und ihre-digitale-bewirtschaftung.ch/goeldi.</w:t>
      </w:r>
    </w:p>
    <w:p>
      <w:pPr>
        <w:spacing w:after="120" w:line="300"/>
        <w:jc w:val="both"/>
      </w:pPr>
      <w:r>
        <w:rPr>
          <w:b/>
          <w:bCs/>
          <w:i w:val="false"/>
          <w:iCs w:val="false"/>
          <w:color w:val="1A2332"/>
          <w:sz w:val="21"/>
          <w:szCs w:val="21"/>
        </w:rPr>
        <w:t xml:space="preserve">Markt Immobilienbewirtschaftung:</w:t>
      </w:r>
    </w:p>
    <w:p>
      <w:pPr>
        <w:pStyle w:val="ListParagraph"/>
        <w:numPr>
          <w:ilvl w:val="0"/>
          <w:numId w:val="1"/>
        </w:numPr>
        <w:spacing w:after="60" w:line="288"/>
      </w:pPr>
      <w:r>
        <w:rPr>
          <w:color w:val="1A2332"/>
          <w:sz w:val="21"/>
          <w:szCs w:val="21"/>
        </w:rPr>
        <w:t xml:space="preserve">SVIT — 22'400 Makler- und Bewirtschaftungsunternehmen: https://www.svit.ch/de/22000-makler-und-bewirtschaftungsunternehmen</w:t>
      </w:r>
    </w:p>
    <w:p>
      <w:pPr>
        <w:pStyle w:val="ListParagraph"/>
        <w:numPr>
          <w:ilvl w:val="0"/>
          <w:numId w:val="1"/>
        </w:numPr>
        <w:spacing w:after="60" w:line="288"/>
      </w:pPr>
      <w:r>
        <w:rPr>
          <w:color w:val="1A2332"/>
          <w:sz w:val="21"/>
          <w:szCs w:val="21"/>
        </w:rPr>
        <w:t xml:space="preserve">Val Index / Walder Capital — Real Estate Services: https://valindex.ch/de/industry/real-estate-services/</w:t>
      </w:r>
    </w:p>
    <w:p>
      <w:pPr>
        <w:pStyle w:val="ListParagraph"/>
        <w:numPr>
          <w:ilvl w:val="0"/>
          <w:numId w:val="1"/>
        </w:numPr>
        <w:spacing w:after="60" w:line="288"/>
      </w:pPr>
      <w:r>
        <w:rPr>
          <w:color w:val="1A2332"/>
          <w:sz w:val="21"/>
          <w:szCs w:val="21"/>
        </w:rPr>
        <w:t xml:space="preserve">JLL — Fakten zum Wohnungsmarkt Schweiz: https://www.jll.com/de-de/insights/fakten-zum-wohnungsmarkt-in-der-schweiz</w:t>
      </w:r>
    </w:p>
    <w:p>
      <w:pPr>
        <w:pStyle w:val="ListParagraph"/>
        <w:numPr>
          <w:ilvl w:val="0"/>
          <w:numId w:val="1"/>
        </w:numPr>
        <w:spacing w:after="60" w:line="288"/>
      </w:pPr>
      <w:r>
        <w:rPr>
          <w:color w:val="1A2332"/>
          <w:sz w:val="21"/>
          <w:szCs w:val="21"/>
        </w:rPr>
        <w:t xml:space="preserve">watson / Raiffeisen — Eigentümerstruktur Mietwohnungen: https://www.watson.ch/schweiz/wirtschaft/297119550-die-haelfte-der-schweizer-mietwohnung-gehoert-einer-privatperson</w:t>
      </w:r>
    </w:p>
    <w:p>
      <w:pPr>
        <w:pStyle w:val="ListParagraph"/>
        <w:numPr>
          <w:ilvl w:val="0"/>
          <w:numId w:val="1"/>
        </w:numPr>
        <w:spacing w:after="60" w:line="288"/>
      </w:pPr>
      <w:r>
        <w:rPr>
          <w:color w:val="1A2332"/>
          <w:sz w:val="21"/>
          <w:szCs w:val="21"/>
        </w:rPr>
        <w:t xml:space="preserve">immobilienbusiness.ch — Privera übernimmt Verit: https://www.immobilienbusiness.ch/en/unternehmen/2024-07-08/privera-schluckt-verit/</w:t>
      </w:r>
    </w:p>
    <w:p>
      <w:pPr>
        <w:pStyle w:val="ListParagraph"/>
        <w:numPr>
          <w:ilvl w:val="0"/>
          <w:numId w:val="1"/>
        </w:numPr>
        <w:spacing w:after="60" w:line="288"/>
      </w:pPr>
      <w:r>
        <w:rPr>
          <w:color w:val="1A2332"/>
          <w:sz w:val="21"/>
          <w:szCs w:val="21"/>
        </w:rPr>
        <w:t xml:space="preserve">baublatt.ch — Privera/Verit: https://www.baublatt.ch/verschiedenes/privera-ag-uebernimmt-verit-immobilien-ag-36249</w:t>
      </w:r>
    </w:p>
    <w:p>
      <w:pPr>
        <w:pStyle w:val="ListParagraph"/>
        <w:numPr>
          <w:ilvl w:val="0"/>
          <w:numId w:val="1"/>
        </w:numPr>
        <w:spacing w:after="60" w:line="288"/>
      </w:pPr>
      <w:r>
        <w:rPr>
          <w:color w:val="1A2332"/>
          <w:sz w:val="21"/>
          <w:szCs w:val="21"/>
        </w:rPr>
        <w:t xml:space="preserve">gryps.ch — Kosten Immobilienverwaltung: https://www.gryps.ch/produkte/immobilienverwaltung-162/kosten-immobilienverwaltung/</w:t>
      </w:r>
    </w:p>
    <w:p>
      <w:pPr>
        <w:pStyle w:val="ListParagraph"/>
        <w:numPr>
          <w:ilvl w:val="0"/>
          <w:numId w:val="1"/>
        </w:numPr>
        <w:spacing w:after="60" w:line="288"/>
      </w:pPr>
      <w:r>
        <w:rPr>
          <w:color w:val="1A2332"/>
          <w:sz w:val="21"/>
          <w:szCs w:val="21"/>
        </w:rPr>
        <w:t xml:space="preserve">pom+ Digital Real Estate Index 2026: https://www.pom.ch/de/investitions-und-kostenfragen-bremsen-die-digitale-transformation-der-bau-und-immobilienwirtschaft</w:t>
      </w:r>
    </w:p>
    <w:p>
      <w:pPr>
        <w:pStyle w:val="ListParagraph"/>
        <w:numPr>
          <w:ilvl w:val="0"/>
          <w:numId w:val="1"/>
        </w:numPr>
        <w:spacing w:after="60" w:line="288"/>
      </w:pPr>
      <w:r>
        <w:rPr>
          <w:color w:val="1A2332"/>
          <w:sz w:val="21"/>
          <w:szCs w:val="21"/>
        </w:rPr>
        <w:t xml:space="preserve">pom+ Digital Real Estate Index 2025: https://www.pom.ch/de/digital-real-estate-index-2025</w:t>
      </w:r>
    </w:p>
    <w:p>
      <w:pPr>
        <w:pStyle w:val="ListParagraph"/>
        <w:numPr>
          <w:ilvl w:val="0"/>
          <w:numId w:val="1"/>
        </w:numPr>
        <w:spacing w:after="60" w:line="288"/>
      </w:pPr>
      <w:r>
        <w:rPr>
          <w:color w:val="1A2332"/>
          <w:sz w:val="21"/>
          <w:szCs w:val="21"/>
        </w:rPr>
        <w:t xml:space="preserve">pom+ 2024 «Digitaler Stillstand»: https://www.pom.ch/de/digitaler-stillstand-in-der-immobilienwirtschaft-trotz-ki-und-investitionen</w:t>
      </w:r>
    </w:p>
    <w:p>
      <w:pPr>
        <w:pStyle w:val="ListParagraph"/>
        <w:numPr>
          <w:ilvl w:val="0"/>
          <w:numId w:val="1"/>
        </w:numPr>
        <w:spacing w:after="60" w:line="288"/>
      </w:pPr>
      <w:r>
        <w:rPr>
          <w:color w:val="1A2332"/>
          <w:sz w:val="21"/>
          <w:szCs w:val="21"/>
        </w:rPr>
        <w:t xml:space="preserve">HSLU Immobilienblog — Digitalisierung Bewirtschaftung: https://hub.hslu.ch/immobilienblog/2026/02/09/digitalisierung-in-der-immobilienbewirtschaftung-2/</w:t>
      </w:r>
    </w:p>
    <w:p>
      <w:pPr>
        <w:pStyle w:val="ListParagraph"/>
        <w:numPr>
          <w:ilvl w:val="0"/>
          <w:numId w:val="1"/>
        </w:numPr>
        <w:spacing w:after="60" w:line="288"/>
      </w:pPr>
      <w:r>
        <w:rPr>
          <w:color w:val="1A2332"/>
          <w:sz w:val="21"/>
          <w:szCs w:val="21"/>
        </w:rPr>
        <w:t xml:space="preserve">emonitor — Immobilien-ERP-Systeme: https://emonitor.ch/5-immobilien-erp-systeme-die-sie-kennen-sollten/</w:t>
      </w:r>
    </w:p>
    <w:p>
      <w:pPr>
        <w:pStyle w:val="ListParagraph"/>
        <w:numPr>
          <w:ilvl w:val="0"/>
          <w:numId w:val="1"/>
        </w:numPr>
        <w:spacing w:after="60" w:line="288"/>
      </w:pPr>
      <w:r>
        <w:rPr>
          <w:color w:val="1A2332"/>
          <w:sz w:val="21"/>
          <w:szCs w:val="21"/>
        </w:rPr>
        <w:t xml:space="preserve">Livit (Kennzahlen): https://de.wikipedia.org/wiki/Livit · Wincasa: https://de.wikipedia.org/wiki/Wincasa</w:t>
      </w:r>
    </w:p>
    <w:p>
      <w:pPr>
        <w:spacing w:after="120" w:line="300"/>
        <w:jc w:val="both"/>
      </w:pPr>
      <w:r>
        <w:rPr>
          <w:b/>
          <w:bCs/>
          <w:i w:val="false"/>
          <w:iCs w:val="false"/>
          <w:color w:val="1A2332"/>
          <w:sz w:val="21"/>
          <w:szCs w:val="21"/>
        </w:rPr>
        <w:t xml:space="preserve">Markt Bau/Handwerk:</w:t>
      </w:r>
    </w:p>
    <w:p>
      <w:pPr>
        <w:pStyle w:val="ListParagraph"/>
        <w:numPr>
          <w:ilvl w:val="0"/>
          <w:numId w:val="1"/>
        </w:numPr>
        <w:spacing w:after="60" w:line="288"/>
      </w:pPr>
      <w:r>
        <w:rPr>
          <w:color w:val="1A2332"/>
          <w:sz w:val="21"/>
          <w:szCs w:val="21"/>
        </w:rPr>
        <w:t xml:space="preserve">Bauenschweiz — Kennzahlen der Bauwirtschaft: https://www.bauenschweiz.ch/de/zahlen/kennzahlen-der-schweizer-bauwirtschaft.php</w:t>
      </w:r>
    </w:p>
    <w:p>
      <w:pPr>
        <w:pStyle w:val="ListParagraph"/>
        <w:numPr>
          <w:ilvl w:val="0"/>
          <w:numId w:val="1"/>
        </w:numPr>
        <w:spacing w:after="60" w:line="288"/>
      </w:pPr>
      <w:r>
        <w:rPr>
          <w:color w:val="1A2332"/>
          <w:sz w:val="21"/>
          <w:szCs w:val="21"/>
        </w:rPr>
        <w:t xml:space="preserve">SBV — Bauhauptgewerbe/Umsatz: https://baumeister.swiss/das-bauhauptgewerbe-in-der-schweiz-im-ueberblick/ und https://baumeister.swiss/im-jahr-2024-werden-etwa-23-milliarden-franken-verbaut/</w:t>
      </w:r>
    </w:p>
    <w:p>
      <w:pPr>
        <w:pStyle w:val="ListParagraph"/>
        <w:numPr>
          <w:ilvl w:val="0"/>
          <w:numId w:val="1"/>
        </w:numPr>
        <w:spacing w:after="60" w:line="288"/>
      </w:pPr>
      <w:r>
        <w:rPr>
          <w:color w:val="1A2332"/>
          <w:sz w:val="21"/>
          <w:szCs w:val="21"/>
        </w:rPr>
        <w:t xml:space="preserve">SBV — Fachkräftemangel: https://baumeister.swiss/baumeister-wollen-auf-studie-zum-fachkraeftemangel-reagieren-fehlen-qualifizierte-handwerker-koennen-bauprojekte-nicht-realisiert-werden/</w:t>
      </w:r>
    </w:p>
    <w:p>
      <w:pPr>
        <w:pStyle w:val="ListParagraph"/>
        <w:numPr>
          <w:ilvl w:val="0"/>
          <w:numId w:val="1"/>
        </w:numPr>
        <w:spacing w:after="60" w:line="288"/>
      </w:pPr>
      <w:r>
        <w:rPr>
          <w:color w:val="1A2332"/>
          <w:sz w:val="21"/>
          <w:szCs w:val="21"/>
        </w:rPr>
        <w:t xml:space="preserve">SBV — ERP-Vergleich: https://baumeister.swiss/baumeister-5-0/digitalisierung/erp-vergleich/</w:t>
      </w:r>
    </w:p>
    <w:p>
      <w:pPr>
        <w:pStyle w:val="ListParagraph"/>
        <w:numPr>
          <w:ilvl w:val="0"/>
          <w:numId w:val="1"/>
        </w:numPr>
        <w:spacing w:after="60" w:line="288"/>
      </w:pPr>
      <w:r>
        <w:rPr>
          <w:color w:val="1A2332"/>
          <w:sz w:val="21"/>
          <w:szCs w:val="21"/>
        </w:rPr>
        <w:t xml:space="preserve">PlanRadar — Baubranche Schweiz: https://www.planradar.com/ch/baubranche-schweiz/</w:t>
      </w:r>
    </w:p>
    <w:p>
      <w:pPr>
        <w:pStyle w:val="ListParagraph"/>
        <w:numPr>
          <w:ilvl w:val="0"/>
          <w:numId w:val="1"/>
        </w:numPr>
        <w:spacing w:after="60" w:line="288"/>
      </w:pPr>
      <w:r>
        <w:rPr>
          <w:color w:val="1A2332"/>
          <w:sz w:val="21"/>
          <w:szCs w:val="21"/>
        </w:rPr>
        <w:t xml:space="preserve">PwC — «Differenzieren oder verlieren» (Margen/Digitalisierung): https://www.pwc.ch/de/publications/2021/pwc-schweizer-baubranche-differenzieren-oder-verlieren.pdf</w:t>
      </w:r>
    </w:p>
    <w:p>
      <w:pPr>
        <w:pStyle w:val="ListParagraph"/>
        <w:numPr>
          <w:ilvl w:val="0"/>
          <w:numId w:val="1"/>
        </w:numPr>
        <w:spacing w:after="60" w:line="288"/>
      </w:pPr>
      <w:r>
        <w:rPr>
          <w:color w:val="1A2332"/>
          <w:sz w:val="21"/>
          <w:szCs w:val="21"/>
        </w:rPr>
        <w:t xml:space="preserve">Bundesamt für Statistik — Bauinvestitionen: https://www.bfs.admin.ch/news/de/2024-0360</w:t>
      </w:r>
    </w:p>
    <w:p>
      <w:pPr>
        <w:pStyle w:val="ListParagraph"/>
        <w:numPr>
          <w:ilvl w:val="0"/>
          <w:numId w:val="1"/>
        </w:numPr>
        <w:spacing w:after="60" w:line="288"/>
      </w:pPr>
      <w:r>
        <w:rPr>
          <w:color w:val="1A2332"/>
          <w:sz w:val="21"/>
          <w:szCs w:val="21"/>
        </w:rPr>
        <w:t xml:space="preserve">KOF/Baublatt — Bauinvestitionen Ausblick: https://www.baublatt.ch/baubranche/kof-baublatt-ausblick-auftrieb-in-den-nominalen-bauinvestitionen-39097</w:t>
      </w:r>
    </w:p>
    <w:p>
      <w:pPr>
        <w:pStyle w:val="ListParagraph"/>
        <w:numPr>
          <w:ilvl w:val="0"/>
          <w:numId w:val="1"/>
        </w:numPr>
        <w:spacing w:after="60" w:line="288"/>
      </w:pPr>
      <w:r>
        <w:rPr>
          <w:color w:val="1A2332"/>
          <w:sz w:val="21"/>
          <w:szCs w:val="21"/>
        </w:rPr>
        <w:t xml:space="preserve">Baunex — Rapportierung digital vs. Papier: https://baunex.ch/blog/rapportierung-baustelle-digital-vs-papier · Bausoftware-Vergleich: https://baunex.ch/blog/bausoftware-schweiz-vergleich/</w:t>
      </w:r>
    </w:p>
    <w:p>
      <w:pPr>
        <w:pStyle w:val="ListParagraph"/>
        <w:numPr>
          <w:ilvl w:val="0"/>
          <w:numId w:val="1"/>
        </w:numPr>
        <w:spacing w:after="60" w:line="288"/>
      </w:pPr>
      <w:r>
        <w:rPr>
          <w:color w:val="1A2332"/>
          <w:sz w:val="21"/>
          <w:szCs w:val="21"/>
        </w:rPr>
        <w:t xml:space="preserve">Sorba — Bausoftware-Vergleich: https://blog.sorba.ch/bausoftware-vergleich</w:t>
      </w:r>
    </w:p>
    <w:p>
      <w:pPr>
        <w:pStyle w:val="ListParagraph"/>
        <w:numPr>
          <w:ilvl w:val="0"/>
          <w:numId w:val="1"/>
        </w:numPr>
        <w:spacing w:after="60" w:line="288"/>
      </w:pPr>
      <w:r>
        <w:rPr>
          <w:color w:val="1A2332"/>
          <w:sz w:val="21"/>
          <w:szCs w:val="21"/>
        </w:rPr>
        <w:t xml:space="preserve">HERO/Statista — Digitalisierung Handwerk (DE): https://hero-software.de/insights/studie-digitalisierung-ki-handwerk</w:t>
      </w:r>
    </w:p>
    <w:p>
      <w:pPr>
        <w:pStyle w:val="ListParagraph"/>
        <w:numPr>
          <w:ilvl w:val="0"/>
          <w:numId w:val="1"/>
        </w:numPr>
        <w:spacing w:after="60" w:line="288"/>
      </w:pPr>
      <w:r>
        <w:rPr>
          <w:color w:val="1A2332"/>
          <w:sz w:val="21"/>
          <w:szCs w:val="21"/>
        </w:rPr>
        <w:t xml:space="preserve">sgv: https://www.sgv-usam.ch/ · suissetec Kennzahlen: https://portraet.suissetec.ch/kennzahlen</w:t>
      </w:r>
    </w:p>
    <w:p>
      <w:pPr>
        <w:spacing w:after="120" w:line="300"/>
        <w:jc w:val="both"/>
      </w:pPr>
      <w:r>
        <w:rPr>
          <w:b/>
          <w:bCs/>
          <w:i w:val="false"/>
          <w:iCs w:val="false"/>
          <w:color w:val="1A2332"/>
          <w:sz w:val="21"/>
          <w:szCs w:val="21"/>
        </w:rPr>
        <w:t xml:space="preserve">Wettbewerb, Begriffe, Preise:</w:t>
      </w:r>
    </w:p>
    <w:p>
      <w:pPr>
        <w:pStyle w:val="ListParagraph"/>
        <w:numPr>
          <w:ilvl w:val="0"/>
          <w:numId w:val="1"/>
        </w:numPr>
        <w:spacing w:after="60" w:line="288"/>
      </w:pPr>
      <w:r>
        <w:rPr>
          <w:color w:val="1A2332"/>
          <w:sz w:val="21"/>
          <w:szCs w:val="21"/>
        </w:rPr>
        <w:t xml:space="preserve">pom+ Consulting: https://www.pom.ch/de/ · Wüest Partner: https://www.wuestpartner.com/ch-de/ · EBP: https://www.ebp.global/ch-de/ · Intep: https://intep.sg/en/unternehmen/ · Drees &amp; Sommer CH: https://www.dreso.com/ch/dreso/digital · Raumgleiter: https://www.raumgleiter.com/</w:t>
      </w:r>
    </w:p>
    <w:p>
      <w:pPr>
        <w:pStyle w:val="ListParagraph"/>
        <w:numPr>
          <w:ilvl w:val="0"/>
          <w:numId w:val="1"/>
        </w:numPr>
        <w:spacing w:after="60" w:line="288"/>
      </w:pPr>
      <w:r>
        <w:rPr>
          <w:color w:val="1A2332"/>
          <w:sz w:val="21"/>
          <w:szCs w:val="21"/>
        </w:rPr>
        <w:t xml:space="preserve">SwissPropTech Study: https://swissproptech.ch/study · startupticker: https://www.startupticker.ch/en/news/schweizer-proptechs-erwarten-weiteres-wachstum</w:t>
      </w:r>
    </w:p>
    <w:p>
      <w:pPr>
        <w:pStyle w:val="ListParagraph"/>
        <w:numPr>
          <w:ilvl w:val="0"/>
          <w:numId w:val="1"/>
        </w:numPr>
        <w:spacing w:after="60" w:line="288"/>
      </w:pPr>
      <w:r>
        <w:rPr>
          <w:color w:val="1A2332"/>
          <w:sz w:val="21"/>
          <w:szCs w:val="21"/>
        </w:rPr>
        <w:t xml:space="preserve">KI-Agentur-Sättigung (Beispiel): https://influencermarketinghub.com/de/ki-automatisierungsagenturen/</w:t>
      </w:r>
    </w:p>
    <w:p>
      <w:pPr>
        <w:pStyle w:val="ListParagraph"/>
        <w:numPr>
          <w:ilvl w:val="0"/>
          <w:numId w:val="1"/>
        </w:numPr>
        <w:spacing w:after="60" w:line="288"/>
      </w:pPr>
      <w:r>
        <w:rPr>
          <w:color w:val="1A2332"/>
          <w:sz w:val="21"/>
          <w:szCs w:val="21"/>
        </w:rPr>
        <w:t xml:space="preserve">GU-Begriff Recht: WEKA GU-Vertrag https://www.weka.ch/themen/bau-immobilien/bau/bauprojekte/article/gu-vertrag-die-rechte-und-pflichten-des-generalunternehmers/ · Risch Baurecht (Pauschalpreis/SIA 118) https://rischbaurecht.ch/pauschalpreis-nach-sia118-baurecht-schweiz/ · WEKA SIA 118 https://www.weka.ch/themen/bau-immobilien/bau/baurecht/article/sia-norm-118-eine-zusammenfassung/</w:t>
      </w:r>
    </w:p>
    <w:p>
      <w:pPr>
        <w:pStyle w:val="ListParagraph"/>
        <w:numPr>
          <w:ilvl w:val="0"/>
          <w:numId w:val="1"/>
        </w:numPr>
        <w:spacing w:after="60" w:line="288"/>
      </w:pPr>
      <w:r>
        <w:rPr>
          <w:color w:val="1A2332"/>
          <w:sz w:val="21"/>
          <w:szCs w:val="21"/>
        </w:rPr>
        <w:t xml:space="preserve">MSP-/IT-Preise CH: https://it-provider.ch/blog/it-dienstleister-schweiz-kosten-preise-modelle · https://theiasolutions.ch/it-support-kosten · https://kpx-it.ch/it-wissen/it-kosten-kmu-schweiz</w:t>
      </w:r>
    </w:p>
    <w:p>
      <w:pPr>
        <w:spacing w:after="120" w:line="300"/>
        <w:jc w:val="both"/>
      </w:pPr>
      <w:r>
        <w:rPr>
          <w:b/>
          <w:bCs/>
          <w:i w:val="false"/>
          <w:iCs w:val="false"/>
          <w:color w:val="1A2332"/>
          <w:sz w:val="21"/>
          <w:szCs w:val="21"/>
        </w:rPr>
        <w:t xml:space="preserve">Regulatorik/Langfristtreiber:</w:t>
      </w:r>
    </w:p>
    <w:p>
      <w:pPr>
        <w:pStyle w:val="ListParagraph"/>
        <w:numPr>
          <w:ilvl w:val="0"/>
          <w:numId w:val="1"/>
        </w:numPr>
        <w:spacing w:after="60" w:line="288"/>
      </w:pPr>
      <w:r>
        <w:rPr>
          <w:color w:val="1A2332"/>
          <w:sz w:val="21"/>
          <w:szCs w:val="21"/>
        </w:rPr>
        <w:t xml:space="preserve">BFE Erneuerungsraten: https://energiehub-gebaeude.ch/fokus/energetische-erneuerungsraten-im-gebaeudebereichschlussbericht-des-bfe-zeigt-eine-positive-entwicklung/ · Raiffeisen Sanierungsstau: https://www.raiffeisen.ch/rch/de/wissen/wohnen/sanierungsstau.html · Gebäudeprogramm 2024: https://www.news.admin.ch/de/newnsb/IKoj6VY8s85qnTeXJrLxc</w:t>
      </w:r>
    </w:p>
    <w:p>
      <w:pPr>
        <w:pStyle w:val="ListParagraph"/>
        <w:numPr>
          <w:ilvl w:val="0"/>
          <w:numId w:val="1"/>
        </w:numPr>
        <w:spacing w:after="60" w:line="288"/>
      </w:pPr>
      <w:r>
        <w:rPr>
          <w:color w:val="1A2332"/>
          <w:sz w:val="21"/>
          <w:szCs w:val="21"/>
        </w:rPr>
        <w:t xml:space="preserve">EnDK/MuKEn 2025: https://endk.ch/wp-content/uploads/2025/08/20250825_Medienmitteilung_MuKEn.pdf · https://energiehub-gebaeude.ch/fokus/muken-2025-verabschiedet/</w:t>
      </w:r>
    </w:p>
    <w:p>
      <w:pPr>
        <w:pStyle w:val="ListParagraph"/>
        <w:numPr>
          <w:ilvl w:val="0"/>
          <w:numId w:val="1"/>
        </w:numPr>
        <w:spacing w:after="60" w:line="288"/>
      </w:pPr>
      <w:r>
        <w:rPr>
          <w:color w:val="1A2332"/>
          <w:sz w:val="21"/>
          <w:szCs w:val="21"/>
        </w:rPr>
        <w:t xml:space="preserve">CO2-Abgabe: https://www.bazg.admin.ch/de/co2-abgabe-lenkungsabgabe · https://www.bafu.admin.ch/de/co2-abgabe-verteilung · Netto-Null 2050: https://www.bafu.admin.ch/de/netto-null-ziel-2050</w:t>
      </w:r>
    </w:p>
    <w:p>
      <w:pPr>
        <w:pStyle w:val="ListParagraph"/>
        <w:numPr>
          <w:ilvl w:val="0"/>
          <w:numId w:val="1"/>
        </w:numPr>
        <w:spacing w:after="60" w:line="288"/>
      </w:pPr>
      <w:r>
        <w:rPr>
          <w:color w:val="1A2332"/>
          <w:sz w:val="21"/>
          <w:szCs w:val="21"/>
        </w:rPr>
        <w:t xml:space="preserve">ESG/Reporting: AMAS https://www.am-switzerland.ch/de/selbstregulierung/immobilienfonds · REIDA CO2-Benchmark https://www.reida.ch/index.php/co2-benchmark · GRESB https://www.gresb.com/real-estate-assessment/</w:t>
      </w:r>
    </w:p>
    <w:p>
      <w:pPr>
        <w:pStyle w:val="ListParagraph"/>
        <w:numPr>
          <w:ilvl w:val="0"/>
          <w:numId w:val="1"/>
        </w:numPr>
        <w:spacing w:after="60" w:line="288"/>
      </w:pPr>
      <w:r>
        <w:rPr>
          <w:color w:val="1A2332"/>
          <w:sz w:val="21"/>
          <w:szCs w:val="21"/>
        </w:rPr>
        <w:t xml:space="preserve">EBP — Portfolio-Datensteuerung: https://digital.ebp.ch/2026/07/07/von-isolierten-daten-zu-einer-wirksamen-portfolio-steuerung/</w:t>
      </w:r>
    </w:p>
    <w:p>
      <w:pPr>
        <w:pStyle w:val="ListParagraph"/>
        <w:numPr>
          <w:ilvl w:val="0"/>
          <w:numId w:val="1"/>
        </w:numPr>
        <w:spacing w:after="60" w:line="288"/>
      </w:pPr>
      <w:r>
        <w:rPr>
          <w:color w:val="1A2332"/>
          <w:sz w:val="21"/>
          <w:szCs w:val="21"/>
        </w:rPr>
        <w:t xml:space="preserve">Referenzzinssatz BWO: https://www.bwo.admin.ch/de/referenzzinssatz · WBF 1,25 %: https://www.wbf.admin.ch/de/newnsb/R0jrFaoqLAtgPEOHaRvTI</w:t>
      </w:r>
    </w:p>
    <w:p>
      <w:pPr>
        <w:pStyle w:val="ListParagraph"/>
        <w:numPr>
          <w:ilvl w:val="0"/>
          <w:numId w:val="1"/>
        </w:numPr>
        <w:spacing w:after="60" w:line="288"/>
      </w:pPr>
      <w:r>
        <w:rPr>
          <w:color w:val="1A2332"/>
          <w:sz w:val="21"/>
          <w:szCs w:val="21"/>
        </w:rPr>
        <w:t xml:space="preserve">revDSG: https://www.mll-news.com/stellungnahme-des-edoeb-zum-revidierten-schweizer-datenschutzgesetz/ · swissstaffing Merkblatt: https://www.swissstaffing.ch/docs/de/Rechtsdienst/merkblaetter/20230308-merkblatt-datenschutzgesetz-revdsg-de.pdf</w:t>
      </w:r>
    </w:p>
    <w:p>
      <w:pPr>
        <w:spacing w:after="120" w:line="300"/>
        <w:jc w:val="both"/>
      </w:pPr>
      <w:r>
        <w:rPr>
          <w:i/>
          <w:iCs/>
          <w:color w:val="55606E"/>
          <w:sz w:val="21"/>
          <w:szCs w:val="21"/>
        </w:rPr>
        <w:t xml:space="preserve">Quellenhinweis zur Sorgfalt: Belegte Zahlen sind mit Quelle versehen; Schätzungen und Einschätzungen sind im Text als solche gekennzeichnet. Preisbänder stützen sich teils auf Anbieter-/Vergleichsseiten mit Eigeninteresse und sind vor der Kalkulation mit konkreten Offerten gegenzuprüfen. Aussagen zu «Begriff frei/besetzt» sind starke Web-Indikationen, keine markenrechtliche Prüfung.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2332"/>
      <w:sz w:val="34"/>
      <w:szCs w:val="34"/>
    </w:rPr>
  </w:style>
  <w:style w:type="paragraph" w:styleId="Heading2">
    <w:name w:val="Heading 2"/>
    <w:basedOn w:val="Normal"/>
    <w:next w:val="Normal"/>
    <w:qFormat/>
    <w:pPr>
      <w:outlineLvl w:val="1"/>
    </w:pPr>
    <w:rPr>
      <w:rFonts w:ascii="Calibri" w:cs="Calibri" w:eastAsia="Calibri" w:hAnsi="Calibri"/>
      <w:b/>
      <w:bCs/>
      <w:color w:val="1A2332"/>
      <w:sz w:val="24"/>
      <w:szCs w:val="24"/>
    </w:rPr>
  </w:style>
  <w:style w:type="paragraph" w:styleId="Heading3">
    <w:name w:val="Heading 3"/>
    <w:basedOn w:val="Normal"/>
    <w:next w:val="Normal"/>
    <w:qFormat/>
    <w:pPr>
      <w:outlineLvl w:val="2"/>
    </w:pPr>
    <w:rPr>
      <w:rFonts w:ascii="Calibri" w:cs="Calibri" w:eastAsia="Calibri" w:hAnsi="Calibri"/>
      <w:b/>
      <w:bCs/>
      <w:color w:val="2E6E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Positionierung Amplifyr GmbH</dc:title>
  <dc:creator>Amplifyr GmbH</dc:creator>
  <dc:description>Strategiepapier und Website-Bauplan</dc:description>
  <cp:lastModifiedBy>Un-named</cp:lastModifiedBy>
  <cp:revision>1</cp:revision>
  <dcterms:created xsi:type="dcterms:W3CDTF">2026-08-20T12:20:26.286Z</dcterms:created>
  <dcterms:modified xsi:type="dcterms:W3CDTF">2026-08-20T12:20:26.286Z</dcterms:modified>
</cp:coreProperties>
</file>

<file path=docProps/custom.xml><?xml version="1.0" encoding="utf-8"?>
<Properties xmlns="http://schemas.openxmlformats.org/officeDocument/2006/custom-properties" xmlns:vt="http://schemas.openxmlformats.org/officeDocument/2006/docPropsVTypes"/>
</file>