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Companion to the response letter</w:t>
      </w:r>
    </w:p>
    <w:p>
      <w:r>
        <w:rPr>
          <w:b w:val="0"/>
          <w:i/>
        </w:rPr>
        <w:t>What changed in the code for each reviewer comment, what the manuscript must still say so that the letter is true, and what is still open. Status key: Done = implemented and tested; Run pending = needs the real runs to finish; Text pending = the manuscript text must still be edited; Open = needs a new analysis or an author decision.</w:t>
      </w:r>
    </w:p>
    <w:p>
      <w:pPr>
        <w:pStyle w:val="Heading1"/>
      </w:pPr>
      <w:r>
        <w:t>A. What changed in the code, comment by comment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94"/>
        <w:gridCol w:w="2041"/>
        <w:gridCol w:w="2608"/>
        <w:gridCol w:w="4195"/>
        <w:gridCol w:w="2268"/>
        <w:gridCol w:w="2041"/>
      </w:tblGrid>
      <w:tr>
        <w:tc>
          <w:tcPr>
            <w:tcW w:type="dxa" w:w="794"/>
            <w:shd w:val="clear" w:color="auto" w:fill="D9D9D9"/>
          </w:tcPr>
          <w:p>
            <w:r/>
            <w:r>
              <w:rPr>
                <w:b/>
                <w:sz w:val="17"/>
              </w:rPr>
              <w:t>#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7"/>
              </w:rPr>
              <w:t>Reviewer asked</w:t>
            </w:r>
          </w:p>
        </w:tc>
        <w:tc>
          <w:tcPr>
            <w:tcW w:type="dxa" w:w="2608"/>
            <w:shd w:val="clear" w:color="auto" w:fill="D9D9D9"/>
          </w:tcPr>
          <w:p>
            <w:r/>
            <w:r>
              <w:rPr>
                <w:b/>
                <w:sz w:val="17"/>
              </w:rPr>
              <w:t>Original code / manuscript</w:t>
            </w:r>
          </w:p>
        </w:tc>
        <w:tc>
          <w:tcPr>
            <w:tcW w:type="dxa" w:w="4195"/>
            <w:shd w:val="clear" w:color="auto" w:fill="D9D9D9"/>
          </w:tcPr>
          <w:p>
            <w:r/>
            <w:r>
              <w:rPr>
                <w:b/>
                <w:sz w:val="17"/>
              </w:rPr>
              <w:t>Code now</w:t>
            </w:r>
          </w:p>
        </w:tc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sz w:val="17"/>
              </w:rPr>
              <w:t>Evidence</w:t>
            </w:r>
          </w:p>
        </w:tc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Explain duplicated EEG-ITNet tables; fix wrong means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EEG-ITNet HGD script was two-class only; the four-class table equals the two-class one. Means were not generated from one source (printed means differ from the printed participant values).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aggregate_results.py and analysis/master_table.py build every table from saved results.json; the master-table script recomputes the paper's printed means (reproduces 92.27 and 61.09).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reports/master_table/ (sheet Paper); &lt;Model&gt;/&lt;Dataset&gt;/report_session/T1_*.csv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(EEG-ITNet HGD run pending)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Tables regenerated from saved predictions; machine-readable file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Accuracies only; no predictions, class counts or machine-readable results.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results.json per experiment: configuration, montages, per-trial y_true/y_pred, confusion matrix, class counts, chance and majority accuracy, one record per seed. TOST table (T3) uses the same participant accuracies as T1.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results_session/&lt;experiment&gt;/results.json; T3_equivalence_vs_*.csv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HGD is executed movement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Text called HGD motor imagery.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Every HGD config and README says executed movements; HGD physiology block adds high-gamma maps.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&lt;Model&gt;/HGD/README.md; T9_config.json (note_dataset)</w:t>
            </w:r>
          </w:p>
        </w:tc>
        <w:tc>
          <w:tcPr>
            <w:tcW w:type="dxa" w:w="2041"/>
            <w:shd w:val="clear" w:color="auto" w:fill="FFEB9C"/>
          </w:tcPr>
          <w:p>
            <w:r/>
            <w:r>
              <w:rPr>
                <w:sz w:val="17"/>
              </w:rPr>
              <w:t>Text pending (title and abstract done; Discussion to check)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PhysioNet runs, event mapping, classes, cohort, 109 vs 10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Windows built without an explicit mapping, then 'label != 0' removed (a motor class was dropped and rest kept). Shuffled 4-fold CV, test-fold saliency, one global montage. Ten participants shown.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New PhysioNet pipeline for all four models: imagery runs 4,8,12 and 6,10,14; explicit mapping left=0, right=1, hands=2, feet=3; rest never a class; 105 participants (88, 92, 100, 104 excluded); run-wise split; same session protocol as BNCI/HGD; check_physionet_data.py audits the files.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&lt;Model&gt;/PhysioNet/; analysis/check_physionet_data.py; docs/REVIEW_CROSSWALK.md section J</w:t>
            </w:r>
          </w:p>
        </w:tc>
        <w:tc>
          <w:tcPr>
            <w:tcW w:type="dxa" w:w="2041"/>
            <w:shd w:val="clear" w:color="auto" w:fill="FFEB9C"/>
          </w:tcPr>
          <w:p>
            <w:r/>
            <w:r>
              <w:rPr>
                <w:sz w:val="17"/>
              </w:rPr>
              <w:t>Run pending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One configuration table; 10 vs 12 channels; 22 vs 64; local vs global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Baseline rows labelled 22ch for PhysioNet; 10 and 12 mixed; global montage from all participants.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12 channels everywhere; baseline 22ch (BNCI, HGD: 22 of 128 recorded) / 64ch; every selected electrode of every method and participant in T2_montages.csv and the 'Montages' sheet. Only global leave-one-subject-out montages exist; local (subject-specific) montages are not implemented.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T2_montages.csv; reports/master_table/montages.csv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for global; Open: decide on Local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Nested evaluation; no test-set information in selection; global montage for unseen users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Saliency from the test fold; test accuracy printed every epoch; global montage from all participants including the tested one; CSP/MI/ReliefF fitted on all trials.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Session protocol: train / validation / test fixed in advance; saliency, checkpoints, profile selection and montages from training+validation data only; leave-one-subject-out montages for every method; test scored once; seed ensemble.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config_snapshot in results.json (folds, attribution.computed_on); docs/REVIEW_CROSSWALK.md A, H, I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Signed vs unsigned; define the metric; class-specific comparison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Pearson between abs(saliency) averaged over classes and ERD_L, ERD_R, L-R and combined; sign interpreted.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magnitude, class_specific, lateralisation (all against -ERD, sign-invariant; per-class saliency computed); the old correlations kept as 'orig_*', labelled uninterpretable.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alignment_metrics.json; T7, T7b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(Discussion numbers: text pending)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Faithfulness; randomisation; circular selection; 'ground truth'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Attribution methods chosen by their ERD correlation; no faithfulness check.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All four methods averaged (no ERD in any choice); deletion test (k=2,4,6 top/bottom/random channels, 10 random draws) on test trials; model-randomisation Spearman check. No frequency perturbation.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T8a_deletion, T8b_randomisation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(frequency perturbation: limitation)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Participant-level effects, CIs, correction, promised analyses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Group-level statements; Section 3.7 promises cross-correlation and centre of mass.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Per-participant values with Fisher-z CIs (T7), cross-model summary (C2), Holm in T4 for accuracy comparisons. No group-map statistics. Temporal and centre-of-mass analyses do not exist in the code.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T7, C2_alignment.csv</w:t>
            </w:r>
          </w:p>
        </w:tc>
        <w:tc>
          <w:tcPr>
            <w:tcW w:type="dxa" w:w="2041"/>
            <w:shd w:val="clear" w:color="auto" w:fill="FFEB9C"/>
          </w:tcPr>
          <w:p>
            <w:r/>
            <w:r>
              <w:rPr>
                <w:sz w:val="17"/>
              </w:rPr>
              <w:t>Text pending (remove from 3.7); Open: paired model comparisons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Margin, CIs, individual losses, wording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Margin 6 pp unexplained; 'without hurting accuracy'.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T3: mean difference, 90% CI, TOST p, worst participant, number of participants losing more than the margin, margins at which equivalence holds (1-10 pp).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T3_equivalence_vs_*.csv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(margin justification: authors)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Superiority not supported; mechanism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Text states saliency selection outperforms.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T4 paired tests with Holm; controls; the master table lists wins per method. Current results: Ours ranks first in 6 of 12 conditions, no difference survives Holm correction.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T4_ours_vs_other_montages.csv; reports/master_table (sheet Wins)</w:t>
            </w:r>
          </w:p>
        </w:tc>
        <w:tc>
          <w:tcPr>
            <w:tcW w:type="dxa" w:w="2041"/>
            <w:shd w:val="clear" w:color="auto" w:fill="FFEB9C"/>
          </w:tcPr>
          <w:p>
            <w:r/>
            <w:r>
              <w:rPr>
                <w:sz w:val="17"/>
              </w:rPr>
              <w:t>Text pending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Specify CSP/ReliefF/MI; one algorithm; fixed, random, ERD-only controls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Equations only; no settings.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Settings in script headers and results.json (CSP 4 filters, one-vs-rest, regularisation; ReliefF k=10, log-variance features; MI k-NN k=3); three controls for every model; Algorithm 1 text below.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*_csp.py, *_relieff.py, *_mi.py, *_controls.py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(Algorithm 1 text pending)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ERD from unstandardised data; intervals; artefacts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ERD computed from the preprocessed (standardised) signal with a post-cue baseline.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ERD from a separate raw epoch, 8-30 Hz, no standardisation, baseline -0.5-0 s, active 1-3 s, 128 Hz; preprocessing per profile in T9. No artefact-screened analysis yet.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alignment_metrics.json; T9_config.json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for ERD; Open: artefact sensitivity analysis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Configurations, seeds, stability, architecture claims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One seed; inconsistent architecture statements.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Three seeds, ensemble and per-seed table; full configuration per run; unique seed per (seed, participant, fold) and a new model each time. Saliency maps are averaged over seeds; per-seed saliency is not saved.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T6_seed_stability.csv; T9_config.json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for performance; Open: saliency seed stability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Class counts, confusions, predictions, re-initialisation, chance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Only accuracies; label errors.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T0 (trials per participant and class), T5 (pooled and per-participant confusions), per-trial predictions, chance and majority-class accuracy, collapse counter. Label errors fixed (HGD class order, PhysioNet mapping, HGD duplicated recordings).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T0_data_summary.csv; T5_confusion_*.csv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R2.16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Deployment claims; calibration; new-user transfer; dropout vs selection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Claims of clinically deployable hardware.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Leave-one-subject-out montages test transfer to new participants; BNCI montage from session 1 tested on session 2. Hardware, latency, repeated visits and dropout robustness are not tested.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41"/>
            <w:shd w:val="clear" w:color="auto" w:fill="FFEB9C"/>
          </w:tcPr>
          <w:p>
            <w:r/>
            <w:r>
              <w:rPr>
                <w:sz w:val="17"/>
              </w:rPr>
              <w:t>Text pending (limitations)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Minor 1-8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Numbering, headers, SD, names, figures, terms, citation, wording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Table headers and SD columns are generated from the result files. Topomaps: saliency normalised to unit maximum with its own colour scale per map; ERD maps share one symmetric scale per participant.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plot_saliency_topomap, plot_erd_ers_topomaps</w:t>
            </w:r>
          </w:p>
        </w:tc>
        <w:tc>
          <w:tcPr>
            <w:tcW w:type="dxa" w:w="2041"/>
            <w:shd w:val="clear" w:color="auto" w:fill="FFEB9C"/>
          </w:tcPr>
          <w:p>
            <w:r/>
            <w:r>
              <w:rPr>
                <w:sz w:val="17"/>
              </w:rPr>
              <w:t>Text pending (captions, terms, wording)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7"/>
              </w:rPr>
              <w:t>R1.1, R1.2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Cite Širca et al.; define abbreviations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4195"/>
          </w:tcPr>
          <w:p>
            <w:r/>
            <w:r>
              <w:rPr>
                <w:sz w:val="17"/>
              </w:rPr>
              <w:t>Citation added in the revised text; captions need the abbreviation sentence.</w:t>
            </w:r>
          </w:p>
        </w:tc>
        <w:tc>
          <w:tcPr>
            <w:tcW w:type="dxa" w:w="226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041"/>
            <w:shd w:val="clear" w:color="auto" w:fill="C6EFCE"/>
          </w:tcPr>
          <w:p>
            <w:r/>
            <w:r>
              <w:rPr>
                <w:sz w:val="17"/>
              </w:rPr>
              <w:t>Done (R1.1); Text pending (R1.2)</w:t>
            </w:r>
          </w:p>
        </w:tc>
      </w:tr>
    </w:tbl>
    <w:p/>
    <w:p>
      <w:pPr>
        <w:pStyle w:val="Heading1"/>
      </w:pPr>
      <w:r>
        <w:t>B. Manuscript edits needed so that the letter is true</w:t>
      </w:r>
    </w:p>
    <w:p>
      <w:r>
        <w:rPr>
          <w:b w:val="0"/>
          <w:i/>
        </w:rPr>
        <w:t>Section numbers follow your revised text. The parts that depend on the code runs (Methods 3.2 and 3.4, all results, Table 7, Figures 2-4, Discussion numbers) are listed here but should be written after the runs finish.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2813"/>
      </w:tblGrid>
      <w:tr>
        <w:tc>
          <w:tcPr>
            <w:tcW w:type="dxa" w:w="2268"/>
            <w:shd w:val="clear" w:color="auto" w:fill="D9D9D9"/>
          </w:tcPr>
          <w:p>
            <w:r/>
            <w:r>
              <w:rPr>
                <w:b/>
                <w:sz w:val="17"/>
              </w:rPr>
              <w:t>Where</w:t>
            </w:r>
          </w:p>
        </w:tc>
        <w:tc>
          <w:tcPr>
            <w:tcW w:type="dxa" w:w="12813"/>
            <w:shd w:val="clear" w:color="auto" w:fill="D9D9D9"/>
          </w:tcPr>
          <w:p>
            <w:r/>
            <w:r>
              <w:rPr>
                <w:b/>
                <w:sz w:val="17"/>
              </w:rPr>
              <w:t>What to change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Abstract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Delete 'all models tended to focus on the contralateral sensorimotor cortex' unless the lateralisation results support it (current results: lateralisation about 0). Say 'equivalent within a margin', not 'preserves performance'.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Introduction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Soften 'clinically deployable' and 'preserves performance comparable'.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3.1 Datasets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State that HGD uses 22 of its 128 channels; PhysioNet: imagery runs only, runs, mapping, classes, N, exclusions (Supplementary Table S1).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3.2 Preprocessing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Rewrite from Supplementary Table S2: sampling rate, band, window and normalisation differ per profile; delete 'all at 160 Hz / 8-32 Hz / 0.5-2.5 s' and 'forward-looking step factor'.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3.3 Architectures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Delete 'no dataset-specific architectural modifications' and 'attributed to architectural design rather than implementation or optimization choices'. Use the replacement sentence in the letter (Comment 14).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3.4 Protocol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Replace the 4-fold CV description by the nested protocol table in the letter (Comment 6); checkpoint rule per recipe; three seeds; validation criterion; remove 'Mixup/label smoothing' statements that do not apply to every recipe.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3.5 Saliency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SmoothGrad: the code uses N = 12 samples and noise 0.10 x std (not N = 50); IG: 32 steps; saliency is also computed per true class.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3.6 ERD/ERS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Say the ERD is computed from the raw band-passed (8-30 Hz) signal without standardisation, from a separate epoch; baseline and active intervals for every dataset; call the maps 'reference maps'.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3.7 Validation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Replace the four correlations by the three sign-invariant measures (formulas in the letter, Comment 7); delete the temporal cross-correlation and centre-of-mass sentence; add deletion and randomisation tests.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3.8 Channel selection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Delete 'Local and Global'; add the CSP/ReliefF/MI/ERD-only/fixed/random specifications and Algorithm 1 (below).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Tables 1-6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Regenerate from the result files (master_table.py); abbreviations in captions; 64ch for PhysioNet; SD column; PhysioNet with all participants or mean ± SD plus supplement; EEG-ITNet 2-class and 4-class from separate runs.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Table 7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Regenerate (T3); add 90% CI, worst participant and number of participants losing more than the margin; one N per dataset (not 109 if 105 are analysed).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4.1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'full 22-channel baseline (55.53%)' for PhysioNet should read 64-channel; delete 'protective', 'bypass non-systemic artifacts', 'severe spatial overfitting' (no evidence); describe numbers only.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4.2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Delete 'ignores classic mu and beta rhythms ... edge artifacts' and 'completely disappears'; figure captions (below); say the maps are single participants.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4.3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Delete 'optimizing selection toward the attribution frameworks exhibiting strong neurophysiological alignment'; replace superiority sentences by the mixed results; keep the narrowed TOST wording.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5.1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Replace r = +0.308 / +0.294 / -0.265 by participant-level results of the three measures; no architecture-family generalisations from one network each.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5.2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Delete the 'nonlinear relationships' and 'CSP unstable' explanations and the 'reduces overfitting' speculation; 'comparable to' instead of 'better than'.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5.3 Limitations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Add the paragraph below.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Figure 1</w:t>
            </w:r>
          </w:p>
        </w:tc>
        <w:tc>
          <w:tcPr>
            <w:tcW w:type="dxa" w:w="12813"/>
          </w:tcPr>
          <w:p>
            <w:r/>
            <w:r>
              <w:rPr>
                <w:sz w:val="17"/>
              </w:rPr>
              <w:t>Check that it says 12 channels (not 10) and 22/64 baseline channels.</w:t>
            </w:r>
          </w:p>
        </w:tc>
      </w:tr>
    </w:tbl>
    <w:p/>
    <w:p>
      <w:pPr>
        <w:pStyle w:val="Heading2"/>
      </w:pPr>
      <w:r>
        <w:t>Ready-to-paste texts</w:t>
      </w:r>
    </w:p>
    <w:p>
      <w:r>
        <w:rPr>
          <w:b/>
          <w:i w:val="0"/>
        </w:rPr>
        <w:t>Algorithm 1 (saliency-guided global channel selection, leave-one-subject-out)</w:t>
      </w:r>
    </w:p>
    <w:p>
      <w:r>
        <w:rPr>
          <w:b w:val="0"/>
          <w:i w:val="0"/>
        </w:rPr>
        <w:t>Input: participants P, architecture A, dataset, seeds {42, 43, 44}, K = 12 channels.</w:t>
      </w:r>
    </w:p>
    <w:p>
      <w:r>
        <w:rPr>
          <w:b w:val="0"/>
          <w:i w:val="0"/>
        </w:rPr>
        <w:t>1. For each participant p and seed s: split the training data chronologically into fit (75%) and validation (25%); choose the training profile of p by the mean validation accuracy of the OTHER participants.</w:t>
      </w:r>
    </w:p>
    <w:p>
      <w:r>
        <w:rPr>
          <w:b w:val="0"/>
          <w:i w:val="0"/>
        </w:rPr>
        <w:t>2. Fit A on all channels (fit part; early stopping or fixed epochs according to the profile) -&gt; model M(p, s).</w:t>
      </w:r>
    </w:p>
    <w:p>
      <w:r>
        <w:rPr>
          <w:b w:val="0"/>
          <w:i w:val="0"/>
        </w:rPr>
        <w:t>3. On the validation trials of p compute gradient, gradient x input, integrated gradients and SmoothGrad with respect to the true-class logit; take absolute values, average over time and trials (overall and per true class); scale each method's channel vector to unit maximum.</w:t>
      </w:r>
    </w:p>
    <w:p>
      <w:r>
        <w:rPr>
          <w:b w:val="0"/>
          <w:i w:val="0"/>
        </w:rPr>
        <w:t>4. s(p) = scale-to-unit-maximum( mean over the four methods and the seeds ).</w:t>
      </w:r>
    </w:p>
    <w:p>
      <w:r>
        <w:rPr>
          <w:b w:val="0"/>
          <w:i w:val="0"/>
        </w:rPr>
        <w:t>5. For each participant q: R(q) = scale-to-unit-maximum( mean of s(p) over p != q ); montage(q) = the K channels with the largest R(q).</w:t>
      </w:r>
    </w:p>
    <w:p>
      <w:r>
        <w:rPr>
          <w:b w:val="0"/>
          <w:i w:val="0"/>
        </w:rPr>
        <w:t>6. For each q and seed: train A from scratch on montage(q) with the same procedure (fit, refit on fit + validation with the chosen number of epochs); score the test data once; average the seed probabilities.</w:t>
      </w:r>
    </w:p>
    <w:p>
      <w:r>
        <w:rPr>
          <w:b w:val="0"/>
          <w:i w:val="0"/>
        </w:rPr>
        <w:t>CSP, ReliefF, mutual information, ERD-only: identical except that step 3-4 is replaced by the method's channel score computed on the training + validation trials of p (ERD-only: mean |ERD| of both hands). Fixed and random montages skip steps 1-5.</w:t>
      </w:r>
    </w:p>
    <w:p>
      <w:r>
        <w:rPr>
          <w:b/>
          <w:i w:val="0"/>
        </w:rPr>
        <w:t>Table caption (all accuracy tables)</w:t>
      </w:r>
    </w:p>
    <w:p>
      <w:r>
        <w:rPr>
          <w:b w:val="0"/>
          <w:i w:val="0"/>
        </w:rPr>
        <w:t>Test accuracy (%) per participant and mean ± standard deviation across participants. Full = baseline montage with all channels used for training (22 channels for BNCI2014-001 and HGD, 64 channels for PhysioNet); Ours = 12 channels selected by gradient-based saliency; CSP = Common Spatial Patterns; RLF = ReliefF; MutInf = mutual information (each retaining 12 channels). Chance level: 25% (four classes), 50% (two classes).</w:t>
      </w:r>
    </w:p>
    <w:p>
      <w:r>
        <w:rPr>
          <w:b/>
          <w:i w:val="0"/>
        </w:rPr>
        <w:t>Figure caption (topographic figures)</w:t>
      </w:r>
    </w:p>
    <w:p>
      <w:r>
        <w:rPr>
          <w:b w:val="0"/>
          <w:i w:val="0"/>
        </w:rPr>
        <w:t>Individual participant (S..), model and dataset. Saliency maps: channel importance normalised to unit maximum; every saliency map has its own colour scale, so magnitudes must not be compared between maps. ERD/ERS maps: relative power change (%) in 8-30 Hz in the active interval (1-3 s) against a pre-cue baseline (-0.5 to 0 s); negative values indicate desynchronisation; the four maps of one participant share a symmetric colour scale.</w:t>
      </w:r>
    </w:p>
    <w:p>
      <w:r>
        <w:rPr>
          <w:b/>
          <w:i w:val="0"/>
        </w:rPr>
        <w:t>Limitations paragraph (Section 5.3)</w:t>
      </w:r>
    </w:p>
    <w:p>
      <w:r>
        <w:rPr>
          <w:b w:val="0"/>
          <w:i w:val="0"/>
        </w:rPr>
        <w:t>All evaluations are offline and subject-dependent; they do not test a physically reduced headset, set-up time, power consumption, latency, repeated visits or robustness to electrode dropout, and planned channel selection followed by retraining is not the same as dropout robustness. A personalised low-density montage would still require a high-density calibration recording; our montages are estimated from other participants (leave-one-subject-out) and, for BNCI2014-001, from session 1 only, so stability over longer periods is untested. HGD contains executed movements, so it does not establish imagery-specific neurophysiology. The ERD/ERS maps are estimates from the same recordings and are a reference, not ground truth; unsigned saliency can show overlap with the strength and side of modulation but not the direction of a predictive effect. We did not use ICA or artefact rejection, and band-pass filtering alone does not show that the decoded information is neural. Frequency-resolved perturbations were not performed. The equivalence margin of 6 percentage points is a pragmatic choice; for PhysioNet the per-participant test sets are small (about 15 or 30 trials), so equivalence is a group-level statement. Differences between single trained networks of different families are not attributable to architecture alone.</w:t>
      </w:r>
    </w:p>
    <w:p>
      <w:pPr>
        <w:pStyle w:val="Heading1"/>
      </w:pPr>
      <w:r>
        <w:t>C. Items to fill or decide (highlighted yellow in the letter)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2835"/>
        <w:gridCol w:w="8844"/>
      </w:tblGrid>
      <w:tr>
        <w:tc>
          <w:tcPr>
            <w:tcW w:type="dxa" w:w="3402"/>
            <w:shd w:val="clear" w:color="auto" w:fill="D9D9D9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2835"/>
            <w:shd w:val="clear" w:color="auto" w:fill="D9D9D9"/>
          </w:tcPr>
          <w:p>
            <w:r/>
            <w:r>
              <w:rPr>
                <w:b/>
                <w:sz w:val="17"/>
              </w:rPr>
              <w:t>Where</w:t>
            </w:r>
          </w:p>
        </w:tc>
        <w:tc>
          <w:tcPr>
            <w:tcW w:type="dxa" w:w="8844"/>
            <w:shd w:val="clear" w:color="auto" w:fill="D9D9D9"/>
          </w:tcPr>
          <w:p>
            <w:r/>
            <w:r>
              <w:rPr>
                <w:b/>
                <w:sz w:val="17"/>
              </w:rPr>
              <w:t>Needs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EEG-ITNet duplication wording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1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Authors confirm what happened (the original EEG-ITNet HGD script was two-class only).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PhysioNet label error and 48%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Editor, Comments 4, 15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Run check_physionet_data.py; it prints the rest share under the old rule. Keep 'most likely explanation' unless it matches.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PhysioNet exclusions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4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Confirm S088, S092, S100, S104 and the reason after the data check.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Repository / DOI link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2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Insert.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Final numbers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Editor, Comments 4, 8, 10, 11, 15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After the runs: headline accuracies, deletion and randomisation results, counts of participants losing more than the margin, ranks of the methods.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Local montages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5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Keep removed (global leave-one-subject-out only) or add local experiments (doubles the montage runs).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Margin justification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10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Check the binomial argument against the final test-set sizes, or give your own.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Artefact sensitivity analysis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13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Implement (amplitude-based exclusion of test trials, accuracy before and after) or keep the limitation only.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Saliency seed stability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14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Needs the per-seed saliency vectors saved (code change, then re-run the saliency steps).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Paired model comparison of alignment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Comment 9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Optional: participant-level paired tests between models.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Figures 1-4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Minor 5</w:t>
            </w:r>
          </w:p>
        </w:tc>
        <w:tc>
          <w:tcPr>
            <w:tcW w:type="dxa" w:w="8844"/>
          </w:tcPr>
          <w:p>
            <w:r/>
            <w:r>
              <w:rPr>
                <w:sz w:val="17"/>
              </w:rPr>
              <w:t>Regenerate or re-caption from the new runs.</w:t>
            </w:r>
          </w:p>
        </w:tc>
      </w:tr>
    </w:tbl>
    <w:p/>
    <w:p>
      <w:pPr>
        <w:pStyle w:val="Heading1"/>
      </w:pPr>
      <w:r>
        <w:t>D. Supplementary tables referred to in the letter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7"/>
        <w:gridCol w:w="6009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b/>
                <w:sz w:val="17"/>
              </w:rPr>
              <w:t>Table</w:t>
            </w:r>
          </w:p>
        </w:tc>
        <w:tc>
          <w:tcPr>
            <w:tcW w:type="dxa" w:w="7937"/>
            <w:shd w:val="clear" w:color="auto" w:fill="D9D9D9"/>
          </w:tcPr>
          <w:p>
            <w:r/>
            <w:r>
              <w:rPr>
                <w:b/>
                <w:sz w:val="17"/>
              </w:rPr>
              <w:t>Content</w:t>
            </w:r>
          </w:p>
        </w:tc>
        <w:tc>
          <w:tcPr>
            <w:tcW w:type="dxa" w:w="6009"/>
            <w:shd w:val="clear" w:color="auto" w:fill="D9D9D9"/>
          </w:tcPr>
          <w:p>
            <w:r/>
            <w:r>
              <w:rPr>
                <w:b/>
                <w:sz w:val="17"/>
              </w:rPr>
              <w:t>Source file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S1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Participants, runs, trials per class, split sizes, exclusions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T0_data_summary.csv; check_hgd_data.py / check_physionet_data.py output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S2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Final configuration of every model and dataset (profile, band, sampling rate, window, optimiser, checkpoint rule, seeds)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T9_config.json, selected_profile.json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S3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Selected electrodes per dataset, model, method and participant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T2_montages.csv; reports/master_table/montages.csv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S4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Participant-level alignment (magnitude, class-specific, lateralisation) with CIs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T7_alignment.csv, alignment_metrics.json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S5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Participant-level accuracy of every method (all participants)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T1_accuracy_per_subject.csv; reports/master_table/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S6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Equivalence tests: difference, 90% CI, TOST p, worst participant, number losing more than the margin, margins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T3_equivalence_vs_*.csv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S7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Seed stability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T6_seed_stability.csv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7"/>
              </w:rPr>
              <w:t>S8</w:t>
            </w:r>
          </w:p>
        </w:tc>
        <w:tc>
          <w:tcPr>
            <w:tcW w:type="dxa" w:w="7937"/>
          </w:tcPr>
          <w:p>
            <w:r/>
            <w:r>
              <w:rPr>
                <w:sz w:val="17"/>
              </w:rPr>
              <w:t>Confusion matrices per participant, class counts, chance and majority-class accuracy</w:t>
            </w:r>
          </w:p>
        </w:tc>
        <w:tc>
          <w:tcPr>
            <w:tcW w:type="dxa" w:w="6009"/>
          </w:tcPr>
          <w:p>
            <w:r/>
            <w:r>
              <w:rPr>
                <w:sz w:val="17"/>
              </w:rPr>
              <w:t>T5_confusion_per_subject.csv, T5_confusion_summary.csv</w:t>
            </w:r>
          </w:p>
        </w:tc>
      </w:tr>
    </w:tbl>
    <w:p/>
    <w:p>
      <w:pPr>
        <w:pStyle w:val="Heading1"/>
      </w:pPr>
      <w:r>
        <w:t>E. Things to know before submitting</w:t>
      </w:r>
    </w:p>
    <w:p>
      <w:pPr>
        <w:pStyle w:val="ListBullet"/>
      </w:pPr>
      <w:r>
        <w:t>Do not run git pull while a run is in progress: each step of run_all.py starts a new process and would use the new code.</w:t>
      </w:r>
    </w:p>
    <w:p>
      <w:pPr>
        <w:pStyle w:val="ListBullet"/>
      </w:pPr>
      <w:r>
        <w:t>PhysioNet test sets are small (the last run of each type: about 15 trials for two classes and 30 for four classes per participant). Group-level results are fine with 105 participants; individual PhysioNet numbers are noisy.</w:t>
      </w:r>
    </w:p>
    <w:p>
      <w:pPr>
        <w:pStyle w:val="ListBullet"/>
      </w:pPr>
      <w:r>
        <w:t>Current results do not support the claim that saliency-guided selection beats CSP, ReliefF or mutual information: the letter and the manuscript say 'equivalent to the full montage and comparable to the other methods'.</w:t>
      </w:r>
    </w:p>
    <w:p>
      <w:pPr>
        <w:pStyle w:val="ListBullet"/>
      </w:pPr>
      <w:r>
        <w:t>BNCI EEGNetv4 four-class is not equivalent at the +-6 point margin (-1.85 points, p = 0.092), Deep4Net on BNCI four-class is far below the paper (45.1% against 62.0%), and the HGD accuracies are much lower than before because the earlier ones were inflated by the duplicated test recordings. The text must follow the new numbers.</w:t>
      </w:r>
    </w:p>
    <w:sectPr w:rsidR="00FC693F" w:rsidRPr="0006063C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