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9BDC" w14:textId="77777777" w:rsidR="00A10BD1" w:rsidRDefault="00000000">
      <w:pPr>
        <w:pStyle w:val="Heading1"/>
        <w:keepNext w:val="0"/>
        <w:keepLines w:val="0"/>
        <w:spacing w:before="480"/>
        <w:rPr>
          <w:rFonts w:ascii="Times New Roman" w:eastAsia="Times New Roman" w:hAnsi="Times New Roman" w:cs="Times New Roman"/>
          <w:b/>
          <w:sz w:val="46"/>
          <w:szCs w:val="46"/>
        </w:rPr>
      </w:pPr>
      <w:bookmarkStart w:id="0" w:name="_heading=h.3zqk04duamom" w:colFirst="0" w:colLast="0"/>
      <w:bookmarkEnd w:id="0"/>
      <w:r>
        <w:rPr>
          <w:rFonts w:ascii="Times New Roman" w:eastAsia="Times New Roman" w:hAnsi="Times New Roman" w:cs="Times New Roman"/>
          <w:b/>
          <w:sz w:val="46"/>
          <w:szCs w:val="46"/>
        </w:rPr>
        <w:t>Data Exploration Report — Store Sales (2013–2017)</w:t>
      </w:r>
    </w:p>
    <w:p w14:paraId="3BA9385D" w14:textId="77777777" w:rsidR="00A10BD1" w:rsidRDefault="00000000">
      <w:pPr>
        <w:pStyle w:val="Heading2"/>
        <w:keepNext w:val="0"/>
        <w:keepLines w:val="0"/>
        <w:spacing w:after="80"/>
        <w:rPr>
          <w:rFonts w:ascii="Times New Roman" w:eastAsia="Times New Roman" w:hAnsi="Times New Roman" w:cs="Times New Roman"/>
          <w:sz w:val="24"/>
          <w:szCs w:val="24"/>
        </w:rPr>
      </w:pPr>
      <w:bookmarkStart w:id="1" w:name="_heading=h.85shr679f0j9" w:colFirst="0" w:colLast="0"/>
      <w:bookmarkEnd w:id="1"/>
      <w:r>
        <w:rPr>
          <w:rFonts w:ascii="Times New Roman" w:eastAsia="Times New Roman" w:hAnsi="Times New Roman" w:cs="Times New Roman"/>
          <w:b/>
          <w:sz w:val="30"/>
          <w:szCs w:val="30"/>
        </w:rPr>
        <w:t>Overview</w:t>
      </w:r>
    </w:p>
    <w:p w14:paraId="65E421EC" w14:textId="5DEC4898" w:rsidR="00A10BD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exploration analyzes daily store-family sales from 1 January 2013 through 15 August 2017, joined with store descriptors (city, state, store_type, cluster), holiday/event information as a categorical day_type, and WTI oil prices (dcoilwtico). After merging and column clarification, the working training table contains 3,024,054 rows and 1</w:t>
      </w:r>
      <w:r w:rsidR="00027569">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columns: date, store_nbr, family, sales, onpromotion, city, state, store_type, cluster, dcoilwtico, and day_type, covering 54 stores across 22 cities and 16 states, organized into 17 clusters and 33 product families. Uniqueness checks highlighted 1,684 distinct dates; 33 families; 362 unique onpromotion values; 22 cities; 16 states; 5 store types; 17 clusters; 994 oil price points; and 6 day types. By using the figures attached to our notebook, we were able to highlight the following key points: the day-type charts (“Average Sales per Day Type,” “Max Sales per Day Type”) show Additional days lead on average while Holidays create the biggest spikes, which is helpful for planning promotions; the store-type view (“Insights from Sales by Store Type”) shows the clear ranking A &gt; D &gt; C &gt; B &gt; E; the multi-year line (“Store Sales Analysis (2013–2017)”) shows steady growth to 2016 and a dip in 2017; the monthly panel (“Monthly Sales Analysis (2013–2017)”) makes December highs, February lows, and the 2017 break (record May, sharp August drop) easy to see; the oil chart (“dcoilwtico Timeline by Year”) gives outside market context; and the transform checks (“sales before/after log,” “onpromotion before/after log”) show the log step makes the numbers more even and reduces extremes.</w:t>
      </w:r>
    </w:p>
    <w:p w14:paraId="7BF64847" w14:textId="77777777" w:rsidR="00A10BD1" w:rsidRDefault="00000000">
      <w:pPr>
        <w:pStyle w:val="Heading2"/>
        <w:keepNext w:val="0"/>
        <w:keepLines w:val="0"/>
        <w:spacing w:after="80"/>
        <w:rPr>
          <w:rFonts w:ascii="Times New Roman" w:eastAsia="Times New Roman" w:hAnsi="Times New Roman" w:cs="Times New Roman"/>
          <w:sz w:val="24"/>
          <w:szCs w:val="24"/>
        </w:rPr>
      </w:pPr>
      <w:bookmarkStart w:id="2" w:name="_heading=h.flxu3y6wkv6s" w:colFirst="0" w:colLast="0"/>
      <w:bookmarkEnd w:id="2"/>
      <w:r>
        <w:rPr>
          <w:rFonts w:ascii="Times New Roman" w:eastAsia="Times New Roman" w:hAnsi="Times New Roman" w:cs="Times New Roman"/>
          <w:b/>
          <w:sz w:val="30"/>
          <w:szCs w:val="30"/>
        </w:rPr>
        <w:t>Data Quality and Preparation</w:t>
      </w:r>
    </w:p>
    <w:p w14:paraId="323FBB10" w14:textId="77777777" w:rsidR="00A10BD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cleaning, two fields had a lot of missing data: dcoilwtico had 858,924 empty values (~28.6%), and day_type had 2,567,862 empty values (~85.6%). We filled oil price gaps by carrying the last known value forward (and backfilled at the very start if needed). The missing day_type was set to “Work Day.” We also cleaned text labels (trimmed spaces, used Title Case) to avoid duplicate categories. Duplicates were removed in two steps: first 30,294 rows were dropped, then a second pass removed 0 rows, producing the final table of 3,024,054 × 13. Data types are set as expected: dates for date; categories for family, city, state, store_type, day_type; and numbers for store_nbr, sales, onpromotion, cluster, dcoilwtico. Sales data is right skewed: min 0.0, Q1 0.0, median 11.0, Q3 ~195.85, mean ~357.78, max 124,717.0. Oil prices range widely, between $26.19 and $110.62 (median $53.41; mean ~$67.92; SD ~$25.67). Using the IQR rule, we identified 447,105 outliers in sales and 611,329 in onpromotion (none in store_nbr, cluster, or dcoilwtico). To make the numbers easier to model, we applied a log transform to sales </w:t>
      </w:r>
      <w:r>
        <w:rPr>
          <w:rFonts w:ascii="Times New Roman" w:eastAsia="Times New Roman" w:hAnsi="Times New Roman" w:cs="Times New Roman"/>
          <w:sz w:val="24"/>
          <w:szCs w:val="24"/>
        </w:rPr>
        <w:lastRenderedPageBreak/>
        <w:t>and onpromotion and confirmed through the before/after plots that this reduced skew and outliers.</w:t>
      </w:r>
    </w:p>
    <w:p w14:paraId="51F8249C" w14:textId="77777777" w:rsidR="00A10BD1" w:rsidRDefault="00000000">
      <w:pPr>
        <w:pStyle w:val="Heading2"/>
        <w:keepNext w:val="0"/>
        <w:keepLines w:val="0"/>
        <w:spacing w:after="80"/>
        <w:rPr>
          <w:rFonts w:ascii="Times New Roman" w:eastAsia="Times New Roman" w:hAnsi="Times New Roman" w:cs="Times New Roman"/>
          <w:b/>
          <w:sz w:val="30"/>
          <w:szCs w:val="30"/>
        </w:rPr>
      </w:pPr>
      <w:bookmarkStart w:id="3" w:name="_heading=h.cblziilxwy2b" w:colFirst="0" w:colLast="0"/>
      <w:bookmarkEnd w:id="3"/>
      <w:r>
        <w:rPr>
          <w:rFonts w:ascii="Times New Roman" w:eastAsia="Times New Roman" w:hAnsi="Times New Roman" w:cs="Times New Roman"/>
          <w:b/>
          <w:sz w:val="30"/>
          <w:szCs w:val="30"/>
        </w:rPr>
        <w:t>Engineered Features and Transformations</w:t>
      </w:r>
    </w:p>
    <w:p w14:paraId="37A15FAC" w14:textId="77777777" w:rsidR="00A10BD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added calendar fields (Year, Month, Day, Week_day) and a Work_day flag from day_type to support time-based summaries. We applied a log transform to onpromotion to reduce skew and shrink extremes; the change is visible in the existing diagnostics ( “onpromotion before/after log”). We also demonstrated one-hot encoding for categoricals and scaling for numeric fields for modeling readiness; in the encoding demo, “Work Day” was dropped as the baseline. No other features were created (no lags, rolling stats, interactions, or extra holiday flags). The log versions of onpromotion are used only for diagnostics/modeling. </w:t>
      </w:r>
    </w:p>
    <w:p w14:paraId="44E00BA5" w14:textId="77777777" w:rsidR="00A10BD1" w:rsidRDefault="00A10BD1">
      <w:pPr>
        <w:rPr>
          <w:rFonts w:ascii="Times New Roman" w:eastAsia="Times New Roman" w:hAnsi="Times New Roman" w:cs="Times New Roman"/>
          <w:sz w:val="24"/>
          <w:szCs w:val="24"/>
        </w:rPr>
      </w:pPr>
    </w:p>
    <w:p w14:paraId="622BA1B0" w14:textId="77777777" w:rsidR="00A10BD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B916A2B" wp14:editId="24A2DE9F">
            <wp:extent cx="1862138" cy="2956772"/>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862138" cy="2956772"/>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17433BED" wp14:editId="095EB57D">
            <wp:extent cx="3706131" cy="2700338"/>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706131" cy="2700338"/>
                    </a:xfrm>
                    <a:prstGeom prst="rect">
                      <a:avLst/>
                    </a:prstGeom>
                    <a:ln/>
                  </pic:spPr>
                </pic:pic>
              </a:graphicData>
            </a:graphic>
          </wp:inline>
        </w:drawing>
      </w:r>
    </w:p>
    <w:p w14:paraId="3EE6DA98" w14:textId="77777777" w:rsidR="00A10BD1"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1652D57" wp14:editId="71892D88">
            <wp:extent cx="2005013" cy="3175253"/>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005013" cy="3175253"/>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36A4ACD3" wp14:editId="6686DC36">
            <wp:extent cx="3103341" cy="252146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3103341" cy="2521465"/>
                    </a:xfrm>
                    <a:prstGeom prst="rect">
                      <a:avLst/>
                    </a:prstGeom>
                    <a:ln/>
                  </pic:spPr>
                </pic:pic>
              </a:graphicData>
            </a:graphic>
          </wp:inline>
        </w:drawing>
      </w:r>
    </w:p>
    <w:p w14:paraId="395CC426" w14:textId="77777777" w:rsidR="00A10BD1" w:rsidRDefault="00A10BD1">
      <w:pPr>
        <w:rPr>
          <w:rFonts w:ascii="Times New Roman" w:eastAsia="Times New Roman" w:hAnsi="Times New Roman" w:cs="Times New Roman"/>
          <w:sz w:val="24"/>
          <w:szCs w:val="24"/>
        </w:rPr>
      </w:pPr>
    </w:p>
    <w:p w14:paraId="36DDB1DC" w14:textId="77777777" w:rsidR="00A10BD1" w:rsidRDefault="00000000">
      <w:pPr>
        <w:pStyle w:val="Heading2"/>
        <w:keepNext w:val="0"/>
        <w:keepLines w:val="0"/>
        <w:spacing w:after="80"/>
        <w:rPr>
          <w:rFonts w:ascii="Times New Roman" w:eastAsia="Times New Roman" w:hAnsi="Times New Roman" w:cs="Times New Roman"/>
          <w:b/>
          <w:sz w:val="30"/>
          <w:szCs w:val="30"/>
        </w:rPr>
      </w:pPr>
      <w:bookmarkStart w:id="4" w:name="_heading=h.dqk5gruxemrx" w:colFirst="0" w:colLast="0"/>
      <w:bookmarkEnd w:id="4"/>
      <w:r>
        <w:rPr>
          <w:rFonts w:ascii="Times New Roman" w:eastAsia="Times New Roman" w:hAnsi="Times New Roman" w:cs="Times New Roman"/>
          <w:b/>
          <w:sz w:val="30"/>
          <w:szCs w:val="30"/>
        </w:rPr>
        <w:t>Trends by Day Type</w:t>
      </w:r>
    </w:p>
    <w:p w14:paraId="71FD0668" w14:textId="77777777" w:rsidR="00A10BD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Day type clearly affects sales. In “Average Sales per Day Type,” Additional days have the highest average (~868,955), then Transfer (~831,745), Bridge (~758,116), Event (~751,582), Work Day (~627,011), and Holiday (~626,554). In “Max Sales per Day Type,” Holiday days hit the biggest single-day highs (~1,463,084), with Transfer (~1,402,306) and Work Day (~1,376,512) close behind; then Event (~1,345,921), Additional (~1,282,146), and Bridge (~858,468). In short: Additional leads on averages, Holidays create the biggest spikes, Work Days are steady with upside, and Bridge is the weakest.</w:t>
      </w:r>
      <w:r>
        <w:rPr>
          <w:noProof/>
        </w:rPr>
        <w:drawing>
          <wp:inline distT="114300" distB="114300" distL="114300" distR="114300" wp14:anchorId="5EBB0158" wp14:editId="472F853B">
            <wp:extent cx="5943600" cy="24638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2463800"/>
                    </a:xfrm>
                    <a:prstGeom prst="rect">
                      <a:avLst/>
                    </a:prstGeom>
                    <a:ln/>
                  </pic:spPr>
                </pic:pic>
              </a:graphicData>
            </a:graphic>
          </wp:inline>
        </w:drawing>
      </w:r>
    </w:p>
    <w:p w14:paraId="12EBBA8C" w14:textId="77777777" w:rsidR="00A10BD1" w:rsidRDefault="00000000">
      <w:pPr>
        <w:spacing w:before="240" w:after="240"/>
        <w:rPr>
          <w:rFonts w:ascii="Times New Roman" w:eastAsia="Times New Roman" w:hAnsi="Times New Roman" w:cs="Times New Roman"/>
          <w:sz w:val="24"/>
          <w:szCs w:val="24"/>
        </w:rPr>
      </w:pPr>
      <w:r>
        <w:lastRenderedPageBreak/>
        <w:br/>
      </w:r>
      <w:r>
        <w:rPr>
          <w:rFonts w:ascii="Times New Roman" w:eastAsia="Times New Roman" w:hAnsi="Times New Roman" w:cs="Times New Roman"/>
          <w:b/>
          <w:sz w:val="30"/>
          <w:szCs w:val="30"/>
        </w:rPr>
        <w:t>Store-Type Performance</w:t>
      </w:r>
    </w:p>
    <w:p w14:paraId="78603C96" w14:textId="77777777" w:rsidR="00A10BD1"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Store types show a clear, repeatable gap in performance. In “Insights from Sales by Store Type,” Type A is the top performer on both metrics with about 209,646 average sales and 512,347 max, followed closely by Type D (~208,482; ~430,103). Type C sits in the middle (~97,645; ~215,363), while Type B is lower (~86,259; ~245,748), and Type E is the weakest (~35,524; ~109,533). The ranking is identical for averages and peaks (A &gt; D &gt; C &gt; B &gt; E), so this isn’t a one-off spike; it’s a stable pattern in the data. Practically, A and D are the main volume drivers, C provides a moderate base, while B and especially E need review to understand what’s holding results back before expecting big gains. This hierarchy is useful for setting inventory levels, staffing, and promotion intensity by store type.</w:t>
      </w:r>
    </w:p>
    <w:p w14:paraId="1F013B62" w14:textId="77777777" w:rsidR="00A10BD1" w:rsidRDefault="00000000">
      <w:pPr>
        <w:spacing w:before="240" w:after="240"/>
        <w:rPr>
          <w:i/>
        </w:rPr>
      </w:pPr>
      <w:r>
        <w:rPr>
          <w:i/>
          <w:noProof/>
        </w:rPr>
        <w:drawing>
          <wp:inline distT="114300" distB="114300" distL="114300" distR="114300" wp14:anchorId="0516F05E" wp14:editId="5C100802">
            <wp:extent cx="5943600" cy="24511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2451100"/>
                    </a:xfrm>
                    <a:prstGeom prst="rect">
                      <a:avLst/>
                    </a:prstGeom>
                    <a:ln/>
                  </pic:spPr>
                </pic:pic>
              </a:graphicData>
            </a:graphic>
          </wp:inline>
        </w:drawing>
      </w:r>
    </w:p>
    <w:p w14:paraId="0D4FDFDE" w14:textId="77777777" w:rsidR="00A10BD1" w:rsidRDefault="00A10BD1">
      <w:pPr>
        <w:pStyle w:val="Heading2"/>
        <w:keepNext w:val="0"/>
        <w:keepLines w:val="0"/>
        <w:spacing w:after="80"/>
        <w:rPr>
          <w:rFonts w:ascii="Times New Roman" w:eastAsia="Times New Roman" w:hAnsi="Times New Roman" w:cs="Times New Roman"/>
          <w:b/>
          <w:sz w:val="30"/>
          <w:szCs w:val="30"/>
        </w:rPr>
      </w:pPr>
      <w:bookmarkStart w:id="5" w:name="_heading=h.w7z2wric7z8e" w:colFirst="0" w:colLast="0"/>
      <w:bookmarkEnd w:id="5"/>
    </w:p>
    <w:p w14:paraId="4C4C0324" w14:textId="77777777" w:rsidR="00A10BD1" w:rsidRDefault="00000000">
      <w:pPr>
        <w:pStyle w:val="Heading2"/>
        <w:keepNext w:val="0"/>
        <w:keepLines w:val="0"/>
        <w:spacing w:after="80"/>
        <w:rPr>
          <w:rFonts w:ascii="Times New Roman" w:eastAsia="Times New Roman" w:hAnsi="Times New Roman" w:cs="Times New Roman"/>
          <w:b/>
          <w:sz w:val="30"/>
          <w:szCs w:val="30"/>
        </w:rPr>
      </w:pPr>
      <w:bookmarkStart w:id="6" w:name="_heading=h.7x115xc9gydn" w:colFirst="0" w:colLast="0"/>
      <w:bookmarkEnd w:id="6"/>
      <w:r>
        <w:rPr>
          <w:rFonts w:ascii="Times New Roman" w:eastAsia="Times New Roman" w:hAnsi="Times New Roman" w:cs="Times New Roman"/>
          <w:b/>
          <w:sz w:val="30"/>
          <w:szCs w:val="30"/>
        </w:rPr>
        <w:t>Store Sales Analysis (2013–2017)</w:t>
      </w:r>
    </w:p>
    <w:p w14:paraId="1B215E76" w14:textId="77777777" w:rsidR="00A10BD1" w:rsidRDefault="00000000">
      <w:pPr>
        <w:spacing w:after="80"/>
        <w:ind w:firstLine="720"/>
        <w:rPr>
          <w:rFonts w:ascii="Times New Roman" w:eastAsia="Times New Roman" w:hAnsi="Times New Roman" w:cs="Times New Roman"/>
          <w:sz w:val="24"/>
          <w:szCs w:val="24"/>
        </w:rPr>
      </w:pPr>
      <w:r>
        <w:rPr>
          <w:rFonts w:ascii="Gungsuh" w:eastAsia="Gungsuh" w:hAnsi="Gungsuh" w:cs="Gungsuh"/>
          <w:sz w:val="24"/>
          <w:szCs w:val="24"/>
        </w:rPr>
        <w:t xml:space="preserve">The year-by-store-type table shows the same pattern across all types: steady growth from 2013 to 2016, then a drop in 2017. For example, Type D totals are 45,767,564 (2013), 95,604,653 (2016), and 62,084,808 (2017). Type A is 47,028,945; 91,927,694; and 63,828,562. Type C is 23,477,952; 43,212,468; and 28,539,528. Type B is 18,493,331; 40,378,592; and 27,499,780. Type E is 5,659,273; 17,531,116; and 12,266,190. A summary view in the notebook also marks 2016 as the peak year for every type (e.g., D ≈ 95.6M, A ≈ 91.9M) and 2013 as the lowest (e.g., D ≈ 45.8M, A ≈ </w:t>
      </w:r>
      <w:r>
        <w:rPr>
          <w:rFonts w:ascii="Gungsuh" w:eastAsia="Gungsuh" w:hAnsi="Gungsuh" w:cs="Gungsuh"/>
          <w:sz w:val="24"/>
          <w:szCs w:val="24"/>
        </w:rPr>
        <w:lastRenderedPageBreak/>
        <w:t>47.0M). The “Store Sales Analysis (2013–2017)” chart makes this rise through 2016 and the broad pullback in 2017 clear.</w:t>
      </w:r>
    </w:p>
    <w:p w14:paraId="6A319B4C" w14:textId="77777777" w:rsidR="00A10BD1" w:rsidRDefault="00000000">
      <w:pPr>
        <w:spacing w:before="240" w:after="240"/>
        <w:jc w:val="center"/>
      </w:pPr>
      <w:r>
        <w:rPr>
          <w:noProof/>
        </w:rPr>
        <w:drawing>
          <wp:inline distT="114300" distB="114300" distL="114300" distR="114300" wp14:anchorId="6E1027F7" wp14:editId="7CDA1681">
            <wp:extent cx="5943600" cy="49657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4965700"/>
                    </a:xfrm>
                    <a:prstGeom prst="rect">
                      <a:avLst/>
                    </a:prstGeom>
                    <a:ln/>
                  </pic:spPr>
                </pic:pic>
              </a:graphicData>
            </a:graphic>
          </wp:inline>
        </w:drawing>
      </w:r>
    </w:p>
    <w:p w14:paraId="0C1FA8ED" w14:textId="77777777" w:rsidR="00A10BD1" w:rsidRDefault="00000000">
      <w:pPr>
        <w:pStyle w:val="Heading2"/>
        <w:spacing w:before="240" w:after="240"/>
        <w:rPr>
          <w:rFonts w:ascii="Times New Roman" w:eastAsia="Times New Roman" w:hAnsi="Times New Roman" w:cs="Times New Roman"/>
          <w:sz w:val="24"/>
          <w:szCs w:val="24"/>
        </w:rPr>
      </w:pPr>
      <w:bookmarkStart w:id="7" w:name="_heading=h.ryd8cwvk5ajh" w:colFirst="0" w:colLast="0"/>
      <w:bookmarkEnd w:id="7"/>
      <w:r>
        <w:rPr>
          <w:rFonts w:ascii="Times New Roman" w:eastAsia="Times New Roman" w:hAnsi="Times New Roman" w:cs="Times New Roman"/>
          <w:b/>
          <w:sz w:val="30"/>
          <w:szCs w:val="30"/>
        </w:rPr>
        <w:t>Seasonality</w:t>
      </w:r>
    </w:p>
    <w:p w14:paraId="35A0384E" w14:textId="77777777" w:rsidR="00A10BD1" w:rsidRDefault="00000000">
      <w:pPr>
        <w:ind w:firstLine="720"/>
        <w:rPr>
          <w:rFonts w:ascii="Times New Roman" w:eastAsia="Times New Roman" w:hAnsi="Times New Roman" w:cs="Times New Roman"/>
          <w:sz w:val="24"/>
          <w:szCs w:val="24"/>
        </w:rPr>
      </w:pPr>
      <w:r>
        <w:rPr>
          <w:rFonts w:ascii="Gungsuh" w:eastAsia="Gungsuh" w:hAnsi="Gungsuh" w:cs="Gungsuh"/>
          <w:sz w:val="24"/>
          <w:szCs w:val="24"/>
        </w:rPr>
        <w:t xml:space="preserve">Monthly results show a clear, steady pattern. From 2013 to 2016, total sales grow from about 10–12M per month to ~25–30M. December is the top month each year (≈15.9M in 2013; 24.4M in 2014; 27.3M in 2015; 29.8M in 2016), and February is the lowest (≈9.8M in 2013; 12.0M in 2014; 13.8M in 2015; 22.0M in 2016). This makes the seasonal shape predictable: a strong year-end lift and a softer early-year dip. In 2017, that shape changes: May hits a new high (~27.0M), followed by a sharp August drop (~12.5M). This differs from earlier years where December led. The notebook also notes that late-2017 months may be </w:t>
      </w:r>
      <w:r>
        <w:rPr>
          <w:rFonts w:ascii="Gungsuh" w:eastAsia="Gungsuh" w:hAnsi="Gungsuh" w:cs="Gungsuh"/>
          <w:sz w:val="24"/>
          <w:szCs w:val="24"/>
        </w:rPr>
        <w:lastRenderedPageBreak/>
        <w:t>missing, so results should be checked against the usual September–December bump once data is confirmed.</w:t>
      </w:r>
    </w:p>
    <w:p w14:paraId="5E9CE89E" w14:textId="77777777" w:rsidR="00A10BD1" w:rsidRDefault="00000000">
      <w:pPr>
        <w:rPr>
          <w:b/>
          <w:sz w:val="34"/>
          <w:szCs w:val="34"/>
        </w:rPr>
      </w:pPr>
      <w:r>
        <w:rPr>
          <w:rFonts w:ascii="Times New Roman" w:eastAsia="Times New Roman" w:hAnsi="Times New Roman" w:cs="Times New Roman"/>
          <w:noProof/>
          <w:sz w:val="24"/>
          <w:szCs w:val="24"/>
        </w:rPr>
        <w:drawing>
          <wp:inline distT="114300" distB="114300" distL="114300" distR="114300" wp14:anchorId="559E42BB" wp14:editId="3372E11E">
            <wp:extent cx="5943600" cy="18542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1854200"/>
                    </a:xfrm>
                    <a:prstGeom prst="rect">
                      <a:avLst/>
                    </a:prstGeom>
                    <a:ln/>
                  </pic:spPr>
                </pic:pic>
              </a:graphicData>
            </a:graphic>
          </wp:inline>
        </w:drawing>
      </w:r>
    </w:p>
    <w:p w14:paraId="4494DEE6" w14:textId="77777777" w:rsidR="00A10BD1" w:rsidRDefault="00000000">
      <w:pPr>
        <w:pStyle w:val="Heading2"/>
        <w:rPr>
          <w:rFonts w:ascii="Times New Roman" w:eastAsia="Times New Roman" w:hAnsi="Times New Roman" w:cs="Times New Roman"/>
          <w:b/>
          <w:sz w:val="30"/>
          <w:szCs w:val="30"/>
        </w:rPr>
      </w:pPr>
      <w:bookmarkStart w:id="8" w:name="_heading=h.2v0id5i6ghwn" w:colFirst="0" w:colLast="0"/>
      <w:bookmarkEnd w:id="8"/>
      <w:r>
        <w:rPr>
          <w:rFonts w:ascii="Times New Roman" w:eastAsia="Times New Roman" w:hAnsi="Times New Roman" w:cs="Times New Roman"/>
          <w:b/>
          <w:sz w:val="30"/>
          <w:szCs w:val="30"/>
        </w:rPr>
        <w:t>Conclusion and Key Findings</w:t>
      </w:r>
    </w:p>
    <w:p w14:paraId="1E37EDCE" w14:textId="77777777" w:rsidR="00A10BD1"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From 2013–2016, sales exhibit stable seasonality—consistent December peaks and February troughs—followed by a clear regime change in 2017, when May sets a new high and a sharp summer pullback appears. By day type, Additional days lead on average, Holidays generate the largest single-day spikes, Work Days are steady with room to grow, and Bridge days underperform. By store type, the hierarchy is stable at A &gt; D &gt; C &gt; B &gt; E, identifying A and D as the principal volume drivers and E as the weakest. Data quality issues were concentrated in auxiliary fields; we forward-filled (and early backfilled) missing oil prices, defaulted missing day_type to “Work Day,” removed duplicates, and standardized labels. Because sales and onpromotion are heavily right-skewed, a simple log transform improves distributional shape for modeling. Overall, the EDA provides a clean, model-ready base and highlights two priorities for forecasting: (1) accommodate the 2017 break in seasonality, and (2) focus on weak segments, Bridge days and store types B and especially E, during feature design and model evaluation.</w:t>
      </w:r>
    </w:p>
    <w:p w14:paraId="62AABFEA" w14:textId="77777777" w:rsidR="00A10BD1" w:rsidRDefault="00A10BD1"/>
    <w:sectPr w:rsidR="00A10B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BD1"/>
    <w:rsid w:val="00027569"/>
    <w:rsid w:val="0017098E"/>
    <w:rsid w:val="00A10B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93583"/>
  <w15:docId w15:val="{6F2BB9DA-C2DA-4589-9FF4-3695AF926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QNkc34dtHOXuEdV/xGodowfCBg==">CgMxLjAyDmguM3pxazA0ZHVhbW9tMg5oLjg1c2hyNjc5ZjBqOTIOaC5mbHh1M3k2d2t2NnMyDmguY2JsemlpbHh3eTJiMg5oLmRxazVncnV4ZW1yeDIOaC53N3oyd3JpYzd6OGUyDmguN3gxMTV4YzlneWRuMg5oLnJ5ZDhjd3ZrNWFqaDIOaC4ydjBpZDVpNmdod244AHIhMXZsb0gydFZ6bWlablRSNllUd003SFY4VW5US211QUxq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1140</Words>
  <Characters>6500</Characters>
  <Application>Microsoft Office Word</Application>
  <DocSecurity>0</DocSecurity>
  <Lines>54</Lines>
  <Paragraphs>15</Paragraphs>
  <ScaleCrop>false</ScaleCrop>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Amr Ashraf Amin Moussa Mohamed</cp:lastModifiedBy>
  <cp:revision>2</cp:revision>
  <dcterms:created xsi:type="dcterms:W3CDTF">2025-11-29T13:25:00Z</dcterms:created>
  <dcterms:modified xsi:type="dcterms:W3CDTF">2025-11-29T13:26:00Z</dcterms:modified>
</cp:coreProperties>
</file>