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ztu8ya0gf1h" w:id="0"/>
      <w:bookmarkEnd w:id="0"/>
      <w:r w:rsidDel="00000000" w:rsidR="00000000" w:rsidRPr="00000000">
        <w:rPr>
          <w:rFonts w:ascii="Times New Roman" w:cs="Times New Roman" w:eastAsia="Times New Roman" w:hAnsi="Times New Roman"/>
          <w:b w:val="1"/>
          <w:sz w:val="46"/>
          <w:szCs w:val="46"/>
          <w:rtl w:val="0"/>
        </w:rPr>
        <w:t xml:space="preserve">Data Exploration Report — Store Sales (2013–2017)</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sz w:val="24"/>
          <w:szCs w:val="24"/>
        </w:rPr>
      </w:pPr>
      <w:bookmarkStart w:colFirst="0" w:colLast="0" w:name="_flrs2avdq6td" w:id="1"/>
      <w:bookmarkEnd w:id="1"/>
      <w:r w:rsidDel="00000000" w:rsidR="00000000" w:rsidRPr="00000000">
        <w:rPr>
          <w:rFonts w:ascii="Times New Roman" w:cs="Times New Roman" w:eastAsia="Times New Roman" w:hAnsi="Times New Roman"/>
          <w:b w:val="1"/>
          <w:sz w:val="30"/>
          <w:szCs w:val="30"/>
          <w:rtl w:val="0"/>
        </w:rPr>
        <w:t xml:space="preserve">Overview</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exploration analyzes daily store-family sales from 1 January 2013 through 15 August 2017, joined with store descriptors (city, state, store_type, cluster), holiday/event information as a categorical day_type, and WTI oil prices (dcoilwtico). After merging and column clarification, the working training table contains 3,024,054 rows and 13 columns: date, store_nbr, family, sales, onpromotion, city, state, store_type, cluster, dcoilwtico, and day_type, covering 54 stores across 22 cities and 16 states, organized into 17 clusters and 33 product families. Uniqueness checks highlighted 1,684 distinct dates; 33 families; 362 unique onpromotion values; 22 cities; 16 states; 5 store types; 17 clusters; 994 oil price points; and 6 day types. By using the figures attached to our notebook, we were able to highlight the following key points: the day-type charts (“Average Sales per Day Type,” “Max Sales per Day Type”) show Additional days lead on average while Holidays create the biggest spikes, which is helpful for planning promotions; the store-type view (“Insights from Sales by Store Type”) shows the clear ranking A &gt; D &gt; C &gt; B &gt; E; the multi-year line (“Store Sales Analysis (2013–2017)”) shows steady growth to 2016 and a dip in 2017; the monthly panel (“Monthly Sales Analysis (2013–2017)”) makes December highs, February lows, and the 2017 break (record May, sharp August drop) easy to see; the oil chart (“dcoilwtico Timeline by Year”) gives outside market context; and the transform checks (“sales before/after log,” “onpromotion before/after log”) show the log step makes the numbers more even and reduces extremes.</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sz w:val="24"/>
          <w:szCs w:val="24"/>
        </w:rPr>
      </w:pPr>
      <w:bookmarkStart w:colFirst="0" w:colLast="0" w:name="_30z2uoulsvsn" w:id="2"/>
      <w:bookmarkEnd w:id="2"/>
      <w:r w:rsidDel="00000000" w:rsidR="00000000" w:rsidRPr="00000000">
        <w:rPr>
          <w:rFonts w:ascii="Times New Roman" w:cs="Times New Roman" w:eastAsia="Times New Roman" w:hAnsi="Times New Roman"/>
          <w:b w:val="1"/>
          <w:sz w:val="30"/>
          <w:szCs w:val="30"/>
          <w:rtl w:val="0"/>
        </w:rPr>
        <w:t xml:space="preserve">Data Quality and Preparation</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cleaning, two fields had a lot of missing data: dcoilwtico had 858,924 empty values (~28.6%), and day_type had 2,567,862 empty values (~85.6%). We filled oil price gaps by carrying the last known value forward (and backfilled at the very start if needed). The missing day_type was set to “Work Day.” We also cleaned text labels (trimmed spaces, used Title Case) to avoid duplicate categories. Duplicates were removed in two steps: first 30,294 rows were dropped, then a second pass removed 0 rows, producing the final table of 3,024,054 × 13. Data types are set as expected: dates for date; categories for family, city, state, store_type, day_type; and numbers for store_nbr, sales, onpromotion, cluster, dcoilwtico. Sales data is right skewed: min 0.0, Q1 0.0, median 11.0, Q3 ~195.85, mean ~357.78, max 124,717.0. Oil prices range widely, between $26.19 and $110.62 (median $53.41; mean ~$67.92; SD ~$25.67). Using the IQR rule, we identified 447,105 outliers in sales and 611,329 in onpromotion (none in store_nbr, cluster, or dcoilwtico). To make the numbers easier to model, we applied a log transform to sales and onpromotion and confirmed through the before/after plots that this reduced skew and outliers.</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0"/>
          <w:szCs w:val="30"/>
        </w:rPr>
      </w:pPr>
      <w:bookmarkStart w:colFirst="0" w:colLast="0" w:name="_9aaovxorqk6h" w:id="3"/>
      <w:bookmarkEnd w:id="3"/>
      <w:r w:rsidDel="00000000" w:rsidR="00000000" w:rsidRPr="00000000">
        <w:rPr>
          <w:rFonts w:ascii="Times New Roman" w:cs="Times New Roman" w:eastAsia="Times New Roman" w:hAnsi="Times New Roman"/>
          <w:b w:val="1"/>
          <w:sz w:val="30"/>
          <w:szCs w:val="30"/>
          <w:rtl w:val="0"/>
        </w:rPr>
        <w:t xml:space="preserve">Engineered Features and Transformations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calendar fields (Year, Month, Day, Week_day) and a Work_day flag from day_type to support time-based summaries. We applied a log transform to sales and onpromotion to reduce skew and shrink extremes; the change is visible in the existing diagnostics (“sales before/after log,” “onpromotion before/after log”). We also demonstrated one-hot encoding for categoricals and scaling for numeric fields for modeling readiness; in the encoding demo, “Work Day” was dropped as the baseline. No other features were created (no lags, rolling stats, interactions, or extra holiday flags). The log versions of sales and onpromotion are used only for diagnostics/modeling.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6400" cy="26968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76400" cy="26968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09950" cy="2599021"/>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09950" cy="259902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423162"/>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05150" cy="24231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71688" cy="24479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7168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295677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62138" cy="29567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06131" cy="2700338"/>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0613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5013" cy="3175253"/>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05013" cy="31752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05238" cy="3099772"/>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05238" cy="30997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0"/>
          <w:szCs w:val="30"/>
        </w:rPr>
      </w:pPr>
      <w:bookmarkStart w:colFirst="0" w:colLast="0" w:name="_jyi8s1uy361d" w:id="4"/>
      <w:bookmarkEnd w:id="4"/>
      <w:r w:rsidDel="00000000" w:rsidR="00000000" w:rsidRPr="00000000">
        <w:rPr>
          <w:rFonts w:ascii="Times New Roman" w:cs="Times New Roman" w:eastAsia="Times New Roman" w:hAnsi="Times New Roman"/>
          <w:b w:val="1"/>
          <w:sz w:val="30"/>
          <w:szCs w:val="30"/>
          <w:rtl w:val="0"/>
        </w:rPr>
        <w:t xml:space="preserve">Trends by Day Type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rtl w:val="0"/>
        </w:rPr>
        <w:t xml:space="preserve">Day type clearly affects sales. In “Average Sales per Day Type,” Additional days have the highest average (~868,955), then Transfer (~831,745), Bridge (~758,116), Event (~751,582), Work Day (~627,011), and Holiday (~626,554). In “Max Sales per Day Type,” Holiday days hit the biggest single-day highs (~1,463,084), with Transfer (~1,402,306) and Work Day (~1,376,512) close behind; then Event (~1,345,921), Additional (~1,282,146), and Bridge (~858,468). In short: Additional leads on averages, Holidays create the biggest spikes, Work Days are steady with upside, and Bridge is the weakest.</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4638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46380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sz w:val="30"/>
          <w:szCs w:val="30"/>
          <w:rtl w:val="0"/>
        </w:rPr>
        <w:t xml:space="preserve">Store-Type Performance</w:t>
      </w:r>
      <w:r w:rsidDel="00000000" w:rsidR="00000000" w:rsidRPr="00000000">
        <w:rPr>
          <w:rtl w:val="0"/>
        </w:rPr>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types show a clear, repeatable gap in performance. In “Insights from Sales by Store Type,” Type A is the top performer on both metrics with about 209,646 average sales and 512,347 max, followed closely by Type D (~208,482; ~430,103). Type C sits in the middle (~97,645; ~215,363), while Type B is lower (~86,259; ~245,748), and Type E is the weakest (~35,524; ~109,533). The ranking is identical for averages and peaks (A &gt; D &gt; C &gt; B &gt; E), so this isn’t a one-off spike; it’s a stable pattern in the data. Practically, A and D are the main volume drivers, C provides a moderate base, while B and especially E need review to understand what’s holding results back before expecting big gains. This hierarchy is useful for setting inventory levels, staffing, and promotion intensity by store type.</w:t>
      </w:r>
    </w:p>
    <w:p w:rsidR="00000000" w:rsidDel="00000000" w:rsidP="00000000" w:rsidRDefault="00000000" w:rsidRPr="00000000" w14:paraId="00000012">
      <w:pPr>
        <w:spacing w:after="240" w:before="240" w:lineRule="auto"/>
        <w:rPr>
          <w:i w:val="1"/>
        </w:rPr>
      </w:pPr>
      <w:r w:rsidDel="00000000" w:rsidR="00000000" w:rsidRPr="00000000">
        <w:rPr>
          <w:i w:val="1"/>
        </w:rPr>
        <w:drawing>
          <wp:inline distB="114300" distT="114300" distL="114300" distR="114300">
            <wp:extent cx="5943600" cy="245110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0"/>
          <w:szCs w:val="30"/>
        </w:rPr>
      </w:pPr>
      <w:bookmarkStart w:colFirst="0" w:colLast="0" w:name="_32axmkqs8l4n" w:id="5"/>
      <w:bookmarkEnd w:id="5"/>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30"/>
          <w:szCs w:val="30"/>
        </w:rPr>
      </w:pPr>
      <w:bookmarkStart w:colFirst="0" w:colLast="0" w:name="_rdn9lxkmv7lr" w:id="6"/>
      <w:bookmarkEnd w:id="6"/>
      <w:r w:rsidDel="00000000" w:rsidR="00000000" w:rsidRPr="00000000">
        <w:rPr>
          <w:rFonts w:ascii="Times New Roman" w:cs="Times New Roman" w:eastAsia="Times New Roman" w:hAnsi="Times New Roman"/>
          <w:b w:val="1"/>
          <w:sz w:val="30"/>
          <w:szCs w:val="30"/>
          <w:rtl w:val="0"/>
        </w:rPr>
        <w:t xml:space="preserve">Store Sales Analysis</w:t>
      </w:r>
      <w:r w:rsidDel="00000000" w:rsidR="00000000" w:rsidRPr="00000000">
        <w:rPr>
          <w:rFonts w:ascii="Times New Roman" w:cs="Times New Roman" w:eastAsia="Times New Roman" w:hAnsi="Times New Roman"/>
          <w:b w:val="1"/>
          <w:sz w:val="30"/>
          <w:szCs w:val="30"/>
          <w:rtl w:val="0"/>
        </w:rPr>
        <w:t xml:space="preserve"> (2013–2017)</w:t>
      </w:r>
    </w:p>
    <w:p w:rsidR="00000000" w:rsidDel="00000000" w:rsidP="00000000" w:rsidRDefault="00000000" w:rsidRPr="00000000" w14:paraId="00000015">
      <w:pPr>
        <w:keepNext w:val="0"/>
        <w:keepLines w:val="0"/>
        <w:spacing w:after="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year-by-store-type table shows the same pattern across all types: steady growth from 2013 to 2016, then a drop in 2017. For example, Type D totals are 45,767,564 (2013), 95,604,653 (2016), and 62,084,808 (2017). Type A is 47,028,945; 91,927,694; and 63,828,562. Type C is 23,477,952; 43,212,468; and 28,539,528. Type B is 18,493,331; 40,378,592; and 27,499,780. Type E is 5,659,273; 17,531,116; and 12,266,190. A summary view in the notebook also marks 2016 as the peak year for every type (e.g., D ≈ 95.6M, A ≈ 91.9M) and 2013 as the lowest (e.g., D ≈ 45.8M, A ≈ 47.0M). The “Store Sales Analysis (2013–2017)” chart makes this rise through 2016 and the broad pullback in 2017 clear.</w:t>
      </w:r>
    </w:p>
    <w:p w:rsidR="00000000" w:rsidDel="00000000" w:rsidP="00000000" w:rsidRDefault="00000000" w:rsidRPr="00000000" w14:paraId="00000016">
      <w:pPr>
        <w:spacing w:after="240" w:before="240" w:lineRule="auto"/>
        <w:jc w:val="center"/>
        <w:rPr/>
      </w:pPr>
      <w:r w:rsidDel="00000000" w:rsidR="00000000" w:rsidRPr="00000000">
        <w:rPr/>
        <w:drawing>
          <wp:inline distB="114300" distT="114300" distL="114300" distR="114300">
            <wp:extent cx="5943600" cy="49657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spacing w:after="240" w:before="240" w:lineRule="auto"/>
        <w:rPr>
          <w:rFonts w:ascii="Times New Roman" w:cs="Times New Roman" w:eastAsia="Times New Roman" w:hAnsi="Times New Roman"/>
          <w:sz w:val="24"/>
          <w:szCs w:val="24"/>
        </w:rPr>
      </w:pPr>
      <w:bookmarkStart w:colFirst="0" w:colLast="0" w:name="_qbak7z2tohgz" w:id="7"/>
      <w:bookmarkEnd w:id="7"/>
      <w:r w:rsidDel="00000000" w:rsidR="00000000" w:rsidRPr="00000000">
        <w:rPr>
          <w:rFonts w:ascii="Times New Roman" w:cs="Times New Roman" w:eastAsia="Times New Roman" w:hAnsi="Times New Roman"/>
          <w:b w:val="1"/>
          <w:sz w:val="30"/>
          <w:szCs w:val="30"/>
          <w:rtl w:val="0"/>
        </w:rPr>
        <w:t xml:space="preserve">Seasonality</w:t>
      </w: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Monthly results show a clear, steady pattern. From 2013 to 2016, total sales grow from about 10–12M per month to ~25–30M. December is the top month each year (≈15.9M in 2013; 24.4M in 2014; 27.3M in 2015; 29.8M in 2016), and February is the lowest (≈9.8M in 2013; 12.0M in 2014; 13.8M in 2015; 22.0M in 2016). This makes the seasonal shape predictable: a strong year-end lift and a softer early-year dip. In 2017, that shape changes: May hits a new high (~27.0M), followed by a sharp August drop (~12.5M). This differs from earlier years where December led. The notebook also notes that late-2017 months may be missing, so results should be checked against the usual September–December bump once data is confirmed.</w:t>
      </w:r>
    </w:p>
    <w:p w:rsidR="00000000" w:rsidDel="00000000" w:rsidP="00000000" w:rsidRDefault="00000000" w:rsidRPr="00000000" w14:paraId="00000019">
      <w:pPr>
        <w:ind w:left="0" w:firstLine="0"/>
        <w:rPr>
          <w:b w:val="1"/>
          <w:sz w:val="34"/>
          <w:szCs w:val="3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b w:val="1"/>
          <w:sz w:val="30"/>
          <w:szCs w:val="30"/>
        </w:rPr>
      </w:pPr>
      <w:bookmarkStart w:colFirst="0" w:colLast="0" w:name="_u8dmehjk17v7" w:id="8"/>
      <w:bookmarkEnd w:id="8"/>
      <w:r w:rsidDel="00000000" w:rsidR="00000000" w:rsidRPr="00000000">
        <w:rPr>
          <w:rFonts w:ascii="Times New Roman" w:cs="Times New Roman" w:eastAsia="Times New Roman" w:hAnsi="Times New Roman"/>
          <w:b w:val="1"/>
          <w:sz w:val="30"/>
          <w:szCs w:val="30"/>
          <w:rtl w:val="0"/>
        </w:rPr>
        <w:t xml:space="preserve">Conclusion and Key Findings</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2013–2016, sales exhibit stable seasonality—consistent December peaks and February troughs—followed by a clear regime change in 2017, when May sets a new high and a sharp summer pullback appears. By day type, Additional days lead on average, Holidays generate the largest single-day spikes, Work Days are steady with room to grow, and Bridge days underperform. By store type, the hierarchy is stable at A &gt; D &gt; C &gt; B &gt; E, identifying A and D as the principal volume drivers and E as the weakest. Data quality issues were concentrated in auxiliary fields; we forward-filled (and early backfilled) missing oil prices, defaulted missing day_type to “Work Day,” removed duplicates, and standardized labels. Because sales and onpromotion are heavily right-skewed, a simple log transform improves distributional shape for modeling. Overall, the EDA provides a clean, model-ready base and highlights two priorities for forecasting: (1) accommodate the 2017 break in seasonality, and (2) focus on weak segments, Bridge days and store types B and especially E, during feature design and model evaluation.</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