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F8A2A" w14:textId="77777777" w:rsidR="003D12FC" w:rsidRPr="008D2BD9" w:rsidRDefault="003D12FC">
      <w:pPr>
        <w:spacing w:after="216" w:line="240" w:lineRule="auto"/>
        <w:jc w:val="right"/>
        <w:rPr>
          <w:rFonts w:ascii="Aptos" w:hAnsi="Aptos"/>
        </w:rPr>
      </w:pPr>
    </w:p>
    <w:p w14:paraId="5F644E37" w14:textId="77777777" w:rsidR="003D12FC" w:rsidRPr="008D2BD9" w:rsidRDefault="0018387B">
      <w:pPr>
        <w:pStyle w:val="Title"/>
        <w:bidi w:val="1"/>
        <w:rPr>
          <w:rFonts w:ascii="Aptos" w:hAnsi="Aptos"/>
        </w:rPr>
      </w:pPr>
      <w:r w:rsidRPr="008D2BD9">
        <w:rPr>
          <w:rFonts w:ascii="Aptos" w:hAnsi="Aptos"/>
          <w:rtl w:val="1"/>
        </w:rPr>
        <w:t>تقرير أداء نظام إدارة أمن المعلومات</w:t>
      </w:r>
    </w:p>
    <w:p w14:paraId="26196F78" w14:textId="77777777" w:rsidR="003D12FC" w:rsidRPr="008D2BD9" w:rsidRDefault="003D12FC">
      <w:pPr>
        <w:jc w:val="both"/>
        <w:rPr>
          <w:rFonts w:ascii="Aptos" w:hAnsi="Aptos"/>
        </w:rPr>
      </w:pPr>
    </w:p>
    <w:p w14:paraId="38D6201E" w14:textId="77777777" w:rsidR="003D12FC" w:rsidRPr="008D2BD9" w:rsidRDefault="0018387B">
      <w:pPr>
        <w:bidi w:val="1"/>
        <w:rPr>
          <w:rFonts w:ascii="Aptos" w:hAnsi="Aptos"/>
          <w:b/>
          <w:sz w:val="24"/>
          <w:szCs w:val="24"/>
        </w:rPr>
      </w:pPr>
      <w:r w:rsidRPr="008D2BD9">
        <w:rPr>
          <w:rFonts w:ascii="Aptos" w:hAnsi="Aptos"/>
          <w:sz w:val="28"/>
          <w:szCs w:val="28"/>
          <w:rtl w:val="1"/>
        </w:rPr>
        <w:t>التصنيف: للاستخدام الداخلي</w:t>
      </w:r>
    </w:p>
    <w:p w14:paraId="171D552A" w14:textId="77777777" w:rsidR="003D12FC" w:rsidRPr="008D2BD9" w:rsidRDefault="0018387B">
      <w:pPr>
        <w:bidi w:val="1"/>
        <w:jc w:val="both"/>
        <w:rPr>
          <w:rFonts w:ascii="Aptos" w:hAnsi="Aptos"/>
        </w:rPr>
      </w:pPr>
      <w:r w:rsidRPr="008D2BD9">
        <w:rPr>
          <w:rFonts w:ascii="Aptos" w:hAnsi="Aptos"/>
          <w:rtl w:val="1"/>
        </w:rPr>
        <w:t>يجوز مشاركة هذه الوثيقة مع الأطراف المهتمة ذات الصلة خارج بنك الآفاق الرقمية (جهة الاعتماد، والمدقق الخارجي، والجهات الإشرافية: مؤسسة النقد «ساما»، والهيئة السعودية للبيانات والذكاء الاصطناعي «سدايا»، والهيئة الوطنية للأمن السيبراني) عند الطلب وبموافقة مالك الوثيقة.</w:t>
      </w:r>
    </w:p>
    <w:p w14:paraId="5B58F742" w14:textId="77777777" w:rsidR="003D12FC" w:rsidRPr="008D2BD9" w:rsidRDefault="003D12FC">
      <w:pPr>
        <w:bidi w:val="1"/>
        <w:jc w:val="both"/>
        <w:rPr>
          <w:rFonts w:ascii="Aptos" w:hAnsi="Aptos"/>
        </w:rPr>
      </w:pPr>
      <w:r>
        <w:rPr>
          <w:rtl w:val="1"/>
        </w:rPr>
        <w:t>فترة التقرير: من 2026-03-01 إلى 2026-08-31 | تاريخ الإصدار: 2026-09-07 | الإصدار: 1.0 | أُعد بواسطة: فريق حوكمة أمن المعلومات | رُفع إلى: لجنة أمن المعلومات (2026-09-08) ثم مراجعة الإدارة (2026-09-10) | المرجع: ISMS-PERF-09-1 وفق البند 9.1 من ISO/IEC 27001:2022</w:t>
      </w:r>
    </w:p>
    <w:tbl>
      <w:tblPr>
        <w:tblStyle w:val="GridTable5Dark-Accent1"/>
        <w:tblW w:w="14700" w:type="dxa"/>
        <w:tblLayout w:type="fixed"/>
        <w:tblLook w:val="0620" w:firstRow="1" w:lastRow="0" w:firstColumn="0" w:lastColumn="0" w:noHBand="1" w:noVBand="1"/>
      </w:tblPr>
      <w:tblGrid>
        <w:gridCol w:w="915"/>
        <w:gridCol w:w="1125"/>
        <w:gridCol w:w="1230"/>
        <w:gridCol w:w="1155"/>
        <w:gridCol w:w="1410"/>
        <w:gridCol w:w="1260"/>
        <w:gridCol w:w="7605"/>
      </w:tblGrid>
      <w:tr w:rsidR="003D12FC" w:rsidRPr="008D2BD9" w14:paraId="4A1CC0E8" w14:textId="77777777" w:rsidTr="008D2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tcW w:w="915" w:type="dxa"/>
          </w:tcPr>
          <w:p w14:paraId="7F12985B" w14:textId="77777777" w:rsidR="003D12FC" w:rsidRPr="008D2BD9" w:rsidRDefault="0018387B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الإصدار</w:t>
            </w:r>
          </w:p>
        </w:tc>
        <w:tc>
          <w:tcPr>
            <w:tcW w:w="1125" w:type="dxa"/>
          </w:tcPr>
          <w:p w14:paraId="076BE528" w14:textId="77777777" w:rsidR="003D12FC" w:rsidRPr="008D2BD9" w:rsidRDefault="0018387B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اعتمد بواسطة</w:t>
            </w:r>
          </w:p>
        </w:tc>
        <w:tc>
          <w:tcPr>
            <w:tcW w:w="1230" w:type="dxa"/>
          </w:tcPr>
          <w:p w14:paraId="5142DA04" w14:textId="77777777" w:rsidR="003D12FC" w:rsidRPr="008D2BD9" w:rsidRDefault="0018387B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المالك</w:t>
            </w:r>
          </w:p>
        </w:tc>
        <w:tc>
          <w:tcPr>
            <w:tcW w:w="1155" w:type="dxa"/>
          </w:tcPr>
          <w:p w14:paraId="0CB2A4EC" w14:textId="77777777" w:rsidR="003D12FC" w:rsidRPr="008D2BD9" w:rsidRDefault="0018387B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تاريخ آخر تحديث</w:t>
            </w:r>
          </w:p>
          <w:p w14:paraId="3C6DA091" w14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 xml:space="preserve"> </w:t>
            </w:r>
          </w:p>
        </w:tc>
        <w:tc>
          <w:tcPr>
            <w:tcW w:w="1410" w:type="dxa"/>
          </w:tcPr>
          <w:p w14:paraId="54B5A24E" w14:textId="77777777" w:rsidR="003D12FC" w:rsidRPr="008D2BD9" w:rsidRDefault="0018387B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وتيرة المراجعة</w:t>
            </w:r>
          </w:p>
        </w:tc>
        <w:tc>
          <w:tcPr>
            <w:tcW w:w="1260" w:type="dxa"/>
          </w:tcPr>
          <w:p w14:paraId="57207D0D" w14:textId="77777777" w:rsidR="003D12FC" w:rsidRPr="008D2BD9" w:rsidRDefault="0018387B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المراجعة القادمة</w:t>
            </w:r>
          </w:p>
        </w:tc>
        <w:tc>
          <w:tcPr>
            <w:tcW w:w="7605" w:type="dxa"/>
          </w:tcPr>
          <w:p w14:paraId="146A3916" w14:textId="77777777" w:rsidR="003D12FC" w:rsidRPr="008D2BD9" w:rsidRDefault="0018387B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ملاحظات</w:t>
            </w:r>
          </w:p>
        </w:tc>
      </w:tr>
      <w:tr w:rsidR="003D12FC" w:rsidRPr="008D2BD9" w14:paraId="5452867B" w14:textId="77777777" w:rsidTr="008D2BD9">
        <w:trPr>
          <w:trHeight w:val="915"/>
        </w:trPr>
        <w:tc>
          <w:tcPr>
            <w:tcW w:w="915" w:type="dxa"/>
          </w:tcPr>
          <w:p w14:paraId="4C215BCC" w14:textId="77777777" w:rsidR="003D12FC" w:rsidRPr="008D2BD9" w:rsidRDefault="003D12FC">
            <w:pPr>
              <w:rPr>
                <w:rFonts w:ascii="Aptos" w:hAnsi="Aptos"/>
              </w:rPr>
            </w:pPr>
            <w:r>
              <w:t>1.0</w:t>
            </w:r>
          </w:p>
        </w:tc>
        <w:tc>
          <w:tcPr>
            <w:tcW w:w="1125" w:type="dxa"/>
          </w:tcPr>
          <w:p w14:paraId="36CB80F2" w14:textId="77777777" w:rsidR="003D12FC" w:rsidRPr="008D2BD9" w:rsidRDefault="003D12FC">
            <w:pPr>
              <w:bidi w:val="1"/>
              <w:rPr>
                <w:rFonts w:ascii="Aptos" w:hAnsi="Aptos"/>
              </w:rPr>
            </w:pPr>
            <w:r>
              <w:rPr>
                <w:rtl w:val="1"/>
              </w:rPr>
              <w:t>لجنة أمن المعلومات (2026-09-08) - وعُرض في مراجعة الإدارة (2026-09-10) برئاسة الرئيس التنفيذي</w:t>
            </w:r>
          </w:p>
        </w:tc>
        <w:tc>
          <w:tcPr>
            <w:tcW w:w="1230" w:type="dxa"/>
          </w:tcPr>
          <w:p w14:paraId="381E839B" w14:textId="77777777" w:rsidR="003D12FC" w:rsidRPr="008D2BD9" w:rsidRDefault="003D12FC">
            <w:pPr>
              <w:bidi w:val="1"/>
              <w:rPr>
                <w:rFonts w:ascii="Aptos" w:hAnsi="Aptos"/>
              </w:rPr>
            </w:pPr>
            <w:r>
              <w:rPr>
                <w:rtl w:val="1"/>
              </w:rPr>
              <w:t>فريق حوكمة أمن المعلومات - المالك: الأستاذة سارة الحربي (مدير إدارة أمن المعلومات)</w:t>
            </w:r>
          </w:p>
        </w:tc>
        <w:tc>
          <w:tcPr>
            <w:tcW w:w="1155" w:type="dxa"/>
          </w:tcPr>
          <w:p w14:paraId="05AB93EC" w14:textId="77777777" w:rsidR="003D12FC" w:rsidRPr="008D2BD9" w:rsidRDefault="003D12FC">
            <w:pPr>
              <w:rPr>
                <w:rFonts w:ascii="Aptos" w:hAnsi="Aptos"/>
              </w:rPr>
            </w:pPr>
            <w:r>
              <w:t>2026-09-07</w:t>
            </w:r>
          </w:p>
        </w:tc>
        <w:tc>
          <w:tcPr>
            <w:tcW w:w="1410" w:type="dxa"/>
          </w:tcPr>
          <w:p w14:paraId="22568A92" w14:textId="77777777" w:rsidR="003D12FC" w:rsidRPr="008D2BD9" w:rsidRDefault="003D12FC">
            <w:pPr>
              <w:bidi w:val="1"/>
              <w:rPr>
                <w:rFonts w:ascii="Aptos" w:hAnsi="Aptos"/>
              </w:rPr>
            </w:pPr>
            <w:r>
              <w:rPr>
                <w:rtl w:val="1"/>
              </w:rPr>
              <w:t>ربع سنوية، مع تقرير سنوي شامل لمراجعة الإدارة</w:t>
            </w:r>
          </w:p>
        </w:tc>
        <w:tc>
          <w:tcPr>
            <w:tcW w:w="1260" w:type="dxa"/>
          </w:tcPr>
          <w:p w14:paraId="6D0EC19A" w14:textId="77777777" w:rsidR="003D12FC" w:rsidRPr="008D2BD9" w:rsidRDefault="003D12FC">
            <w:pPr>
              <w:rPr>
                <w:rFonts w:ascii="Aptos" w:hAnsi="Aptos"/>
              </w:rPr>
            </w:pPr>
            <w:r>
              <w:t>2026-12-07</w:t>
            </w:r>
          </w:p>
        </w:tc>
        <w:tc>
          <w:tcPr>
            <w:tcW w:w="7605" w:type="dxa"/>
          </w:tcPr>
          <w:p w14:paraId="6A26247C" w14:textId="77777777" w:rsidR="003D12FC" w:rsidRPr="008D2BD9" w:rsidRDefault="003D12FC">
            <w:pPr>
              <w:bidi w:val="1"/>
              <w:rPr>
                <w:rFonts w:ascii="Aptos" w:hAnsi="Aptos"/>
              </w:rPr>
            </w:pPr>
            <w:r>
              <w:rPr>
                <w:rtl w:val="1"/>
              </w:rPr>
              <w:t>يغطي الفترة من 2026-03-01 إلى 2026-08-31 ويرتبط بأهداف أمن المعلومات (G2) ومؤشرات الأداء الـ22 المعتمدة.</w:t>
            </w:r>
          </w:p>
        </w:tc>
      </w:tr>
    </w:tbl>
    <w:p w14:paraId="7CFE09ED" w14:textId="77777777" w:rsidR="003D12FC" w:rsidRPr="008D2BD9" w:rsidRDefault="003D12FC">
      <w:pPr>
        <w:bidi w:val="1"/>
        <w:jc w:val="both"/>
        <w:rPr>
          <w:rFonts w:ascii="Aptos" w:hAnsi="Aptos"/>
        </w:rPr>
      </w:pPr>
      <w:r>
        <w:rPr>
          <w:rtl w:val="1"/>
        </w:rPr>
        <w:t>ملخص تنفيذي: بلغ تنفيذ ضوابط الملحق A المطبقة بالكامل 35.5% (33 من 93 ضابطاً) ونسبة النضج الموزونة 65.5%، وانخفض التعرض للمخاطر من 6 مخاطر حرجة و9 مرتفعة (قبل المعالجة) إلى صفر خطر حرج وخطرَين مرتفعَين متوقعَين بعد اكتمال المعالجة، بمتوسط إنجاز 50% لإجراءات المعالجة الـ32 وبكلفة إجمالية 21,295,000 ريال. وسُجلت 9 حوادث أمنية أُغلقت جميعها ضمن المدة (0 حرجة)، إلا أن متوسط زمن الاكتشاف (6 ساعات) ما زال بعيداً عن المستهدف (ساعتان) لغياب نظام SIEM. وأسفر التدقيق الداخلي عن 5 حالات عدم مطابقة (2 رئيسية) و6 فرص تحسين و5 نقاط قوة، وأُنجزت مراجعة الإدارة في موعدها. ومن أهداف أمن المعلومات العشرة: 5 على المسار، و2 متأخران جزئياً، و1 متأخر يتطلب تصعيداً، و2 لم يتحققا بعد. وبلغ توفر الخدمات المصرفية الرقمية 99.82% مقابل مستهدف 99.9%.</w:t>
      </w:r>
    </w:p>
    <w:p w14:paraId="255CFB8E" w14:textId="77777777" w:rsidR="008D2BD9" w:rsidRPr="008D2BD9" w:rsidRDefault="00000000" w:rsidP="008D2BD9">
      <w:pPr>
        <w:bidi w:val="1"/>
        <w:rPr>
          <w:rFonts w:ascii="Aptos" w:hAnsi="Aptos"/>
        </w:rPr>
      </w:pPr>
      <w:bookmarkStart w:id="0" w:name="_2zmqlpl0pfb5" w:colFirst="0" w:colLast="0"/>
      <w:bookmarkEnd w:id="0"/>
      <w:r w:rsidRPr="008D2BD9">
        <w:rPr>
          <w:rFonts w:ascii="Aptos" w:hAnsi="Aptos"/>
          <w:rtl w:val="1"/>
        </w:rPr>
        <w:t>مفتاح الحالات:</w:t>
      </w:r>
    </w:p>
    <w:p w14:paraId="3F188C67" w14:textId="58C8AB35" w:rsidR="008D2BD9" w:rsidRPr="008D2BD9" w:rsidRDefault="00000000" w:rsidP="008D2BD9">
      <w:pPr>
        <w:pStyle w:val="ListParagraph"/>
        <w:numPr>
          <w:ilvl w:val="0"/>
          <w:numId w:val="1"/>
        </w:numPr>
        <w:bidi w:val="1"/>
        <w:rPr>
          <w:rFonts w:ascii="Aptos" w:hAnsi="Aptos"/>
        </w:rPr>
      </w:pPr>
      <w:r w:rsidRPr="008D2BD9">
        <w:rPr>
          <w:rFonts w:ascii="Aptos" w:hAnsi="Aptos"/>
          <w:b/>
          <w:bCs/>
          <w:color w:val="00B050"/>
          <w:rtl w:val="1"/>
        </w:rPr>
        <w:t>أخضر = تحقيق المستهدف أو تجاوزه.</w:t>
      </w:r>
    </w:p>
    <w:p w14:paraId="43D2724A" w14:textId="77777777" w:rsidR="008D2BD9" w:rsidRPr="008D2BD9" w:rsidRDefault="00000000" w:rsidP="008D2BD9">
      <w:pPr>
        <w:pStyle w:val="ListParagraph"/>
        <w:numPr>
          <w:ilvl w:val="0"/>
          <w:numId w:val="1"/>
        </w:numPr>
        <w:bidi w:val="1"/>
        <w:rPr>
          <w:rFonts w:ascii="Aptos" w:hAnsi="Aptos"/>
        </w:rPr>
      </w:pPr>
      <w:r w:rsidRPr="008D2BD9">
        <w:rPr>
          <w:rFonts w:ascii="Aptos" w:hAnsi="Aptos"/>
          <w:b/>
          <w:bCs/>
          <w:color w:val="F79646" w:themeColor="accent6"/>
          <w:rtl w:val="1"/>
        </w:rPr>
        <w:t>أصفر (كهرماني) = ضمن 10% من المستهدف، أو وجود خطة معالجة نشطة ومعتمدة بمسؤول وموعد محدد.</w:t>
      </w:r>
    </w:p>
    <w:p w14:paraId="2AE653A4" w14:textId="77777777" w:rsidR="008D2BD9" w:rsidRPr="008D2BD9" w:rsidRDefault="00000000" w:rsidP="008D2BD9">
      <w:pPr>
        <w:pStyle w:val="ListParagraph"/>
        <w:numPr>
          <w:ilvl w:val="0"/>
          <w:numId w:val="1"/>
        </w:numPr>
        <w:bidi w:val="1"/>
        <w:rPr>
          <w:rFonts w:ascii="Aptos" w:hAnsi="Aptos"/>
        </w:rPr>
      </w:pPr>
      <w:r w:rsidRPr="008D2BD9">
        <w:rPr>
          <w:rFonts w:ascii="Aptos" w:hAnsi="Aptos"/>
          <w:b/>
          <w:bCs/>
          <w:color w:val="C00000"/>
          <w:rtl w:val="1"/>
        </w:rPr>
        <w:t>أحمر = أقل من المستهدف بشكل جوهري، أو عدم وجود خطة معالجة.</w:t>
      </w:r>
    </w:p>
    <w:p w14:paraId="212D1A94" w14:textId="791D156B" w:rsidR="003D12FC" w:rsidRPr="008D2BD9" w:rsidRDefault="003D12FC">
      <w:pPr>
        <w:bidi w:val="1"/>
        <w:jc w:val="both"/>
        <w:rPr>
          <w:rFonts w:ascii="Aptos" w:hAnsi="Aptos"/>
        </w:rPr>
      </w:pPr>
      <w:r>
        <w:rPr>
          <w:rtl w:val="1"/>
        </w:rPr>
        <w:t>يعرض الجدول التالي 30 مؤشراً لأداء نظام إدارة أمن المعلومات خلال فترة التقرير، مرتبة وفق مجالات القياس المعتمدة: السياسات، والامتثال للمعيار، والموردون، والتدريب والتوعية، والحوادث، وضوابط الوصول، والتدقيق، ومراجعة الإدارة، وإدارة المخاطر، وإدارة التغيير، واستمرارية الأعمال، والأصول، والثغرات، والوثائق، وإلغاء الصلاحيات.</w:t>
      </w:r>
    </w:p>
    <w:tbl>
      <w:tblPr>
        <w:tblStyle w:val="ListTable3-Accent1"/>
        <w:tblW w:w="5000" w:type="pct"/>
        <w:tblLook w:val="0620" w:firstRow="1" w:lastRow="0" w:firstColumn="0" w:lastColumn="0" w:noHBand="1" w:noVBand="1"/>
      </w:tblPr>
      <w:tblGrid>
        <w:gridCol w:w="1498"/>
        <w:gridCol w:w="1609"/>
        <w:gridCol w:w="1634"/>
        <w:gridCol w:w="1558"/>
        <w:gridCol w:w="1435"/>
        <w:gridCol w:w="1741"/>
        <w:gridCol w:w="2540"/>
        <w:gridCol w:w="1128"/>
        <w:gridCol w:w="805"/>
      </w:tblGrid>
      <w:tr w:rsidR="008D2BD9" w:rsidRPr="008D2BD9" w14:paraId="077B24EE" w14:textId="77777777" w:rsidTr="008D2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5"/>
        </w:trPr>
        <w:tc>
          <w:tcPr>
            <w:tcW w:w="418" w:type="pct"/>
          </w:tcPr>
          <w:p w14:paraId="5A61606D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المؤشر</w:t>
            </w:r>
          </w:p>
        </w:tc>
        <w:tc>
          <w:tcPr>
            <w:tcW w:w="459" w:type="pct"/>
          </w:tcPr>
          <w:p w14:paraId="64BD2C6F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الوصف</w:t>
            </w:r>
          </w:p>
        </w:tc>
        <w:tc>
          <w:tcPr>
            <w:tcW w:w="306" w:type="pct"/>
          </w:tcPr>
          <w:p w14:paraId="485E7B4F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التكرار</w:t>
            </w:r>
          </w:p>
        </w:tc>
        <w:tc>
          <w:tcPr>
            <w:tcW w:w="497" w:type="pct"/>
          </w:tcPr>
          <w:p w14:paraId="6BAD6F7F" w14:textId="1F7EE71A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المستهدف / الحد</w:t>
            </w:r>
          </w:p>
        </w:tc>
        <w:tc>
          <w:tcPr>
            <w:tcW w:w="382" w:type="pct"/>
          </w:tcPr>
          <w:p w14:paraId="779B4741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مصدر البيانات</w:t>
            </w:r>
          </w:p>
        </w:tc>
        <w:tc>
          <w:tcPr>
            <w:tcW w:w="536" w:type="pct"/>
          </w:tcPr>
          <w:p w14:paraId="6B9DBBDF" w14:textId="6BD42735" w:rsidR="008D2BD9" w:rsidRPr="008D2BD9" w:rsidRDefault="008D2BD9">
            <w:pPr>
              <w:bidi w:val="1"/>
              <w:rPr>
                <w:rFonts w:ascii="Aptos" w:hAnsi="Aptos"/>
                <w:b w:val="0"/>
                <w:sz w:val="18"/>
                <w:szCs w:val="18"/>
              </w:rPr>
            </w:pPr>
            <w:r w:rsidRPr="008D2BD9">
              <w:rPr>
                <w:rFonts w:ascii="Aptos" w:hAnsi="Aptos"/>
                <w:bCs w:val="0"/>
                <w:sz w:val="18"/>
                <w:szCs w:val="18"/>
                <w:rtl w:val="1"/>
              </w:rPr>
              <w:t>الحالة (أخضر/أصفر/أحمر)</w:t>
            </w:r>
          </w:p>
        </w:tc>
        <w:tc>
          <w:tcPr>
            <w:tcW w:w="1400" w:type="pct"/>
          </w:tcPr>
          <w:p w14:paraId="1B098D04" w14:textId="0906F97C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النتائج</w:t>
            </w:r>
          </w:p>
        </w:tc>
        <w:tc>
          <w:tcPr>
            <w:tcW w:w="501" w:type="pct"/>
          </w:tcPr>
          <w:p w14:paraId="5873846E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الملاحظات</w:t>
            </w:r>
          </w:p>
        </w:tc>
        <w:tc>
          <w:tcPr>
            <w:tcW w:w="501" w:type="pct"/>
          </w:tcPr>
          <w:p w14:paraId="62AC4FB8" w14:textId="694E4709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آخر مراجعة</w:t>
            </w:r>
          </w:p>
        </w:tc>
      </w:tr>
      <w:tr w:rsidR="008D2BD9" w:rsidRPr="008D2BD9" w14:paraId="43321F4C" w14:textId="77777777" w:rsidTr="008D2BD9">
        <w:trPr>
          <w:trHeight w:val="2435"/>
        </w:trPr>
        <w:tc>
          <w:tcPr>
            <w:tcW w:w="418" w:type="pct"/>
          </w:tcPr>
          <w:p w14:paraId="1A448532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commentRangeStart w:id="1"/>
            <w:r w:rsidRPr="008D2BD9">
              <w:rPr>
                <w:rFonts w:ascii="Aptos" w:hAnsi="Aptos"/>
                <w:b/>
                <w:sz w:val="18"/>
                <w:szCs w:val="18"/>
                <w:rtl w:val="1"/>
              </w:rPr>
              <w:t>امتثال الإقرار بالسياسات</w:t>
            </w:r>
            <w:commentRangeEnd w:id="1"/>
          </w:p>
        </w:tc>
        <w:tc>
          <w:tcPr>
            <w:tcW w:w="459" w:type="pct"/>
          </w:tcPr>
          <w:p w14:paraId="51B6949F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نسبة الموظفين الذين أقرّوا بالسياسات الرئيسية (سياسة أمن المعلومات، سياسة الاستخدام المقبول، سياسة تصنيف البيانات).</w:t>
            </w:r>
          </w:p>
        </w:tc>
        <w:tc>
          <w:tcPr>
            <w:tcW w:w="306" w:type="pct"/>
          </w:tcPr>
          <w:p w14:paraId="64708036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ربع سنوية</w:t>
            </w:r>
          </w:p>
        </w:tc>
        <w:tc>
          <w:tcPr>
            <w:tcW w:w="497" w:type="pct"/>
          </w:tcPr>
          <w:p w14:paraId="4AF37966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100% إقرار</w:t>
            </w:r>
          </w:p>
        </w:tc>
        <w:tc>
          <w:tcPr>
            <w:tcW w:w="382" w:type="pct"/>
          </w:tcPr>
          <w:p w14:paraId="79851977" w14:textId="62748964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نظام الموارد البشرية + نظام إدارة التعلم (LMS)</w:t>
            </w:r>
          </w:p>
        </w:tc>
        <w:tc>
          <w:tcPr>
            <w:tcW w:w="536" w:type="pct"/>
          </w:tcPr>
          <w:p w14:paraId="54872F7D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أصفر</w:t>
            </w:r>
          </w:p>
        </w:tc>
        <w:tc>
          <w:tcPr>
            <w:tcW w:w="1400" w:type="pct"/>
          </w:tcPr>
          <w:p w14:paraId="022EDB27" w14:textId="1D3D5233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92% (2,300 من 2,500 موظف) حتى 2026-08-31؛ وتركّز التأخر في إدارة التسويق (65%) وموظفي الفروع (71%).</w:t>
            </w:r>
          </w:p>
        </w:tc>
        <w:tc>
          <w:tcPr>
            <w:tcW w:w="501" w:type="pct"/>
          </w:tcPr>
          <w:p w14:paraId="5A9A1074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حملة تذكير أسبوعية اعتباراً من 2026-09-15، وربط الإقرار بتقييم الأداء السنوي.</w:t>
            </w:r>
          </w:p>
        </w:tc>
        <w:tc>
          <w:tcPr>
            <w:tcW w:w="501" w:type="pct"/>
          </w:tcPr>
          <w:p w14:paraId="63760F3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143B6238" w14:textId="77777777" w:rsidTr="008D2BD9">
        <w:trPr>
          <w:trHeight w:val="1610"/>
        </w:trPr>
        <w:tc>
          <w:tcPr>
            <w:tcW w:w="418" w:type="pct"/>
          </w:tcPr>
          <w:p w14:paraId="74E7858A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أ. سياسة أمن المعلومات</w:t>
            </w:r>
          </w:p>
        </w:tc>
        <w:tc>
          <w:tcPr>
            <w:tcW w:w="459" w:type="pct"/>
          </w:tcPr>
          <w:p w14:paraId="70FB04A7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إقرار جميع الموظفين بسياسة أمن المعلومات الإصدار 2.0 المعتمدة من مجلس الإدارة في 2026-02-15.</w:t>
            </w:r>
          </w:p>
        </w:tc>
        <w:tc>
          <w:tcPr>
            <w:tcW w:w="306" w:type="pct"/>
          </w:tcPr>
          <w:p w14:paraId="68EE6EE1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ربع سنوية</w:t>
            </w:r>
          </w:p>
        </w:tc>
        <w:tc>
          <w:tcPr>
            <w:tcW w:w="497" w:type="pct"/>
          </w:tcPr>
          <w:p w14:paraId="1E20A37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w14:paraId="652B5A54" w14:textId="2BC79CF8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نظام إدارة التعلم (LMS) ونموذج الإقرار الإلكتروني</w:t>
            </w:r>
          </w:p>
        </w:tc>
        <w:tc>
          <w:tcPr>
            <w:tcW w:w="536" w:type="pct"/>
          </w:tcPr>
          <w:p w14:paraId="654A70FA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أصفر</w:t>
            </w:r>
          </w:p>
        </w:tc>
        <w:tc>
          <w:tcPr>
            <w:tcW w:w="1400" w:type="pct"/>
          </w:tcPr>
          <w:p w14:paraId="4B352367" w14:textId="6135BAC1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94% (2,350 من 2,500 موظف) أقرّوا خلال 30 يوماً من النشر.</w:t>
            </w:r>
          </w:p>
        </w:tc>
        <w:tc>
          <w:tcPr>
            <w:tcW w:w="501" w:type="pct"/>
          </w:tcPr>
          <w:p w14:paraId="509C0CEB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150 موظفاً في إجازة أو مهام ميدانية؛ الإقرار مؤجل حتى 2026-09-30 بمتابعة الموارد البشرية.</w:t>
            </w:r>
          </w:p>
        </w:tc>
        <w:tc>
          <w:tcPr>
            <w:tcW w:w="501" w:type="pct"/>
          </w:tcPr>
          <w:p w14:paraId="0DA87FCC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0A96D46B" w14:textId="77777777" w:rsidTr="008D2BD9">
        <w:trPr>
          <w:trHeight w:val="1610"/>
        </w:trPr>
        <w:tc>
          <w:tcPr>
            <w:tcW w:w="418" w:type="pct"/>
          </w:tcPr>
          <w:p w14:paraId="4533BF28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ب. سياسة الاستخدام المقبول</w:t>
            </w:r>
          </w:p>
        </w:tc>
        <w:tc>
          <w:tcPr>
            <w:tcW w:w="459" w:type="pct"/>
          </w:tcPr>
          <w:p w14:paraId="6D393FF0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إقرار جميع الموظفين بسياسة الاستخدام المقبول لأصول المعلومات (ISMS-DOC-A05-10-1).</w:t>
            </w:r>
          </w:p>
        </w:tc>
        <w:tc>
          <w:tcPr>
            <w:tcW w:w="306" w:type="pct"/>
          </w:tcPr>
          <w:p w14:paraId="4856D54B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ربع سنوية</w:t>
            </w:r>
          </w:p>
        </w:tc>
        <w:tc>
          <w:tcPr>
            <w:tcW w:w="497" w:type="pct"/>
          </w:tcPr>
          <w:p w14:paraId="464188D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w14:paraId="5B2C98B2" w14:textId="23DD8F31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نظام إدارة التعلم (LMS) + سجلات الموارد البشرية</w:t>
            </w:r>
          </w:p>
        </w:tc>
        <w:tc>
          <w:tcPr>
            <w:tcW w:w="536" w:type="pct"/>
          </w:tcPr>
          <w:p w14:paraId="030CE6F0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أصفر</w:t>
            </w:r>
          </w:p>
        </w:tc>
        <w:tc>
          <w:tcPr>
            <w:tcW w:w="1400" w:type="pct"/>
          </w:tcPr>
          <w:p w14:paraId="58EABBA8" w14:textId="73DD121D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90% (2,250 من 2,500 موظف).</w:t>
            </w:r>
          </w:p>
        </w:tc>
        <w:tc>
          <w:tcPr>
            <w:tcW w:w="501" w:type="pct"/>
          </w:tcPr>
          <w:p w14:paraId="402DF173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أُعيدت صياغة السياسة في 2026-02-22 وأُرفقت بحملة توعية؛ ويُعد الإقرار شرطاً لاستمرار صلاحية الوصول.</w:t>
            </w:r>
          </w:p>
        </w:tc>
        <w:tc>
          <w:tcPr>
            <w:tcW w:w="501" w:type="pct"/>
          </w:tcPr>
          <w:p w14:paraId="3D94A55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38015BBC" w14:textId="77777777" w:rsidTr="008D2BD9">
        <w:trPr>
          <w:trHeight w:val="1610"/>
        </w:trPr>
        <w:tc>
          <w:tcPr>
            <w:tcW w:w="418" w:type="pct"/>
          </w:tcPr>
          <w:p w14:paraId="575FC4FE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ج. سياسة الخدمات السحابية</w:t>
            </w:r>
          </w:p>
        </w:tc>
        <w:tc>
          <w:tcPr>
            <w:tcW w:w="459" w:type="pct"/>
          </w:tcPr>
          <w:p w14:paraId="10151FFD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إقرار موظفي التقنية والمشتريات بسياسة استخدام الخدمات السحابية ومتطلبات الخروج منها (A.5.23).</w:t>
            </w:r>
          </w:p>
        </w:tc>
        <w:tc>
          <w:tcPr>
            <w:tcW w:w="306" w:type="pct"/>
          </w:tcPr>
          <w:p w14:paraId="1578ECFA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نصف سنوية</w:t>
            </w:r>
          </w:p>
        </w:tc>
        <w:tc>
          <w:tcPr>
            <w:tcW w:w="497" w:type="pct"/>
          </w:tcPr>
          <w:p w14:paraId="5B27F1E9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100% للفئة المشمولة</w:t>
            </w:r>
          </w:p>
        </w:tc>
        <w:tc>
          <w:tcPr>
            <w:tcW w:w="382" w:type="pct"/>
          </w:tcPr>
          <w:p w14:paraId="26784F3D" w14:textId="05CB0E04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سجل سياسات تقنية المعلومات + LMS</w:t>
            </w:r>
          </w:p>
        </w:tc>
        <w:tc>
          <w:tcPr>
            <w:tcW w:w="536" w:type="pct"/>
          </w:tcPr>
          <w:p w14:paraId="39C52605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أصفر</w:t>
            </w:r>
          </w:p>
        </w:tc>
        <w:tc>
          <w:tcPr>
            <w:tcW w:w="1400" w:type="pct"/>
          </w:tcPr>
          <w:p w14:paraId="70849799" w14:textId="2104372B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85% (170 من 200 موظف في إدارتي التقنية والمشتريات).</w:t>
            </w:r>
          </w:p>
        </w:tc>
        <w:tc>
          <w:tcPr>
            <w:tcW w:w="501" w:type="pct"/>
          </w:tcPr>
          <w:p w14:paraId="29B8AA84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السياسة معتمدة ضمن حزمة الوثائق في 2026-06-01؛ الإقرار الإلزامي قبل 2026-10-31.</w:t>
            </w:r>
          </w:p>
        </w:tc>
        <w:tc>
          <w:tcPr>
            <w:tcW w:w="501" w:type="pct"/>
          </w:tcPr>
          <w:p w14:paraId="2C724D0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4BDD60E4" w14:textId="77777777" w:rsidTr="008D2BD9">
        <w:trPr>
          <w:trHeight w:val="1880"/>
        </w:trPr>
        <w:tc>
          <w:tcPr>
            <w:tcW w:w="418" w:type="pct"/>
          </w:tcPr>
          <w:p w14:paraId="27290780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د. سياسة التطوير الآمن</w:t>
            </w:r>
          </w:p>
        </w:tc>
        <w:tc>
          <w:tcPr>
            <w:tcW w:w="459" w:type="pct"/>
          </w:tcPr>
          <w:p w14:paraId="6C1188EC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التزام فريق الهندسة والتطوير بسياسة التطوير الآمن ودورة حياة التطوير الآمنة (A.8.25 وA.8.28).</w:t>
            </w:r>
          </w:p>
        </w:tc>
        <w:tc>
          <w:tcPr>
            <w:tcW w:w="306" w:type="pct"/>
          </w:tcPr>
          <w:p w14:paraId="77BEB440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ربع سنوية</w:t>
            </w:r>
          </w:p>
        </w:tc>
        <w:tc>
          <w:tcPr>
            <w:tcW w:w="497" w:type="pct"/>
          </w:tcPr>
          <w:p w14:paraId="6A15F87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w14:paraId="67E9680F" w14:textId="59E5604E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سجل التدريب + مستودع GitLab</w:t>
            </w:r>
          </w:p>
        </w:tc>
        <w:tc>
          <w:tcPr>
            <w:tcW w:w="536" w:type="pct"/>
          </w:tcPr>
          <w:p w14:paraId="35215B2A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أصفر</w:t>
            </w:r>
          </w:p>
        </w:tc>
        <w:tc>
          <w:tcPr>
            <w:tcW w:w="1400" w:type="pct"/>
          </w:tcPr>
          <w:p w14:paraId="0049F333" w14:textId="5B505D8A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84% (21 من 25 مطوراً) أكملوا تدريب الترميز الآمن وOWASP Top 10.</w:t>
            </w:r>
          </w:p>
        </w:tc>
        <w:tc>
          <w:tcPr>
            <w:tcW w:w="501" w:type="pct"/>
          </w:tcPr>
          <w:p w14:paraId="3003A6A6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4 مطورين التحقوا في أغسطس 2026؛ التدريب مجدول في 2026-09-20 مع مراجعة كود أمنية إلزامية.</w:t>
            </w:r>
          </w:p>
        </w:tc>
        <w:tc>
          <w:tcPr>
            <w:tcW w:w="501" w:type="pct"/>
          </w:tcPr>
          <w:p w14:paraId="171CEDD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54B11322" w14:textId="77777777" w:rsidTr="008D2BD9">
        <w:trPr>
          <w:trHeight w:val="1610"/>
        </w:trPr>
        <w:tc>
          <w:tcPr>
            <w:tcW w:w="418" w:type="pct"/>
          </w:tcPr>
          <w:p w14:paraId="06DAFA7A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 w:val="1"/>
              </w:rPr>
              <w:t>نسبة الامتثال لـISO/IEC 27001</w:t>
            </w:r>
          </w:p>
        </w:tc>
        <w:tc>
          <w:tcPr>
            <w:tcW w:w="459" w:type="pct"/>
          </w:tcPr>
          <w:p w14:paraId="19C7C029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نسبة ضوابط ISO/IEC 27001:2022 القابلة للتطبيق المنفذة والتشغيلية فعلياً.</w:t>
            </w:r>
          </w:p>
        </w:tc>
        <w:tc>
          <w:tcPr>
            <w:tcW w:w="306" w:type="pct"/>
          </w:tcPr>
          <w:p w14:paraId="1F23B452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سنوية</w:t>
            </w:r>
          </w:p>
        </w:tc>
        <w:tc>
          <w:tcPr>
            <w:tcW w:w="497" w:type="pct"/>
          </w:tcPr>
          <w:p w14:paraId="37C975F2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تنفيذ 100% من الضوابط ضمن النطاق بحلول 2027-06-30</w:t>
            </w:r>
          </w:p>
        </w:tc>
        <w:tc>
          <w:tcPr>
            <w:tcW w:w="382" w:type="pct"/>
          </w:tcPr>
          <w:p w14:paraId="46BE9BAE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بيان قابلية التطبيق ونتائج التدقيق وسجل حالات عدم المطابقة</w:t>
            </w:r>
          </w:p>
        </w:tc>
        <w:tc>
          <w:tcPr>
            <w:tcW w:w="536" w:type="pct"/>
          </w:tcPr>
          <w:p w14:paraId="01F43683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أحمر</w:t>
            </w:r>
          </w:p>
        </w:tc>
        <w:tc>
          <w:tcPr>
            <w:tcW w:w="1400" w:type="pct"/>
          </w:tcPr>
          <w:p w14:paraId="19674917" w14:textId="5BB3208A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مطبق بالكامل 35.5% (33 من 93 ضابطاً)، ونسبة النضج الموزونة 65.5% (جزئي 51، قيد التنفيذ 6، مخطط 2، غير مطبق 1). نتيجة التدقيق الداخلي: النظام منفذ جزئياً وفعال في جوانبه الأساسية.</w:t>
            </w:r>
          </w:p>
        </w:tc>
        <w:tc>
          <w:tcPr>
            <w:tcW w:w="501" w:type="pct"/>
          </w:tcPr>
          <w:p w14:paraId="2A6BB9E5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لا يُتقدم للاعتماد قبل إغلاق حالتي عدم المطابقة الرئيسيتين (NC-01 المراقبة الأمنية وNC-03 بيانات الاختبار)؛ التدقيق الخارجي المستهدف في الربع الأول من 2027.</w:t>
            </w:r>
          </w:p>
        </w:tc>
        <w:tc>
          <w:tcPr>
            <w:tcW w:w="501" w:type="pct"/>
          </w:tcPr>
          <w:p w14:paraId="01C7450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662EE530" w14:textId="77777777" w:rsidTr="008D2BD9">
        <w:trPr>
          <w:trHeight w:val="1610"/>
        </w:trPr>
        <w:tc>
          <w:tcPr>
            <w:tcW w:w="418" w:type="pct"/>
          </w:tcPr>
          <w:p w14:paraId="2837F285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 w:val="1"/>
              </w:rPr>
              <w:t>مراجعات الموردين</w:t>
            </w:r>
          </w:p>
        </w:tc>
        <w:tc>
          <w:tcPr>
            <w:tcW w:w="459" w:type="pct"/>
          </w:tcPr>
          <w:p w14:paraId="055FA9C4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نسبة الموردين المعالجين لبيانات البنك الذين خضعوا لمراجعة أمنية وفق الجدول المعتمد.</w:t>
            </w:r>
          </w:p>
        </w:tc>
        <w:tc>
          <w:tcPr>
            <w:tcW w:w="306" w:type="pct"/>
          </w:tcPr>
          <w:p w14:paraId="420088B0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سنوية</w:t>
            </w:r>
          </w:p>
        </w:tc>
        <w:tc>
          <w:tcPr>
            <w:tcW w:w="497" w:type="pct"/>
          </w:tcPr>
          <w:p w14:paraId="2988A28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w14:paraId="79CFDFAB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جدول مراجعات الموردين (إدارة المشتريات والعقود)</w:t>
            </w:r>
          </w:p>
        </w:tc>
        <w:tc>
          <w:tcPr>
            <w:tcW w:w="536" w:type="pct"/>
          </w:tcPr>
          <w:p w14:paraId="612E032B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أحمر</w:t>
            </w:r>
          </w:p>
        </w:tc>
        <w:tc>
          <w:tcPr>
            <w:tcW w:w="1400" w:type="pct"/>
          </w:tcPr>
          <w:p w14:paraId="36C4A007" w14:textId="10DBF40B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33% (3 من 9 موردين حرجين) خضعوا لتقييم أمني ميداني.</w:t>
            </w:r>
          </w:p>
        </w:tc>
        <w:tc>
          <w:tcPr>
            <w:tcW w:w="501" w:type="pct"/>
          </w:tcPr>
          <w:p w14:paraId="303BFE97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جدولة الموردين الستة المتبقين في الربع الرابع 2026 ضمن فرصة التحسين OFI-03 (استحقاق 2027-01-31).</w:t>
            </w:r>
          </w:p>
        </w:tc>
        <w:tc>
          <w:tcPr>
            <w:tcW w:w="501" w:type="pct"/>
          </w:tcPr>
          <w:p w14:paraId="08A2BCB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6E5BDC84" w14:textId="77777777" w:rsidTr="008D2BD9">
        <w:trPr>
          <w:trHeight w:val="1340"/>
        </w:trPr>
        <w:tc>
          <w:tcPr>
            <w:tcW w:w="418" w:type="pct"/>
          </w:tcPr>
          <w:p w14:paraId="301B566E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 w:val="1"/>
              </w:rPr>
              <w:t>تقييمات مخاطر الموردين</w:t>
            </w:r>
          </w:p>
        </w:tc>
        <w:tc>
          <w:tcPr>
            <w:tcW w:w="459" w:type="pct"/>
          </w:tcPr>
          <w:p w14:paraId="23CF7455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نسبة الموردين الحرجين الذين لديهم تقييم مخاطر محدث ضمن الدورة السنوية.</w:t>
            </w:r>
          </w:p>
        </w:tc>
        <w:tc>
          <w:tcPr>
            <w:tcW w:w="306" w:type="pct"/>
          </w:tcPr>
          <w:p w14:paraId="68AEA776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سنوية</w:t>
            </w:r>
          </w:p>
        </w:tc>
        <w:tc>
          <w:tcPr>
            <w:tcW w:w="497" w:type="pct"/>
          </w:tcPr>
          <w:p w14:paraId="0F5B37C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w14:paraId="3976B171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سجل تقييم مخاطر الموردين</w:t>
            </w:r>
          </w:p>
        </w:tc>
        <w:tc>
          <w:tcPr>
            <w:tcW w:w="536" w:type="pct"/>
          </w:tcPr>
          <w:p w14:paraId="51B3CDDD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أصفر</w:t>
            </w:r>
          </w:p>
        </w:tc>
        <w:tc>
          <w:tcPr>
            <w:tcW w:w="1400" w:type="pct"/>
          </w:tcPr>
          <w:p w14:paraId="19821D16" w14:textId="3D3C69CE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67% (6 من 9 موردين حرجين) لديهم تقييم مخاطر محدث لعام 2026.</w:t>
            </w:r>
          </w:p>
        </w:tc>
        <w:tc>
          <w:tcPr>
            <w:tcW w:w="501" w:type="pct"/>
          </w:tcPr>
          <w:p w14:paraId="2FA29116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استكمال مصفوفة تصنيف موحدة (أثر × اعتمادية) لجميع الموردين قبل 2027-01-31.</w:t>
            </w:r>
          </w:p>
        </w:tc>
        <w:tc>
          <w:tcPr>
            <w:tcW w:w="501" w:type="pct"/>
          </w:tcPr>
          <w:p w14:paraId="0AA4C66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10666EEB" w14:textId="77777777" w:rsidTr="008D2BD9">
        <w:trPr>
          <w:trHeight w:val="785"/>
        </w:trPr>
        <w:tc>
          <w:tcPr>
            <w:tcW w:w="418" w:type="pct"/>
          </w:tcPr>
          <w:p w14:paraId="5527AD43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 w:val="1"/>
              </w:rPr>
              <w:t>التدريب والتوعية</w:t>
            </w:r>
          </w:p>
        </w:tc>
        <w:tc>
          <w:tcPr>
            <w:tcW w:w="459" w:type="pct"/>
          </w:tcPr>
          <w:p w14:paraId="6E2EC02C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مؤشرات برامج التدريب والتوعية الأمنية لموظفي البنك (2,500 موظف) والمتعاقدين، وفق خطة التوعية المعتمدة في 2026-05-01.</w:t>
            </w:r>
          </w:p>
        </w:tc>
        <w:tc>
          <w:tcPr>
            <w:tcW w:w="306" w:type="pct"/>
          </w:tcPr>
          <w:p w14:paraId="128F5A3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497" w:type="pct"/>
          </w:tcPr>
          <w:p w14:paraId="208497C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382" w:type="pct"/>
          </w:tcPr>
          <w:p w14:paraId="19BF255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536" w:type="pct"/>
          </w:tcPr>
          <w:p w14:paraId="27C00BC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400" w:type="pct"/>
          </w:tcPr>
          <w:p w14:paraId="5508BDCB" w14:textId="79ED82CE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501" w:type="pct"/>
          </w:tcPr>
          <w:p w14:paraId="4B65F54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501" w:type="pct"/>
          </w:tcPr>
          <w:p w14:paraId="217E96A8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8D2BD9" w:rsidRPr="008D2BD9" w14:paraId="159A24F4" w14:textId="77777777" w:rsidTr="008D2BD9">
        <w:trPr>
          <w:trHeight w:val="1610"/>
        </w:trPr>
        <w:tc>
          <w:tcPr>
            <w:tcW w:w="418" w:type="pct"/>
          </w:tcPr>
          <w:p w14:paraId="44B9F693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أ. مقدمة في ISO/IEC 27001 وأمن المعلومات</w:t>
            </w:r>
          </w:p>
        </w:tc>
        <w:tc>
          <w:tcPr>
            <w:tcW w:w="459" w:type="pct"/>
          </w:tcPr>
          <w:p w14:paraId="2D355100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نسبة الموظفين الذين أكملوا برنامج التوعية الأساسي الإلزامي (سياسات البنك، التصنيف، كلمات المرور، التصيد، الإبلاغ عن الحوادث، خصوصية البيانات).</w:t>
            </w:r>
          </w:p>
        </w:tc>
        <w:tc>
          <w:tcPr>
            <w:tcW w:w="306" w:type="pct"/>
          </w:tcPr>
          <w:p w14:paraId="7171408B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ربع سنوية</w:t>
            </w:r>
          </w:p>
        </w:tc>
        <w:tc>
          <w:tcPr>
            <w:tcW w:w="497" w:type="pct"/>
          </w:tcPr>
          <w:p w14:paraId="20C602A5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100% (و95% كحد أدنى مرحلي بحلول 2026-12-31)</w:t>
            </w:r>
          </w:p>
        </w:tc>
        <w:tc>
          <w:tcPr>
            <w:tcW w:w="382" w:type="pct"/>
          </w:tcPr>
          <w:p w14:paraId="67602804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نظام إدارة التعلم (LMS)</w:t>
            </w:r>
          </w:p>
        </w:tc>
        <w:tc>
          <w:tcPr>
            <w:tcW w:w="536" w:type="pct"/>
          </w:tcPr>
          <w:p w14:paraId="7FF120D1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أصفر</w:t>
            </w:r>
          </w:p>
        </w:tc>
        <w:tc>
          <w:tcPr>
            <w:tcW w:w="1400" w:type="pct"/>
          </w:tcPr>
          <w:p w14:paraId="6EEC0481" w14:textId="0D909D59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78% (1,950 من 2,500 موظف) حتى 2026-08-31، مقابل خط أساس 62% في 2026-01-31.</w:t>
            </w:r>
          </w:p>
        </w:tc>
        <w:tc>
          <w:tcPr>
            <w:tcW w:w="501" w:type="pct"/>
          </w:tcPr>
          <w:p w14:paraId="6F75CE02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حملات تذكير أسبوعية وربط الإكمال بتقييم الأداء؛ التركيز على موظفي الفروع (71%).</w:t>
            </w:r>
          </w:p>
        </w:tc>
        <w:tc>
          <w:tcPr>
            <w:tcW w:w="501" w:type="pct"/>
          </w:tcPr>
          <w:p w14:paraId="156D1A6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5DA9381E" w14:textId="77777777" w:rsidTr="008D2BD9">
        <w:trPr>
          <w:trHeight w:val="1610"/>
        </w:trPr>
        <w:tc>
          <w:tcPr>
            <w:tcW w:w="418" w:type="pct"/>
          </w:tcPr>
          <w:p w14:paraId="55886813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ب. التدريب على حماية البيانات الشخصية</w:t>
            </w:r>
          </w:p>
        </w:tc>
        <w:tc>
          <w:tcPr>
            <w:tcW w:w="459" w:type="pct"/>
          </w:tcPr>
          <w:p w14:paraId="6D0D8D05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نسبة الموظفين المعنيين الذين أكملوا التدريب على نظام حماية البيانات الشخصية (سدايا) ومتطلبات الخصوصية (A.5.34).</w:t>
            </w:r>
          </w:p>
        </w:tc>
        <w:tc>
          <w:tcPr>
            <w:tcW w:w="306" w:type="pct"/>
          </w:tcPr>
          <w:p w14:paraId="3BE7FD24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ربع سنوية</w:t>
            </w:r>
          </w:p>
        </w:tc>
        <w:tc>
          <w:tcPr>
            <w:tcW w:w="497" w:type="pct"/>
          </w:tcPr>
          <w:p w14:paraId="4DE71F86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100% للفئات المعنية</w:t>
            </w:r>
          </w:p>
        </w:tc>
        <w:tc>
          <w:tcPr>
            <w:tcW w:w="382" w:type="pct"/>
          </w:tcPr>
          <w:p w14:paraId="36B14287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منصة التدريب + سجل الخصوصية</w:t>
            </w:r>
          </w:p>
        </w:tc>
        <w:tc>
          <w:tcPr>
            <w:tcW w:w="536" w:type="pct"/>
          </w:tcPr>
          <w:p w14:paraId="65DF7E07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أصفر</w:t>
            </w:r>
          </w:p>
        </w:tc>
        <w:tc>
          <w:tcPr>
            <w:tcW w:w="1400" w:type="pct"/>
          </w:tcPr>
          <w:p w14:paraId="49520FA2" w14:textId="6084E8AF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81% (1,620 من 2,000 موظف معني) بعد تحديث المحتوى في 2026-05.</w:t>
            </w:r>
          </w:p>
        </w:tc>
        <w:tc>
          <w:tcPr>
            <w:tcW w:w="501" w:type="pct"/>
          </w:tcPr>
          <w:p w14:paraId="6C2E847A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يشمل التعامل مع بيانات العملاء والبيانات البيومترية وسجلات المكالمات؛ ويُربط بحوادث تسرب البيانات في خطة التوعية.</w:t>
            </w:r>
          </w:p>
        </w:tc>
        <w:tc>
          <w:tcPr>
            <w:tcW w:w="501" w:type="pct"/>
          </w:tcPr>
          <w:p w14:paraId="4F9D393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652CD000" w14:textId="77777777" w:rsidTr="008D2BD9">
        <w:trPr>
          <w:trHeight w:val="1340"/>
        </w:trPr>
        <w:tc>
          <w:tcPr>
            <w:tcW w:w="418" w:type="pct"/>
          </w:tcPr>
          <w:p w14:paraId="3FDAACC4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ج. اتفاقيات سرية المتعاقدين</w:t>
            </w:r>
          </w:p>
        </w:tc>
        <w:tc>
          <w:tcPr>
            <w:tcW w:w="459" w:type="pct"/>
          </w:tcPr>
          <w:p w14:paraId="4322BB30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نسبة المتعاقدين والموردين الذين وقّعوا اتفاقيات سرية أو عدم إفصاح (A.6.6).</w:t>
            </w:r>
          </w:p>
        </w:tc>
        <w:tc>
          <w:tcPr>
            <w:tcW w:w="306" w:type="pct"/>
          </w:tcPr>
          <w:p w14:paraId="2673EE11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سنوية</w:t>
            </w:r>
          </w:p>
        </w:tc>
        <w:tc>
          <w:tcPr>
            <w:tcW w:w="497" w:type="pct"/>
          </w:tcPr>
          <w:p w14:paraId="4880BC8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w14:paraId="0DCE0D72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السجلات القانونية والموارد البشرية</w:t>
            </w:r>
          </w:p>
        </w:tc>
        <w:tc>
          <w:tcPr>
            <w:tcW w:w="536" w:type="pct"/>
          </w:tcPr>
          <w:p w14:paraId="01D9AE97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أخضر</w:t>
            </w:r>
          </w:p>
        </w:tc>
        <w:tc>
          <w:tcPr>
            <w:tcW w:w="1400" w:type="pct"/>
          </w:tcPr>
          <w:p w14:paraId="34E685F0" w14:textId="49F2C76E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100% (142 متعاقداً و9 موردين حرجين) - لا توجد حالات استثناء.</w:t>
            </w:r>
          </w:p>
        </w:tc>
        <w:tc>
          <w:tcPr>
            <w:tcW w:w="501" w:type="pct"/>
          </w:tcPr>
          <w:p w14:paraId="0AAD1285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تُراجع الاتفاقيات عند تجديد العقود أو تغيير نطاق العمل، وتُحفظ في ملف المورد.</w:t>
            </w:r>
          </w:p>
        </w:tc>
        <w:tc>
          <w:tcPr>
            <w:tcW w:w="501" w:type="pct"/>
          </w:tcPr>
          <w:p w14:paraId="2CAC32F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40444EB5" w14:textId="77777777" w:rsidTr="008D2BD9">
        <w:trPr>
          <w:trHeight w:val="1610"/>
        </w:trPr>
        <w:tc>
          <w:tcPr>
            <w:tcW w:w="418" w:type="pct"/>
          </w:tcPr>
          <w:p w14:paraId="033483C5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 w:val="1"/>
              </w:rPr>
              <w:t>مراجعة بيان قابلية التطبيق</w:t>
            </w:r>
          </w:p>
        </w:tc>
        <w:tc>
          <w:tcPr>
            <w:tcW w:w="459" w:type="pct"/>
          </w:tcPr>
          <w:p w14:paraId="10AFC209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نسبة الضوابط التي رُوجعت في بيان قابلية التطبيق خلال الدورة السنوية.</w:t>
            </w:r>
          </w:p>
        </w:tc>
        <w:tc>
          <w:tcPr>
            <w:tcW w:w="306" w:type="pct"/>
          </w:tcPr>
          <w:p w14:paraId="41B37FDB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سنوية</w:t>
            </w:r>
          </w:p>
        </w:tc>
        <w:tc>
          <w:tcPr>
            <w:tcW w:w="497" w:type="pct"/>
          </w:tcPr>
          <w:p w14:paraId="1E3CC1F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w14:paraId="1BE9C632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سجلات مراجعة الوثائق (ISMS-FORM-06-2 وSA-1)</w:t>
            </w:r>
          </w:p>
        </w:tc>
        <w:tc>
          <w:tcPr>
            <w:tcW w:w="536" w:type="pct"/>
          </w:tcPr>
          <w:p w14:paraId="31FA42B7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أخضر</w:t>
            </w:r>
          </w:p>
        </w:tc>
        <w:tc>
          <w:tcPr>
            <w:tcW w:w="1400" w:type="pct"/>
          </w:tcPr>
          <w:p w14:paraId="72653F1B" w14:textId="170B925A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100% (93 ضابطاً) في مراجعة 2026-04-06 (الإصدار 1.0).</w:t>
            </w:r>
          </w:p>
        </w:tc>
        <w:tc>
          <w:tcPr>
            <w:tcW w:w="501" w:type="pct"/>
          </w:tcPr>
          <w:p w14:paraId="3132F1EF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المراجعة القادمة 2027-03-01 بالتزامن مع دورة تقييم المخاطر، أو فوراً عند تغيير جوهري في النطاق.</w:t>
            </w:r>
          </w:p>
        </w:tc>
        <w:tc>
          <w:tcPr>
            <w:tcW w:w="501" w:type="pct"/>
          </w:tcPr>
          <w:p w14:paraId="0A7832D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418EE9F8" w14:textId="77777777" w:rsidTr="008D2BD9">
        <w:trPr>
          <w:trHeight w:val="1610"/>
        </w:trPr>
        <w:tc>
          <w:tcPr>
            <w:tcW w:w="418" w:type="pct"/>
          </w:tcPr>
          <w:p w14:paraId="178C4A5A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 w:val="1"/>
              </w:rPr>
              <w:t>حوادث أمن المعلومات</w:t>
            </w:r>
          </w:p>
        </w:tc>
        <w:tc>
          <w:tcPr>
            <w:tcW w:w="459" w:type="pct"/>
          </w:tcPr>
          <w:p w14:paraId="7C0D14F1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عدد حوادث أمن المعلومات المسجلة وخطورتها وحالة معالجتها.</w:t>
            </w:r>
          </w:p>
        </w:tc>
        <w:tc>
          <w:tcPr>
            <w:tcW w:w="306" w:type="pct"/>
          </w:tcPr>
          <w:p w14:paraId="1CE94EE0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شهرية/ربع سنوية</w:t>
            </w:r>
          </w:p>
        </w:tc>
        <w:tc>
          <w:tcPr>
            <w:tcW w:w="497" w:type="pct"/>
          </w:tcPr>
          <w:p w14:paraId="3D839B73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صفر حادث غير مغلق، وصفر حادث حرج</w:t>
            </w:r>
          </w:p>
        </w:tc>
        <w:tc>
          <w:tcPr>
            <w:tcW w:w="382" w:type="pct"/>
          </w:tcPr>
          <w:p w14:paraId="7CEF6DD4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نظام إدارة الحوادث (Jira Service Management)</w:t>
            </w:r>
          </w:p>
        </w:tc>
        <w:tc>
          <w:tcPr>
            <w:tcW w:w="536" w:type="pct"/>
          </w:tcPr>
          <w:p w14:paraId="31E05541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أخضر</w:t>
            </w:r>
          </w:p>
        </w:tc>
        <w:tc>
          <w:tcPr>
            <w:tcW w:w="1400" w:type="pct"/>
          </w:tcPr>
          <w:p w14:paraId="0855632B" w14:textId="68DE43EA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9 حوادث في الفترة من 2026-03-01 إلى 2026-08-31: 0 حرج، 2 مرتفع، 3 متوسط، 4 منخفض - جميعها مغلقة (100%).</w:t>
            </w:r>
          </w:p>
        </w:tc>
        <w:tc>
          <w:tcPr>
            <w:tcW w:w="501" w:type="pct"/>
          </w:tcPr>
          <w:p w14:paraId="4ECA138E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بلاغ نظامي واحد إلى ساما (INC-2026-009) وبلاغ إلى سدايا؛ التفاصيل في سجل الحوادث وإجراء الاستجابة ISMS-DOC-A05-26-1.</w:t>
            </w:r>
          </w:p>
        </w:tc>
        <w:tc>
          <w:tcPr>
            <w:tcW w:w="501" w:type="pct"/>
          </w:tcPr>
          <w:p w14:paraId="395D0B7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6C602F1C" w14:textId="77777777" w:rsidTr="008D2BD9">
        <w:trPr>
          <w:trHeight w:val="1340"/>
        </w:trPr>
        <w:tc>
          <w:tcPr>
            <w:tcW w:w="418" w:type="pct"/>
          </w:tcPr>
          <w:p w14:paraId="22B298FA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 w:val="1"/>
              </w:rPr>
              <w:t>الاستجابة للحوادث</w:t>
            </w:r>
          </w:p>
        </w:tc>
        <w:tc>
          <w:tcPr>
            <w:tcW w:w="459" w:type="pct"/>
          </w:tcPr>
          <w:p w14:paraId="38A3660B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متوسط أزمنة الاكتشاف والاحتواء والحل للحوادث الأمنية مقابل مستويات الخدمة المعتمدة.</w:t>
            </w:r>
          </w:p>
        </w:tc>
        <w:tc>
          <w:tcPr>
            <w:tcW w:w="306" w:type="pct"/>
          </w:tcPr>
          <w:p w14:paraId="6F8E88D0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شهرية/ربع سنوية</w:t>
            </w:r>
          </w:p>
        </w:tc>
        <w:tc>
          <w:tcPr>
            <w:tcW w:w="497" w:type="pct"/>
          </w:tcPr>
          <w:p w14:paraId="4A238514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MTTD ≤ ساعتين، وMTTC ≤ 4 ساعات</w:t>
            </w:r>
          </w:p>
        </w:tc>
        <w:tc>
          <w:tcPr>
            <w:tcW w:w="382" w:type="pct"/>
          </w:tcPr>
          <w:p w14:paraId="4FB5314C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نظام إدارة الحوادث وتقارير SOC</w:t>
            </w:r>
          </w:p>
        </w:tc>
        <w:tc>
          <w:tcPr>
            <w:tcW w:w="536" w:type="pct"/>
          </w:tcPr>
          <w:p w14:paraId="7EA996EE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أحمر</w:t>
            </w:r>
          </w:p>
        </w:tc>
        <w:tc>
          <w:tcPr>
            <w:tcW w:w="1400" w:type="pct"/>
          </w:tcPr>
          <w:p w14:paraId="75311310" w14:textId="06337203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MTTD = 6 ساعات (35 دقيقة للحوادث المكتشفة آلياً)، MTTC = 9 ساعات (تحسن من 14 ساعة)، MTTR = 6 أيام، ونسبة الإغلاق ضمن المدة 100%.</w:t>
            </w:r>
          </w:p>
        </w:tc>
        <w:tc>
          <w:tcPr>
            <w:tcW w:w="501" w:type="pct"/>
          </w:tcPr>
          <w:p w14:paraId="76B54093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جذر التأخر غياب نظام SIEM (حالة عدم المطابقة NC-01)؛ المشروع بقيمة 2.6 مليون ريال والتشغيل المستهدف 2027-03-31، مع 25 حالة استخدام للكشف.</w:t>
            </w:r>
          </w:p>
        </w:tc>
        <w:tc>
          <w:tcPr>
            <w:tcW w:w="501" w:type="pct"/>
          </w:tcPr>
          <w:p w14:paraId="227B39AC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7FC0EBBE" w14:textId="77777777" w:rsidTr="008D2BD9">
        <w:trPr>
          <w:trHeight w:val="1340"/>
        </w:trPr>
        <w:tc>
          <w:tcPr>
            <w:tcW w:w="418" w:type="pct"/>
          </w:tcPr>
          <w:p w14:paraId="40FC24C8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 w:val="1"/>
              </w:rPr>
              <w:t>تدقيق ضوابط الوصول</w:t>
            </w:r>
          </w:p>
        </w:tc>
        <w:tc>
          <w:tcPr>
            <w:tcW w:w="459" w:type="pct"/>
          </w:tcPr>
          <w:p w14:paraId="241BDDCE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نسبة حقوق الوصول (المنطقية والمادية) التي خضعت للمراجعة الدورية.</w:t>
            </w:r>
          </w:p>
        </w:tc>
        <w:tc>
          <w:tcPr>
            <w:tcW w:w="306" w:type="pct"/>
          </w:tcPr>
          <w:p w14:paraId="5C18F6CF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ربع سنوية</w:t>
            </w:r>
          </w:p>
        </w:tc>
        <w:tc>
          <w:tcPr>
            <w:tcW w:w="497" w:type="pct"/>
          </w:tcPr>
          <w:p w14:paraId="44C14E46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100% من نطاقات الوصول المحددة (4 مراجعات سنوياً)</w:t>
            </w:r>
          </w:p>
        </w:tc>
        <w:tc>
          <w:tcPr>
            <w:tcW w:w="382" w:type="pct"/>
          </w:tcPr>
          <w:p w14:paraId="46E49C8F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سجلات ضوابط الوصول وتقارير المراجعة (SOP-IT-005)</w:t>
            </w:r>
          </w:p>
        </w:tc>
        <w:tc>
          <w:tcPr>
            <w:tcW w:w="536" w:type="pct"/>
          </w:tcPr>
          <w:p w14:paraId="47424481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أحمر</w:t>
            </w:r>
          </w:p>
        </w:tc>
        <w:tc>
          <w:tcPr>
            <w:tcW w:w="1400" w:type="pct"/>
          </w:tcPr>
          <w:p w14:paraId="4B56FE94" w14:textId="4B10315B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50% (مراجعة شاملة واحدة في 2026-06 من مراجعتين مستحقتين)؛ وأظهرت عينة التدقيق (25 حساباً) أن 4 حسابات (16%) تحمل صلاحيات لا تتوافق مع الدور الحالي.</w:t>
            </w:r>
          </w:p>
        </w:tc>
        <w:tc>
          <w:tcPr>
            <w:tcW w:w="501" w:type="pct"/>
          </w:tcPr>
          <w:p w14:paraId="63714B6E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حالة عدم المطابقة NC-02؛ تنفيذ مراجعة شاملة لجميع الأنظمة الحرجة قبل 2026-10-31 واعتماد جدول ربع سنوي موثق بتوقيع مالك الأصل.</w:t>
            </w:r>
          </w:p>
        </w:tc>
        <w:tc>
          <w:tcPr>
            <w:tcW w:w="501" w:type="pct"/>
          </w:tcPr>
          <w:p w14:paraId="0C67A8BC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3080127A" w14:textId="77777777" w:rsidTr="008D2BD9">
        <w:trPr>
          <w:trHeight w:val="1610"/>
        </w:trPr>
        <w:tc>
          <w:tcPr>
            <w:tcW w:w="418" w:type="pct"/>
          </w:tcPr>
          <w:p w14:paraId="2720C1C0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 w:val="1"/>
              </w:rPr>
              <w:t>نتائج التدقيق الداخلي</w:t>
            </w:r>
          </w:p>
        </w:tc>
        <w:tc>
          <w:tcPr>
            <w:tcW w:w="459" w:type="pct"/>
          </w:tcPr>
          <w:p w14:paraId="2EB5A19E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عدد نتائج التدقيق الداخلي لنظام إدارة أمن المعلومات وخطورتها.</w:t>
            </w:r>
          </w:p>
        </w:tc>
        <w:tc>
          <w:tcPr>
            <w:tcW w:w="306" w:type="pct"/>
          </w:tcPr>
          <w:p w14:paraId="0905ED17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سنوية</w:t>
            </w:r>
          </w:p>
        </w:tc>
        <w:tc>
          <w:tcPr>
            <w:tcW w:w="497" w:type="pct"/>
          </w:tcPr>
          <w:p w14:paraId="436531CB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لا نتائج رئيسية، وتقليص الملاحظات الثانوية</w:t>
            </w:r>
          </w:p>
        </w:tc>
        <w:tc>
          <w:tcPr>
            <w:tcW w:w="382" w:type="pct"/>
          </w:tcPr>
          <w:p w14:paraId="1C34198E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سجلات التدقيق الداخلي (ISMS-DOC-09-5)</w:t>
            </w:r>
          </w:p>
        </w:tc>
        <w:tc>
          <w:tcPr>
            <w:tcW w:w="536" w:type="pct"/>
          </w:tcPr>
          <w:p w14:paraId="563B9855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أحمر</w:t>
            </w:r>
          </w:p>
        </w:tc>
        <w:tc>
          <w:tcPr>
            <w:tcW w:w="1400" w:type="pct"/>
          </w:tcPr>
          <w:p w14:paraId="15C52A24" w14:textId="544AD789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5 حالات عدم مطابقة (2 رئيسية: NC-01 وNC-03، و3 ثانوية: NC-02 وNC-04 وNC-05) و6 فرص تحسين و5 نقاط قوة، خلال تدقيق 2026-08-16 إلى 2026-08-27 (17 وثيقة، 22 مقابلة، 9 إدارات، 5 فروع).</w:t>
            </w:r>
          </w:p>
        </w:tc>
        <w:tc>
          <w:tcPr>
            <w:tcW w:w="501" w:type="pct"/>
          </w:tcPr>
          <w:p w14:paraId="47EE5A7B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جميع الخطط التصحيحية معتمدة بمواعيد استحقاق بين 2026-10-31 و2027-03-31، ونسبة الإغلاق الحالية 0% (ضمن الخطة الزمنية).</w:t>
            </w:r>
          </w:p>
        </w:tc>
        <w:tc>
          <w:tcPr>
            <w:tcW w:w="501" w:type="pct"/>
          </w:tcPr>
          <w:p w14:paraId="1E11EB6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5DDC028E" w14:textId="77777777" w:rsidTr="008D2BD9">
        <w:trPr>
          <w:trHeight w:val="1880"/>
        </w:trPr>
        <w:tc>
          <w:tcPr>
            <w:tcW w:w="418" w:type="pct"/>
          </w:tcPr>
          <w:p w14:paraId="3C51A02C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 w:val="1"/>
              </w:rPr>
              <w:t>فعالية مراجعة الإدارة</w:t>
            </w:r>
          </w:p>
        </w:tc>
        <w:tc>
          <w:tcPr>
            <w:tcW w:w="459" w:type="pct"/>
          </w:tcPr>
          <w:p w14:paraId="227A8743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دليل اكتمال مراجعات الإدارة ومتابعة مخرجاتها وإجراءاتها.</w:t>
            </w:r>
          </w:p>
        </w:tc>
        <w:tc>
          <w:tcPr>
            <w:tcW w:w="306" w:type="pct"/>
          </w:tcPr>
          <w:p w14:paraId="51A3CF8F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سنوية</w:t>
            </w:r>
          </w:p>
        </w:tc>
        <w:tc>
          <w:tcPr>
            <w:tcW w:w="497" w:type="pct"/>
          </w:tcPr>
          <w:p w14:paraId="145E7FF6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100% سنوياً (مع متابعة ربع سنوية)</w:t>
            </w:r>
          </w:p>
        </w:tc>
        <w:tc>
          <w:tcPr>
            <w:tcW w:w="382" w:type="pct"/>
          </w:tcPr>
          <w:p w14:paraId="085FC023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محاضر مراجعة الإدارة</w:t>
            </w:r>
          </w:p>
        </w:tc>
        <w:tc>
          <w:tcPr>
            <w:tcW w:w="536" w:type="pct"/>
          </w:tcPr>
          <w:p w14:paraId="5BB19AE7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أخضر</w:t>
            </w:r>
          </w:p>
        </w:tc>
        <w:tc>
          <w:tcPr>
            <w:tcW w:w="1400" w:type="pct"/>
          </w:tcPr>
          <w:p w14:paraId="5C5AA1EE" w14:textId="474FCE7E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عُقد اجتماع مراجعة الإدارة في 2026-09-10 برئاسة الرئيس التنفيذي وبحضور 9 أعضاء، ونوقش 14 بنداً وصدر 11 قراراً وإجراءً متابَعاً بمسؤولين ومواعيد محددة.</w:t>
            </w:r>
          </w:p>
        </w:tc>
        <w:tc>
          <w:tcPr>
            <w:tcW w:w="501" w:type="pct"/>
          </w:tcPr>
          <w:p w14:paraId="1C030F8A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رُفعت المخرجات إلى مجلس الإدارة في 2026-09-11؛ والمراجعة القادمة 2027-03-01.</w:t>
            </w:r>
          </w:p>
        </w:tc>
        <w:tc>
          <w:tcPr>
            <w:tcW w:w="501" w:type="pct"/>
          </w:tcPr>
          <w:p w14:paraId="3C77E01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2026-09-10</w:t>
            </w:r>
          </w:p>
        </w:tc>
      </w:tr>
      <w:tr w:rsidR="008D2BD9" w:rsidRPr="008D2BD9" w14:paraId="16E9C4D7" w14:textId="77777777" w:rsidTr="008D2BD9">
        <w:trPr>
          <w:trHeight w:val="785"/>
        </w:trPr>
        <w:tc>
          <w:tcPr>
            <w:tcW w:w="418" w:type="pct"/>
          </w:tcPr>
          <w:p w14:paraId="5C5AF0A1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 w:val="1"/>
              </w:rPr>
              <w:t>إدارة المخاطر</w:t>
            </w:r>
          </w:p>
        </w:tc>
        <w:tc>
          <w:tcPr>
            <w:tcW w:w="459" w:type="pct"/>
          </w:tcPr>
          <w:p w14:paraId="27CE31AC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مؤشرات دورة إدارة المخاطر القائمة على الأصول وفق منهجية RT-1 وبيان شهية المخاطر RT-4 (سجل مخاطر 32 خطراً، الإصدار 1.0 المعتمد 2026-03-26).</w:t>
            </w:r>
          </w:p>
        </w:tc>
        <w:tc>
          <w:tcPr>
            <w:tcW w:w="306" w:type="pct"/>
          </w:tcPr>
          <w:p w14:paraId="2C545D8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497" w:type="pct"/>
          </w:tcPr>
          <w:p w14:paraId="3B94561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382" w:type="pct"/>
          </w:tcPr>
          <w:p w14:paraId="44B8631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536" w:type="pct"/>
          </w:tcPr>
          <w:p w14:paraId="0BFF149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400" w:type="pct"/>
          </w:tcPr>
          <w:p w14:paraId="70BF1B6F" w14:textId="479075AC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501" w:type="pct"/>
          </w:tcPr>
          <w:p w14:paraId="6E8C719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501" w:type="pct"/>
          </w:tcPr>
          <w:p w14:paraId="1CEEF99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8D2BD9" w:rsidRPr="008D2BD9" w14:paraId="59B32EA7" w14:textId="77777777" w:rsidTr="008D2BD9">
        <w:trPr>
          <w:trHeight w:val="1340"/>
        </w:trPr>
        <w:tc>
          <w:tcPr>
            <w:tcW w:w="418" w:type="pct"/>
          </w:tcPr>
          <w:p w14:paraId="21311B50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أ. المخاطر المحددة</w:t>
            </w:r>
          </w:p>
        </w:tc>
        <w:tc>
          <w:tcPr>
            <w:tcW w:w="459" w:type="pct"/>
          </w:tcPr>
          <w:p w14:paraId="73F1902B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عدد المخاطر المحددة خلال فترة التقرير.</w:t>
            </w:r>
          </w:p>
        </w:tc>
        <w:tc>
          <w:tcPr>
            <w:tcW w:w="306" w:type="pct"/>
          </w:tcPr>
          <w:p w14:paraId="1534C619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ربع سنوية</w:t>
            </w:r>
          </w:p>
        </w:tc>
        <w:tc>
          <w:tcPr>
            <w:tcW w:w="497" w:type="pct"/>
          </w:tcPr>
          <w:p w14:paraId="24A065F4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غير منطبق - مؤشر إبلاغي</w:t>
            </w:r>
          </w:p>
        </w:tc>
        <w:tc>
          <w:tcPr>
            <w:tcW w:w="382" w:type="pct"/>
          </w:tcPr>
          <w:p w14:paraId="3874164F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سجل المخاطر (ISMS-FORM-06-1)</w:t>
            </w:r>
          </w:p>
        </w:tc>
        <w:tc>
          <w:tcPr>
            <w:tcW w:w="536" w:type="pct"/>
          </w:tcPr>
          <w:p w14:paraId="5DEAACA1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أخضر</w:t>
            </w:r>
          </w:p>
        </w:tc>
        <w:tc>
          <w:tcPr>
            <w:tcW w:w="1400" w:type="pct"/>
          </w:tcPr>
          <w:p w14:paraId="5888B847" w14:textId="53C594CF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32 خطراً في السجل الإصدار 1.0: قبل المعالجة 6 حرجة و9 مرتفعة و15 متوسطة و2 منخفضة.</w:t>
            </w:r>
          </w:p>
        </w:tc>
        <w:tc>
          <w:tcPr>
            <w:tcW w:w="501" w:type="pct"/>
          </w:tcPr>
          <w:p w14:paraId="101264FF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لم تُضف مخاطر جديدة في الربع الثالث؛ وثلاثة مخاطر مرشحة للإضافة بعد تقييم تغييرات منصة آفاق بلس في دورة 2026-12.</w:t>
            </w:r>
          </w:p>
        </w:tc>
        <w:tc>
          <w:tcPr>
            <w:tcW w:w="501" w:type="pct"/>
          </w:tcPr>
          <w:p w14:paraId="2CB93F0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7D3377CD" w14:textId="77777777" w:rsidTr="008D2BD9">
        <w:trPr>
          <w:trHeight w:val="1610"/>
        </w:trPr>
        <w:tc>
          <w:tcPr>
            <w:tcW w:w="418" w:type="pct"/>
          </w:tcPr>
          <w:p w14:paraId="4A11B155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ب. المخاطر المعالجة</w:t>
            </w:r>
          </w:p>
        </w:tc>
        <w:tc>
          <w:tcPr>
            <w:tcW w:w="459" w:type="pct"/>
          </w:tcPr>
          <w:p w14:paraId="23CCDC9A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نسبة المخاطر التي عولجت ضمن المدد الزمنية المحددة في خطط المعالجة.</w:t>
            </w:r>
          </w:p>
        </w:tc>
        <w:tc>
          <w:tcPr>
            <w:tcW w:w="306" w:type="pct"/>
          </w:tcPr>
          <w:p w14:paraId="0537C7CE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ربع سنوية</w:t>
            </w:r>
          </w:p>
        </w:tc>
        <w:tc>
          <w:tcPr>
            <w:tcW w:w="497" w:type="pct"/>
          </w:tcPr>
          <w:p w14:paraId="47F8E4BB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معالجة 100% من المخاطر الحرجة والمرتفعة قبل 2026-12-31</w:t>
            </w:r>
          </w:p>
        </w:tc>
        <w:tc>
          <w:tcPr>
            <w:tcW w:w="382" w:type="pct"/>
          </w:tcPr>
          <w:p w14:paraId="326BAAEF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سجل المخاطر ومتابعة الإجراءات</w:t>
            </w:r>
          </w:p>
        </w:tc>
        <w:tc>
          <w:tcPr>
            <w:tcW w:w="536" w:type="pct"/>
          </w:tcPr>
          <w:p w14:paraId="4717E3BB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أصفر</w:t>
            </w:r>
          </w:p>
        </w:tc>
        <w:tc>
          <w:tcPr>
            <w:tcW w:w="1400" w:type="pct"/>
          </w:tcPr>
          <w:p w14:paraId="678953DC" w14:textId="0EED77C1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50% متوسط مرجح لإنجاز 32 إجراء معالجة (3 مكتملة: R-008 وR-031 وR-032، و27 قيد التنفيذ بنسب 15%-85%، و2 لم تبدأ)؛ ولم تكتمل معالجة أي من المخاطر الـ15 الحرجة/المرتفعة بعد. الخطر المتبقي المتوقع بعد الاكتمال: صفر حرج وخطران مرتفعان (R-010 وR-017).</w:t>
            </w:r>
          </w:p>
        </w:tc>
        <w:tc>
          <w:tcPr>
            <w:tcW w:w="501" w:type="pct"/>
          </w:tcPr>
          <w:p w14:paraId="1A63123D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المستهدف المرحلي 60% قبل 2026-12-31؛ مراجعة شهرية مع ملاك المخاطر الـ12 وربط الإنجاز بتقييم الأداء الإداري.</w:t>
            </w:r>
          </w:p>
        </w:tc>
        <w:tc>
          <w:tcPr>
            <w:tcW w:w="501" w:type="pct"/>
          </w:tcPr>
          <w:p w14:paraId="65BF768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7893D025" w14:textId="77777777" w:rsidTr="008D2BD9">
        <w:trPr>
          <w:trHeight w:val="1340"/>
        </w:trPr>
        <w:tc>
          <w:tcPr>
            <w:tcW w:w="418" w:type="pct"/>
          </w:tcPr>
          <w:p w14:paraId="3A87F45A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ج. المخاطر المقبولة</w:t>
            </w:r>
          </w:p>
        </w:tc>
        <w:tc>
          <w:tcPr>
            <w:tcW w:w="459" w:type="pct"/>
          </w:tcPr>
          <w:p w14:paraId="0CB5E45C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نسبة المخاطر المقبولة رسمياً من الإدارة وفق حدود شهية المخاطر.</w:t>
            </w:r>
          </w:p>
        </w:tc>
        <w:tc>
          <w:tcPr>
            <w:tcW w:w="306" w:type="pct"/>
          </w:tcPr>
          <w:p w14:paraId="390651B9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ربع سنوية</w:t>
            </w:r>
          </w:p>
        </w:tc>
        <w:tc>
          <w:tcPr>
            <w:tcW w:w="497" w:type="pct"/>
          </w:tcPr>
          <w:p w14:paraId="4279F7CE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غير منطبق - مؤشر إبلاغي (لا قبول لأي خطر مرتفع أو حرج)</w:t>
            </w:r>
          </w:p>
        </w:tc>
        <w:tc>
          <w:tcPr>
            <w:tcW w:w="382" w:type="pct"/>
          </w:tcPr>
          <w:p w14:paraId="5C246C41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سجل المخاطر ومحاضر لجنة المخاطر</w:t>
            </w:r>
          </w:p>
        </w:tc>
        <w:tc>
          <w:tcPr>
            <w:tcW w:w="536" w:type="pct"/>
          </w:tcPr>
          <w:p w14:paraId="5B281F18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أخضر</w:t>
            </w:r>
          </w:p>
        </w:tc>
        <w:tc>
          <w:tcPr>
            <w:tcW w:w="1400" w:type="pct"/>
          </w:tcPr>
          <w:p w14:paraId="7C59F252" w14:textId="7A8854BF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خطران مقبولان فقط (R-031 بدرجة 4 وR-032 بدرجة 2) أي 6% من السجل، بمصادقة لجنة المخاطر في 2026-04-12.</w:t>
            </w:r>
          </w:p>
        </w:tc>
        <w:tc>
          <w:tcPr>
            <w:tcW w:w="501" w:type="pct"/>
          </w:tcPr>
          <w:p w14:paraId="21B22588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تُراجع قرارات القبول سنوياً وفق RT-4، ولم يُقبل أي خطر مرتفع أو حرج.</w:t>
            </w:r>
          </w:p>
        </w:tc>
        <w:tc>
          <w:tcPr>
            <w:tcW w:w="501" w:type="pct"/>
          </w:tcPr>
          <w:p w14:paraId="4A56A20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65E021C3" w14:textId="77777777" w:rsidTr="008D2BD9">
        <w:trPr>
          <w:trHeight w:val="785"/>
        </w:trPr>
        <w:tc>
          <w:tcPr>
            <w:tcW w:w="418" w:type="pct"/>
          </w:tcPr>
          <w:p w14:paraId="59A50C35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 w:val="1"/>
              </w:rPr>
              <w:t>إدارة التغيير</w:t>
            </w:r>
          </w:p>
        </w:tc>
        <w:tc>
          <w:tcPr>
            <w:tcW w:w="459" w:type="pct"/>
          </w:tcPr>
          <w:p w14:paraId="2BD23555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مؤشرات الالتزام بعملية إدارة التغيير على الأنظمة والشبكات (SOP-IT-002 ولجنة التغيير الاستشارية CAB).</w:t>
            </w:r>
          </w:p>
        </w:tc>
        <w:tc>
          <w:tcPr>
            <w:tcW w:w="306" w:type="pct"/>
          </w:tcPr>
          <w:p w14:paraId="3A54BCD2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497" w:type="pct"/>
          </w:tcPr>
          <w:p w14:paraId="5FDC8DF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382" w:type="pct"/>
          </w:tcPr>
          <w:p w14:paraId="2B3E459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536" w:type="pct"/>
          </w:tcPr>
          <w:p w14:paraId="32CA07D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400" w:type="pct"/>
          </w:tcPr>
          <w:p w14:paraId="0F00B967" w14:textId="2D3DB15D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501" w:type="pct"/>
          </w:tcPr>
          <w:p w14:paraId="29D56E7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501" w:type="pct"/>
          </w:tcPr>
          <w:p w14:paraId="7BFAF6E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8D2BD9" w:rsidRPr="008D2BD9" w14:paraId="4B1C2EBF" w14:textId="77777777" w:rsidTr="008D2BD9">
        <w:trPr>
          <w:trHeight w:val="1880"/>
        </w:trPr>
        <w:tc>
          <w:tcPr>
            <w:tcW w:w="418" w:type="pct"/>
          </w:tcPr>
          <w:p w14:paraId="627C2841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أ. الالتزام باعتماد التغييرات</w:t>
            </w:r>
          </w:p>
        </w:tc>
        <w:tc>
          <w:tcPr>
            <w:tcW w:w="459" w:type="pct"/>
          </w:tcPr>
          <w:p w14:paraId="50212D77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نسبة التغييرات التي اتبعت عملية إدارة التغيير المعتمدة.</w:t>
            </w:r>
          </w:p>
        </w:tc>
        <w:tc>
          <w:tcPr>
            <w:tcW w:w="306" w:type="pct"/>
          </w:tcPr>
          <w:p w14:paraId="23D9FEA1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شهرية/ربع سنوية</w:t>
            </w:r>
          </w:p>
        </w:tc>
        <w:tc>
          <w:tcPr>
            <w:tcW w:w="497" w:type="pct"/>
          </w:tcPr>
          <w:p w14:paraId="7D0A3C81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100% امتثال</w:t>
            </w:r>
          </w:p>
        </w:tc>
        <w:tc>
          <w:tcPr>
            <w:tcW w:w="382" w:type="pct"/>
          </w:tcPr>
          <w:p w14:paraId="0CC00EC9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سجلات إدارة التغيير (Jira) ومحاضر لجنة CAB</w:t>
            </w:r>
          </w:p>
        </w:tc>
        <w:tc>
          <w:tcPr>
            <w:tcW w:w="536" w:type="pct"/>
          </w:tcPr>
          <w:p w14:paraId="0E64F40B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أصفر</w:t>
            </w:r>
          </w:p>
        </w:tc>
        <w:tc>
          <w:tcPr>
            <w:tcW w:w="1400" w:type="pct"/>
          </w:tcPr>
          <w:p w14:paraId="3F03FA7A" w14:textId="0B9C834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88% (22 من 25 تغييراً حرجاً خلال الفترة) نُفذت بمراجعة ثنائية وخطة تراجع معتمدة.</w:t>
            </w:r>
          </w:p>
        </w:tc>
        <w:tc>
          <w:tcPr>
            <w:tcW w:w="501" w:type="pct"/>
          </w:tcPr>
          <w:p w14:paraId="16AD02C6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3 تغييرات طارئة دون خطة تراجع مسبقة؛ تفعيل منع تقني لاعتماد أي تغيير حرج دون خطة تراجع مرفقة.</w:t>
            </w:r>
          </w:p>
        </w:tc>
        <w:tc>
          <w:tcPr>
            <w:tcW w:w="501" w:type="pct"/>
          </w:tcPr>
          <w:p w14:paraId="0650215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249E4925" w14:textId="77777777" w:rsidTr="008D2BD9">
        <w:trPr>
          <w:trHeight w:val="1055"/>
        </w:trPr>
        <w:tc>
          <w:tcPr>
            <w:tcW w:w="418" w:type="pct"/>
          </w:tcPr>
          <w:p w14:paraId="133A1FF2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ب. التغييرات غير المصرح بها</w:t>
            </w:r>
          </w:p>
        </w:tc>
        <w:tc>
          <w:tcPr>
            <w:tcW w:w="459" w:type="pct"/>
          </w:tcPr>
          <w:p w14:paraId="37E83020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عدد التغييرات غير المصرح بها المكتشفة.</w:t>
            </w:r>
          </w:p>
        </w:tc>
        <w:tc>
          <w:tcPr>
            <w:tcW w:w="306" w:type="pct"/>
          </w:tcPr>
          <w:p w14:paraId="618B11B7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شهرية/ربع سنوية</w:t>
            </w:r>
          </w:p>
        </w:tc>
        <w:tc>
          <w:tcPr>
            <w:tcW w:w="497" w:type="pct"/>
          </w:tcPr>
          <w:p w14:paraId="2F338E5F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صفر</w:t>
            </w:r>
          </w:p>
        </w:tc>
        <w:tc>
          <w:tcPr>
            <w:tcW w:w="382" w:type="pct"/>
          </w:tcPr>
          <w:p w14:paraId="67E993C6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سجلات إدارة التغيير ومقارنة التكوينات مع خط الأساس R9</w:t>
            </w:r>
          </w:p>
        </w:tc>
        <w:tc>
          <w:tcPr>
            <w:tcW w:w="536" w:type="pct"/>
          </w:tcPr>
          <w:p w14:paraId="70A56BA1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أخضر</w:t>
            </w:r>
          </w:p>
        </w:tc>
        <w:tc>
          <w:tcPr>
            <w:tcW w:w="1400" w:type="pct"/>
          </w:tcPr>
          <w:p w14:paraId="06D6F4CA" w14:textId="51F2F4C8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صفر تغيير غير مصرح به؛ ورُصد انحرافان في التكوين صُححا خلال 48 ساعة.</w:t>
            </w:r>
          </w:p>
        </w:tc>
        <w:tc>
          <w:tcPr>
            <w:tcW w:w="501" w:type="pct"/>
          </w:tcPr>
          <w:p w14:paraId="7F79A566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فحص دوري لمطابقة التكوينات مع خط الأساس للتكوينات الآمنة (SCB-001 إلى SCB-006).</w:t>
            </w:r>
          </w:p>
        </w:tc>
        <w:tc>
          <w:tcPr>
            <w:tcW w:w="501" w:type="pct"/>
          </w:tcPr>
          <w:p w14:paraId="78CB26D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6171830B" w14:textId="77777777" w:rsidTr="008D2BD9">
        <w:trPr>
          <w:trHeight w:val="1880"/>
        </w:trPr>
        <w:tc>
          <w:tcPr>
            <w:tcW w:w="418" w:type="pct"/>
          </w:tcPr>
          <w:p w14:paraId="6768E316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 w:val="1"/>
              </w:rPr>
              <w:t>اختبار استمرارية الأعمال والتعافي من الكوارث</w:t>
            </w:r>
          </w:p>
        </w:tc>
        <w:tc>
          <w:tcPr>
            <w:tcW w:w="459" w:type="pct"/>
          </w:tcPr>
          <w:p w14:paraId="3DDCAA3E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عدد اختبارات خطط استمرارية الأعمال والتعافي من الكوارث ونتائجها مقابل أهداف RTO/RPO.</w:t>
            </w:r>
          </w:p>
        </w:tc>
        <w:tc>
          <w:tcPr>
            <w:tcW w:w="306" w:type="pct"/>
          </w:tcPr>
          <w:p w14:paraId="557BF1E7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سنوية</w:t>
            </w:r>
          </w:p>
        </w:tc>
        <w:tc>
          <w:tcPr>
            <w:tcW w:w="497" w:type="pct"/>
          </w:tcPr>
          <w:p w14:paraId="0EFBFB8B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اختبار شامل واحد على الأقل سنوياً + 4 اختبارات استعادة</w:t>
            </w:r>
          </w:p>
        </w:tc>
        <w:tc>
          <w:tcPr>
            <w:tcW w:w="382" w:type="pct"/>
          </w:tcPr>
          <w:p w14:paraId="73EDC80D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سجلات اختبارات BC/DR (G12 وSOP-IT-001)</w:t>
            </w:r>
          </w:p>
        </w:tc>
        <w:tc>
          <w:tcPr>
            <w:tcW w:w="536" w:type="pct"/>
          </w:tcPr>
          <w:p w14:paraId="5E195F84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أحمر</w:t>
            </w:r>
          </w:p>
        </w:tc>
        <w:tc>
          <w:tcPr>
            <w:tcW w:w="1400" w:type="pct"/>
          </w:tcPr>
          <w:p w14:paraId="0420A2A6" w14:textId="151EEA90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اختبار استعادة واحد (2026-06-18) وتمرين طاولة لسيناريو الفدية (2026-07-22)، دون اختبار شامل للانتقال إلى مركز التعافي في جدة منذ 2024-10-14.</w:t>
            </w:r>
          </w:p>
        </w:tc>
        <w:tc>
          <w:tcPr>
            <w:tcW w:w="501" w:type="pct"/>
          </w:tcPr>
          <w:p w14:paraId="730C5A99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حالة عدم المطابقة NC-04؛ الاختبار الشامل مجدول في 2026-11-19 مع قياس الزمن الفعلي مقابل RTO/RPO وتفعيل نسخ غير قابلة للتعديل.</w:t>
            </w:r>
          </w:p>
        </w:tc>
        <w:tc>
          <w:tcPr>
            <w:tcW w:w="501" w:type="pct"/>
          </w:tcPr>
          <w:p w14:paraId="3BFC847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34C650FD" w14:textId="77777777" w:rsidTr="008D2BD9">
        <w:trPr>
          <w:trHeight w:val="1340"/>
        </w:trPr>
        <w:tc>
          <w:tcPr>
            <w:tcW w:w="418" w:type="pct"/>
          </w:tcPr>
          <w:p w14:paraId="5ABD2C57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 w:val="1"/>
              </w:rPr>
              <w:t>دقة سجل الأصول</w:t>
            </w:r>
          </w:p>
        </w:tc>
        <w:tc>
          <w:tcPr>
            <w:tcW w:w="459" w:type="pct"/>
          </w:tcPr>
          <w:p w14:paraId="265ADC4D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نسبة أصول المعلومات المصنفة والمسندة إلى مالك محدد.</w:t>
            </w:r>
          </w:p>
        </w:tc>
        <w:tc>
          <w:tcPr>
            <w:tcW w:w="306" w:type="pct"/>
          </w:tcPr>
          <w:p w14:paraId="06C22F85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ربع سنوية</w:t>
            </w:r>
          </w:p>
        </w:tc>
        <w:tc>
          <w:tcPr>
            <w:tcW w:w="497" w:type="pct"/>
          </w:tcPr>
          <w:p w14:paraId="62A5C7F9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100% من الأصول ضمن النطاق</w:t>
            </w:r>
          </w:p>
        </w:tc>
        <w:tc>
          <w:tcPr>
            <w:tcW w:w="382" w:type="pct"/>
          </w:tcPr>
          <w:p w14:paraId="0CF58050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سجل جرد أصول المعلومات (ISMS-DOC-A05-9-2)</w:t>
            </w:r>
          </w:p>
        </w:tc>
        <w:tc>
          <w:tcPr>
            <w:tcW w:w="536" w:type="pct"/>
          </w:tcPr>
          <w:p w14:paraId="4EA392C4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أخضر</w:t>
            </w:r>
          </w:p>
        </w:tc>
        <w:tc>
          <w:tcPr>
            <w:tcW w:w="1400" w:type="pct"/>
          </w:tcPr>
          <w:p w14:paraId="41484345" w14:textId="0E72368E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100% (48 أصلاً) مصنفة ومعروفة المالك والتشغيل، ومرتبطة بدرجات السرية والسلامة والتوافر ومستوى الأهمية والحساسية.</w:t>
            </w:r>
          </w:p>
        </w:tc>
        <w:tc>
          <w:tcPr>
            <w:tcW w:w="501" w:type="pct"/>
          </w:tcPr>
          <w:p w14:paraId="0C498F7A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تحديث ربع سنوي؛ أُضيفت 4 أصول جديدة في 2026-08 بعد تحديث منصة آفاق بلس.</w:t>
            </w:r>
          </w:p>
        </w:tc>
        <w:tc>
          <w:tcPr>
            <w:tcW w:w="501" w:type="pct"/>
          </w:tcPr>
          <w:p w14:paraId="7D11F3E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66275085" w14:textId="77777777" w:rsidTr="008D2BD9">
        <w:trPr>
          <w:trHeight w:val="1610"/>
        </w:trPr>
        <w:tc>
          <w:tcPr>
            <w:tcW w:w="418" w:type="pct"/>
          </w:tcPr>
          <w:p w14:paraId="371DC7C3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 w:val="1"/>
              </w:rPr>
              <w:t>معالجة الثغرات</w:t>
            </w:r>
          </w:p>
        </w:tc>
        <w:tc>
          <w:tcPr>
            <w:tcW w:w="459" w:type="pct"/>
          </w:tcPr>
          <w:p w14:paraId="0C85531E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نسبة الثغرات المكتشفة التي عولجت ضمن مستوى الخدمة الزمني المعتمد.</w:t>
            </w:r>
          </w:p>
        </w:tc>
        <w:tc>
          <w:tcPr>
            <w:tcW w:w="306" w:type="pct"/>
          </w:tcPr>
          <w:p w14:paraId="71D2601D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شهرية/ربع سنوية</w:t>
            </w:r>
          </w:p>
        </w:tc>
        <w:tc>
          <w:tcPr>
            <w:tcW w:w="497" w:type="pct"/>
          </w:tcPr>
          <w:p w14:paraId="2EBE3DE9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100% من الثغرات الحرجة (7 أيام) والعالية (15 يوماً)</w:t>
            </w:r>
          </w:p>
        </w:tc>
        <w:tc>
          <w:tcPr>
            <w:tcW w:w="382" w:type="pct"/>
          </w:tcPr>
          <w:p w14:paraId="5359D368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تقارير فحص الثغرات (Qualys) وتذاكر Jira</w:t>
            </w:r>
          </w:p>
        </w:tc>
        <w:tc>
          <w:tcPr>
            <w:tcW w:w="536" w:type="pct"/>
          </w:tcPr>
          <w:p w14:paraId="301DCB9F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أحمر</w:t>
            </w:r>
          </w:p>
        </w:tc>
        <w:tc>
          <w:tcPr>
            <w:tcW w:w="1400" w:type="pct"/>
          </w:tcPr>
          <w:p w14:paraId="38102CBA" w14:textId="74425758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71% (10 من 14 ثغرة عالية/حرجة عولجت ضمن المدة)؛ وصفر ثغرة حرجة أو عالية مفتوحة حتى 2026-08-31، مع بقاء 5 ثغرات متوسطة تجاوزت 30 يوماً.</w:t>
            </w:r>
          </w:p>
        </w:tc>
        <w:tc>
          <w:tcPr>
            <w:tcW w:w="501" w:type="pct"/>
          </w:tcPr>
          <w:p w14:paraId="5F909D48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حالة عدم المطابقة NC-05؛ إغلاق الثغرات المتوسطة الخمس قبل 2026-10-31 وتصعيد تلقائي عند تجاوز 75% من المدة.</w:t>
            </w:r>
          </w:p>
        </w:tc>
        <w:tc>
          <w:tcPr>
            <w:tcW w:w="501" w:type="pct"/>
          </w:tcPr>
          <w:p w14:paraId="49EEB87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0B823455" w14:textId="77777777" w:rsidTr="008D2BD9">
        <w:trPr>
          <w:trHeight w:val="1610"/>
        </w:trPr>
        <w:tc>
          <w:tcPr>
            <w:tcW w:w="418" w:type="pct"/>
          </w:tcPr>
          <w:p w14:paraId="0D48ED5D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 w:val="1"/>
              </w:rPr>
              <w:t>امتثال مراجعة الوثائق</w:t>
            </w:r>
          </w:p>
        </w:tc>
        <w:tc>
          <w:tcPr>
            <w:tcW w:w="459" w:type="pct"/>
          </w:tcPr>
          <w:p w14:paraId="41C6C39B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نسبة وثائق ISMS التي رُوجعت وحُدثت وفق الجدول الزمني المعتمد.</w:t>
            </w:r>
          </w:p>
        </w:tc>
        <w:tc>
          <w:tcPr>
            <w:tcW w:w="306" w:type="pct"/>
          </w:tcPr>
          <w:p w14:paraId="014ADB58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سنوية</w:t>
            </w:r>
          </w:p>
        </w:tc>
        <w:tc>
          <w:tcPr>
            <w:tcW w:w="497" w:type="pct"/>
          </w:tcPr>
          <w:p w14:paraId="2FCD5DC4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100% مراجعة</w:t>
            </w:r>
          </w:p>
        </w:tc>
        <w:tc>
          <w:tcPr>
            <w:tcW w:w="382" w:type="pct"/>
          </w:tcPr>
          <w:p w14:paraId="7492F4C7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سجل وثائق ISMS وسجل مراجعة الوثائق</w:t>
            </w:r>
          </w:p>
        </w:tc>
        <w:tc>
          <w:tcPr>
            <w:tcW w:w="536" w:type="pct"/>
          </w:tcPr>
          <w:p w14:paraId="23B5E9A3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أخضر</w:t>
            </w:r>
          </w:p>
        </w:tc>
        <w:tc>
          <w:tcPr>
            <w:tcW w:w="1400" w:type="pct"/>
          </w:tcPr>
          <w:p w14:paraId="44C5740F" w14:textId="021967F6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100% (17 وثيقة) أصدرت أو رُوجعت ضمن الجدول بين 2026-01-22 و2026-09-07.</w:t>
            </w:r>
          </w:p>
        </w:tc>
        <w:tc>
          <w:tcPr>
            <w:tcW w:w="501" w:type="pct"/>
          </w:tcPr>
          <w:p w14:paraId="66024C1F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المراجعة الدورية الشاملة التالية 2027-03-01؛ وأي تغيير جوهري يستوجب مراجعة فورية.</w:t>
            </w:r>
          </w:p>
        </w:tc>
        <w:tc>
          <w:tcPr>
            <w:tcW w:w="501" w:type="pct"/>
          </w:tcPr>
          <w:p w14:paraId="012F37F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  <w:tr w:rsidR="008D2BD9" w:rsidRPr="008D2BD9" w14:paraId="768E8D3E" w14:textId="77777777" w:rsidTr="008D2BD9">
        <w:trPr>
          <w:trHeight w:val="1880"/>
        </w:trPr>
        <w:tc>
          <w:tcPr>
            <w:tcW w:w="418" w:type="pct"/>
          </w:tcPr>
          <w:p w14:paraId="1D1E4632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  <w:rtl w:val="1"/>
              </w:rPr>
              <w:t>امتثال إلغاء الصلاحيات</w:t>
            </w:r>
          </w:p>
        </w:tc>
        <w:tc>
          <w:tcPr>
            <w:tcW w:w="459" w:type="pct"/>
          </w:tcPr>
          <w:p w14:paraId="2D77BCAD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نسبة الموظفين المنتهية خدماتهم أو المنقولين الذين أُلغيت صلاحياتهم ضمن المدة المعتمدة.</w:t>
            </w:r>
          </w:p>
        </w:tc>
        <w:tc>
          <w:tcPr>
            <w:tcW w:w="306" w:type="pct"/>
          </w:tcPr>
          <w:p w14:paraId="658E0622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شهرية/ربع سنوية</w:t>
            </w:r>
          </w:p>
        </w:tc>
        <w:tc>
          <w:tcPr>
            <w:tcW w:w="497" w:type="pct"/>
          </w:tcPr>
          <w:p w14:paraId="148E4146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100% خلال 24 ساعة (و4 ساعات وفق SOP-IT-005)</w:t>
            </w:r>
          </w:p>
        </w:tc>
        <w:tc>
          <w:tcPr>
            <w:tcW w:w="382" w:type="pct"/>
          </w:tcPr>
          <w:p w14:paraId="306AE06A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  <w:rtl w:val="1"/>
              </w:rPr>
              <w:t>سجلات ضوابط الوصول وإشعارات الموارد البشرية</w:t>
            </w:r>
          </w:p>
        </w:tc>
        <w:tc>
          <w:tcPr>
            <w:tcW w:w="536" w:type="pct"/>
          </w:tcPr>
          <w:p w14:paraId="2BF7550A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أصفر</w:t>
            </w:r>
          </w:p>
        </w:tc>
        <w:tc>
          <w:tcPr>
            <w:tcW w:w="1400" w:type="pct"/>
          </w:tcPr>
          <w:p w14:paraId="0F300F03" w14:textId="14D0DE92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93% (28 من 30 حالة إنهاء خدمة أو نقل خلال الفترة) عولجت خلال 24 ساعة؛ وتأخرت حالتان 72 ساعة لغياب الربط الآلي مع نظام الموارد البشرية.</w:t>
            </w:r>
          </w:p>
        </w:tc>
        <w:tc>
          <w:tcPr>
            <w:tcW w:w="501" w:type="pct"/>
          </w:tcPr>
          <w:p w14:paraId="41BCAB06" w14:textId="77777777" w:rsidR="008D2BD9" w:rsidRPr="008D2BD9" w:rsidRDefault="008D2BD9">
            <w:pPr>
              <w:bidi w:val="1"/>
              <w:rPr>
                <w:rFonts w:ascii="Aptos" w:hAnsi="Aptos"/>
                <w:sz w:val="18"/>
                <w:szCs w:val="18"/>
              </w:rPr>
            </w:pPr>
            <w:r>
              <w:rPr>
                <w:rtl w:val="1"/>
              </w:rPr>
              <w:t>الربط الآلي بين نظام الموارد البشرية وActive Directory ضمن مشروع إدارة الهويات (IAM) قبل 2026-12-31.</w:t>
            </w:r>
          </w:p>
        </w:tc>
        <w:tc>
          <w:tcPr>
            <w:tcW w:w="501" w:type="pct"/>
          </w:tcPr>
          <w:p w14:paraId="7DF9E33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t>2026-09-07</w:t>
            </w:r>
          </w:p>
        </w:tc>
      </w:tr>
    </w:tbl>
    <w:p w14:paraId="55CD82D3" w14:textId="77777777" w:rsidR="003D12FC" w:rsidRPr="008D2BD9" w:rsidRDefault="003D12FC">
      <w:pPr>
        <w:bidi w:val="1"/>
        <w:jc w:val="both"/>
        <w:rPr>
          <w:rFonts w:ascii="Aptos" w:hAnsi="Aptos"/>
        </w:rPr>
      </w:pPr>
      <w:r>
        <w:rPr>
          <w:rtl w:val="1"/>
        </w:rPr>
        <w:t>الخلاصة والتوصيات: النظام فعال في جوانبه الأساسية لكنه غير مكتمل النضج بما يكفي للتقدم الفوري لشهادة ISO/IEC 27001؛ وأوصت لجنة أمن المعلومات بـ: (1) تسريع تشغيل SIEM وربط 12 مصدراً حرجاً للسجلات، (2) تنفيذ مراجعة شاملة لحقوق الوصول قبل 2026-10-31، (3) إغلاق الثغرات المتوسطة الخمس واعتماد المتابعة الشهرية الموثقة، (4) تنفيذ اختبار التعافي الشامل في 2026-11-19، (5) استكمال تقييم الموردين الحرجين الستة، (6) ربط إنجاز إجراءات معالجة المخاطر بتقييم أداء المسؤولين. ويُرفع تقرير المتابعة التالي في 2026-12-07.</w:t>
        <w:br/>
        <w:t>إعداد: فريق حوكمة أمن المعلومات (2026-09-07) - مراجعة: الأستاذة سارة الحربي مدير إدارة أمن المعلومات (2026-09-08) - اعتماد: الدكتورة نورة القحطاني الرئيس التنفيذي (2026-09-10).</w:t>
      </w:r>
    </w:p>
    <w:sectPr w:rsidR="003D12FC" w:rsidRPr="008D2BD9">
      <w:headerReference w:type="default" r:id="rId14"/>
      <w:footerReference w:type="default" r:id="rId15"/>
      <w:headerReference w:type="first" r:id="rId16"/>
      <w:footerReference w:type="first" r:id="rId17"/>
      <w:headerReference w:type="even" r:id="rId18"/>
      <w:footerReference w:type="even" r:id="rId19"/>
      <w:pgSz w:w="16838" w:h="11906" w:orient="landscape"/>
      <w:pgMar w:top="1440" w:right="1440" w:bottom="1440" w:left="1440" w:header="708" w:footer="708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lan Parker" w:date="2026-03-01T17:48:00Z" w:initials="AP">
    <w:p w14:paraId="5D809E98" w14:textId="77777777" w:rsidR="008D2BD9" w:rsidRDefault="008D2BD9" w:rsidP="008D2BD9">
      <w:pPr>
        <w:pStyle w:val="CommentText"/>
      </w:pPr>
      <w:r>
        <w:rPr>
          <w:rStyle w:val="CommentReference"/>
        </w:rPr>
        <w:annotationRef/>
      </w:r>
      <w:r>
        <w:t>All values are simply examples, not mandatory measures. Adapt as necessary.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809E9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FCF9645" w16cex:dateUtc="2026-03-01T17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809E98" w16cid:durableId="7FCF964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18542" w14:textId="77777777" w:rsidR="004A23F8" w:rsidRDefault="004A23F8">
      <w:pPr>
        <w:spacing w:line="240" w:lineRule="auto"/>
      </w:pPr>
      <w:r>
        <w:separator/>
      </w:r>
    </w:p>
  </w:endnote>
  <w:endnote w:type="continuationSeparator" w:id="0">
    <w:p w14:paraId="340EF775" w14:textId="77777777" w:rsidR="004A23F8" w:rsidRDefault="004A23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8B467" w14:textId="77777777" w:rsidR="004A23F8" w:rsidRDefault="004A23F8">
      <w:pPr>
        <w:spacing w:line="240" w:lineRule="auto"/>
      </w:pPr>
      <w:r>
        <w:separator/>
      </w:r>
    </w:p>
  </w:footnote>
  <w:footnote w:type="continuationSeparator" w:id="0">
    <w:p w14:paraId="5D015161" w14:textId="77777777" w:rsidR="004A23F8" w:rsidRDefault="004A23F8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93737"/>
    <w:multiLevelType w:val="hybridMultilevel"/>
    <w:tmpl w:val="4C7236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07860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an Parker">
    <w15:presenceInfo w15:providerId="AD" w15:userId="S::alan.parker@iseoblue.com::1fc92951-31a6-4fe1-85e4-058ff6690d9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YxtDS3NDexNDQ2MjNQ0lEKTi0uzszPAykwrgUAWrczRSwAAAA="/>
  </w:docVars>
  <w:rsids>
    <w:rsidRoot w:val="003D12FC"/>
    <w:rsid w:val="0018387B"/>
    <w:rsid w:val="00273511"/>
    <w:rsid w:val="003D12FC"/>
    <w:rsid w:val="004A23F8"/>
    <w:rsid w:val="00703324"/>
    <w:rsid w:val="00887C5F"/>
    <w:rsid w:val="008D2BD9"/>
    <w:rsid w:val="009F57BE"/>
    <w:rsid w:val="00D71AF4"/>
    <w:rsid w:val="00DA2A9E"/>
    <w:rsid w:val="00F9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1348D"/>
  <w15:docId w15:val="{55F0BFE4-4223-4308-B86B-06707122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BD9"/>
  </w:style>
  <w:style w:type="paragraph" w:styleId="Heading1">
    <w:name w:val="heading 1"/>
    <w:basedOn w:val="Normal"/>
    <w:next w:val="Normal"/>
    <w:link w:val="Heading1Char"/>
    <w:uiPriority w:val="9"/>
    <w:qFormat/>
    <w:rsid w:val="008D2BD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BD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2BD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B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BD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BD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BD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B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D2BD9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BD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1F0C8"/>
    </w:tcPr>
    <w:tblStylePr w:type="firstRow">
      <w:rPr>
        <w:b/>
        <w:color w:val="FFFFFF"/>
      </w:rPr>
      <w:tblPr/>
      <w:tcPr>
        <w:tcBorders>
          <w:top w:val="single" w:sz="4" w:space="0" w:color="0F9ED5"/>
          <w:left w:val="single" w:sz="4" w:space="0" w:color="0F9ED5"/>
          <w:bottom w:val="single" w:sz="4" w:space="0" w:color="0F9ED5"/>
          <w:right w:val="single" w:sz="4" w:space="0" w:color="0F9ED5"/>
          <w:insideH w:val="nil"/>
          <w:insideV w:val="nil"/>
        </w:tcBorders>
        <w:shd w:val="clear" w:color="auto" w:fill="0F9ED5"/>
      </w:tcPr>
    </w:tblStylePr>
    <w:tblStylePr w:type="lastRow">
      <w:rPr>
        <w:b/>
      </w:rPr>
      <w:tblPr/>
      <w:tcPr>
        <w:tcBorders>
          <w:top w:val="single" w:sz="4" w:space="0" w:color="0F9E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AEDFB"/>
      </w:tcPr>
    </w:tblStylePr>
    <w:tblStylePr w:type="band1Horz">
      <w:tblPr/>
      <w:tcPr>
        <w:shd w:val="clear" w:color="auto" w:fill="CAEDFB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87C5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C5F"/>
  </w:style>
  <w:style w:type="paragraph" w:styleId="Footer">
    <w:name w:val="footer"/>
    <w:basedOn w:val="Normal"/>
    <w:link w:val="FooterChar"/>
    <w:uiPriority w:val="99"/>
    <w:unhideWhenUsed/>
    <w:rsid w:val="00887C5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C5F"/>
  </w:style>
  <w:style w:type="paragraph" w:styleId="ListParagraph">
    <w:name w:val="List Paragraph"/>
    <w:basedOn w:val="Normal"/>
    <w:uiPriority w:val="34"/>
    <w:qFormat/>
    <w:rsid w:val="008D2BD9"/>
    <w:pPr>
      <w:ind w:left="720"/>
      <w:contextualSpacing/>
    </w:pPr>
  </w:style>
  <w:style w:type="table" w:styleId="TableGrid">
    <w:name w:val="Table Grid"/>
    <w:basedOn w:val="TableNormal"/>
    <w:uiPriority w:val="39"/>
    <w:rsid w:val="008D2BD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D2B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2BD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D2BD9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D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BD9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BD9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BD9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BD9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BD9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D2BD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TitleChar">
    <w:name w:val="Title Char"/>
    <w:basedOn w:val="DefaultParagraphFont"/>
    <w:link w:val="Title"/>
    <w:uiPriority w:val="10"/>
    <w:rsid w:val="008D2BD9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D2BD9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D2BD9"/>
    <w:rPr>
      <w:b/>
      <w:bCs/>
    </w:rPr>
  </w:style>
  <w:style w:type="character" w:styleId="Emphasis">
    <w:name w:val="Emphasis"/>
    <w:basedOn w:val="DefaultParagraphFont"/>
    <w:uiPriority w:val="20"/>
    <w:qFormat/>
    <w:rsid w:val="008D2BD9"/>
    <w:rPr>
      <w:i/>
      <w:iCs/>
    </w:rPr>
  </w:style>
  <w:style w:type="paragraph" w:styleId="NoSpacing">
    <w:name w:val="No Spacing"/>
    <w:uiPriority w:val="1"/>
    <w:qFormat/>
    <w:rsid w:val="008D2BD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D2BD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BD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BD9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BD9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D2BD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D2BD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D2BD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D2BD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D2BD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2BD9"/>
    <w:pPr>
      <w:outlineLvl w:val="9"/>
    </w:pPr>
  </w:style>
  <w:style w:type="table" w:styleId="ListTable3-Accent1">
    <w:name w:val="List Table 3 Accent 1"/>
    <w:basedOn w:val="TableNormal"/>
    <w:uiPriority w:val="48"/>
    <w:rsid w:val="008D2BD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8D2B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D2B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D2BD9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8D2BD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2B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2B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654</Words>
  <Characters>4075</Characters>
  <Application>Microsoft Office Word</Application>
  <DocSecurity>0</DocSecurity>
  <Lines>452</Lines>
  <Paragraphs>163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مدير إدارة أمن المعلومات</cp:lastModifiedBy>
  <cp:revision>2</cp:revision>
  <dcterms:created xsi:type="dcterms:W3CDTF">2025-02-07T16:38:00Z</dcterms:created>
  <dcterms:modified xsi:type="dcterms:W3CDTF">2026-03-01T17:48:00Z</dcterms:modified>
  <dc:title>تقرير أداء نظام إدارة أمن المعلومات (ISMS-PERF-09-1) - بنك الآفاق الرقمية</dc:title>
  <dc:creator>بنك الآفاق الرقمية - إدارة أمن المعلومات</dc:creator>
  <dc:subject>ISO/IEC 27001:2022 البند 9.1 - المراقبة والقياس والتحليل والتقييم</dc:subject>
  <cp:keywords>ISMS, Performance Report, KPI, RAG, بنك الآفاق الرقمية</cp:keywords>
  <cp:category>سري - استخدام داخلي</cp:category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22cbf104-2ac3-4518-85ae-5069655dfb28</vt:lpwstr>
  </property>
</Properties>
</file>