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8A9C5" w14:textId="77777777" w:rsidR="00DD2FD3" w:rsidRDefault="00DD2FD3" w:rsidP="00DD2FD3">
      <w:pPr>
        <w:rPr>
          <w:rFonts w:ascii="Times New Roman" w:eastAsia="Times New Roman" w:hAnsi="Times New Roman" w:cs="Times New Roman"/>
          <w:b/>
          <w:bCs/>
          <w:color w:val="auto"/>
          <w:sz w:val="24"/>
        </w:rPr>
      </w:pPr>
      <w:r w:rsidRPr="00EB590F">
        <w:rPr>
          <w:rFonts w:ascii="Times New Roman" w:eastAsia="Times New Roman" w:hAnsi="Times New Roman" w:cs="Times New Roman"/>
          <w:b/>
          <w:bCs/>
          <w:color w:val="auto"/>
          <w:sz w:val="24"/>
        </w:rPr>
        <w:t>4.1.1 Domain and Problem Boundary</w:t>
      </w:r>
    </w:p>
    <w:p w14:paraId="6325BFE8" w14:textId="77777777" w:rsidR="00DD2FD3" w:rsidRDefault="00DD2FD3" w:rsidP="00DD2FD3">
      <w:pPr>
        <w:rPr>
          <w:rFonts w:ascii="Times New Roman" w:eastAsia="Times New Roman" w:hAnsi="Times New Roman" w:cs="Times New Roman"/>
          <w:color w:val="auto"/>
        </w:rPr>
      </w:pPr>
      <w:r>
        <w:rPr>
          <w:rFonts w:ascii="Times New Roman" w:eastAsia="Times New Roman" w:hAnsi="Times New Roman" w:cs="Times New Roman"/>
          <w:color w:val="auto"/>
        </w:rPr>
        <w:t>This thesis focus on the domain of grocery and fast-moving consumer goods (FMCG) retail, in particular the problem of SKU-level demand forecasting and replenishment planning. The system is tailored for inventory planners and category managers who need to make reordering decisions weekly or bi weekly, and who may not have a solid background in forecasting. The core problem being addressed is the actionability and explanability gap , the bridge between the output of a forecasting model outputs and what the user can understand, trust and act upon.</w:t>
      </w:r>
    </w:p>
    <w:p w14:paraId="3A402337" w14:textId="77777777" w:rsidR="00DD2FD3" w:rsidRDefault="00DD2FD3" w:rsidP="00DD2FD3">
      <w:pPr>
        <w:rPr>
          <w:rFonts w:ascii="Times New Roman" w:eastAsia="Times New Roman" w:hAnsi="Times New Roman" w:cs="Times New Roman"/>
          <w:color w:val="auto"/>
        </w:rPr>
      </w:pPr>
      <w:r>
        <w:rPr>
          <w:rFonts w:ascii="Times New Roman" w:eastAsia="Times New Roman" w:hAnsi="Times New Roman" w:cs="Times New Roman"/>
          <w:color w:val="auto"/>
        </w:rPr>
        <w:t>The system operates at the SKU store level, it produces individual forecasting and replenishment recommendations for each product and explain why in a human way. This was chosen because replenishment decisions differ for each SKU depending on its location, region, and customer demographics.</w:t>
      </w:r>
    </w:p>
    <w:p w14:paraId="4993B917" w14:textId="77777777" w:rsidR="00DD2FD3" w:rsidRDefault="00DD2FD3" w:rsidP="00DD2FD3">
      <w:pPr>
        <w:rPr>
          <w:rFonts w:ascii="Times New Roman" w:eastAsia="Times New Roman" w:hAnsi="Times New Roman" w:cs="Times New Roman"/>
          <w:b/>
          <w:bCs/>
          <w:color w:val="auto"/>
          <w:sz w:val="24"/>
          <w:szCs w:val="24"/>
        </w:rPr>
      </w:pPr>
      <w:r w:rsidRPr="00642A8B">
        <w:rPr>
          <w:rFonts w:ascii="Times New Roman" w:eastAsia="Times New Roman" w:hAnsi="Times New Roman" w:cs="Times New Roman"/>
          <w:b/>
          <w:bCs/>
          <w:color w:val="auto"/>
          <w:sz w:val="24"/>
          <w:szCs w:val="24"/>
        </w:rPr>
        <w:t>4.1.2  Data Scope</w:t>
      </w:r>
    </w:p>
    <w:p w14:paraId="43308577" w14:textId="77777777" w:rsidR="00DD2FD3" w:rsidRDefault="00DD2FD3" w:rsidP="00DD2FD3">
      <w:pPr>
        <w:rPr>
          <w:rFonts w:ascii="Times New Roman" w:eastAsia="Times New Roman" w:hAnsi="Times New Roman" w:cs="Times New Roman"/>
          <w:color w:val="auto"/>
        </w:rPr>
      </w:pPr>
      <w:r w:rsidRPr="00D94DB2">
        <w:rPr>
          <w:rFonts w:ascii="Times New Roman" w:eastAsia="Times New Roman" w:hAnsi="Times New Roman" w:cs="Times New Roman"/>
          <w:color w:val="auto"/>
        </w:rPr>
        <w:t xml:space="preserve">The </w:t>
      </w:r>
      <w:r>
        <w:rPr>
          <w:rFonts w:ascii="Times New Roman" w:eastAsia="Times New Roman" w:hAnsi="Times New Roman" w:cs="Times New Roman"/>
          <w:color w:val="auto"/>
        </w:rPr>
        <w:t>system is developed using a combination of  publicly available benchmark datasets and later , real company data. The public dataset is for model development while the private company data allows the system to be stress-tested and validated by real users.</w:t>
      </w:r>
    </w:p>
    <w:p w14:paraId="377D0577" w14:textId="77777777" w:rsidR="00DD2FD3" w:rsidRDefault="00DD2FD3" w:rsidP="00DD2FD3">
      <w:pPr>
        <w:rPr>
          <w:rFonts w:ascii="Times New Roman" w:eastAsia="Times New Roman" w:hAnsi="Times New Roman" w:cs="Times New Roman"/>
          <w:color w:val="auto"/>
        </w:rPr>
      </w:pPr>
      <w:r>
        <w:rPr>
          <w:rFonts w:ascii="Times New Roman" w:eastAsia="Times New Roman" w:hAnsi="Times New Roman" w:cs="Times New Roman"/>
          <w:color w:val="auto"/>
        </w:rPr>
        <w:t>The following public data sets will be used in the development phase:</w:t>
      </w:r>
    </w:p>
    <w:p w14:paraId="52477AE6" w14:textId="77777777" w:rsidR="00DD2FD3" w:rsidRDefault="00DD2FD3" w:rsidP="00DD2FD3">
      <w:pPr>
        <w:rPr>
          <w:rFonts w:asciiTheme="majorBidi" w:hAnsiTheme="majorBidi" w:cstheme="majorBidi"/>
        </w:rPr>
      </w:pPr>
      <w:r w:rsidRPr="00D94DB2">
        <w:rPr>
          <w:rFonts w:asciiTheme="majorBidi" w:hAnsiTheme="majorBidi" w:cstheme="majorBidi"/>
          <w:b/>
          <w:bCs/>
        </w:rPr>
        <w:t>M5 Forecasting (Walmart, Kaggle):</w:t>
      </w:r>
      <w:r>
        <w:rPr>
          <w:rFonts w:asciiTheme="majorBidi" w:hAnsiTheme="majorBidi" w:cstheme="majorBidi"/>
          <w:b/>
          <w:bCs/>
        </w:rPr>
        <w:t xml:space="preserve"> </w:t>
      </w:r>
      <w:r>
        <w:rPr>
          <w:rFonts w:asciiTheme="majorBidi" w:hAnsiTheme="majorBidi" w:cstheme="majorBidi"/>
        </w:rPr>
        <w:t>A dataset containing daily unit sales for 3049 products across 10 Walmart stores in three U.S states, spanning 5 years. This dataset will be used as the primary dataset.</w:t>
      </w:r>
    </w:p>
    <w:p w14:paraId="1B42AD23" w14:textId="77777777" w:rsidR="00DD2FD3" w:rsidRDefault="00DD2FD3" w:rsidP="00DD2FD3">
      <w:pPr>
        <w:rPr>
          <w:rFonts w:asciiTheme="majorBidi" w:hAnsiTheme="majorBidi" w:cstheme="majorBidi"/>
        </w:rPr>
      </w:pPr>
      <w:r w:rsidRPr="00D94DB2">
        <w:rPr>
          <w:rFonts w:asciiTheme="majorBidi" w:hAnsiTheme="majorBidi" w:cstheme="majorBidi"/>
          <w:b/>
          <w:bCs/>
        </w:rPr>
        <w:t>Rossmann Store Sales (Kaggle):</w:t>
      </w:r>
      <w:r>
        <w:rPr>
          <w:rFonts w:asciiTheme="majorBidi" w:hAnsiTheme="majorBidi" w:cstheme="majorBidi"/>
          <w:b/>
          <w:bCs/>
        </w:rPr>
        <w:t xml:space="preserve"> </w:t>
      </w:r>
      <w:r>
        <w:rPr>
          <w:rFonts w:asciiTheme="majorBidi" w:hAnsiTheme="majorBidi" w:cstheme="majorBidi"/>
        </w:rPr>
        <w:t>Contains daily sales for 1115 Rossman drug stores across Germany, including promotional indicators m store type and competitor distance features. This will be used a secondary dataset and provides a perspective on promotional demand effects in European retail context.</w:t>
      </w:r>
    </w:p>
    <w:p w14:paraId="67F8DA8C" w14:textId="77777777" w:rsidR="00DD2FD3" w:rsidRDefault="00DD2FD3" w:rsidP="00DD2FD3">
      <w:pPr>
        <w:rPr>
          <w:rFonts w:asciiTheme="majorBidi" w:eastAsia="Times New Roman" w:hAnsiTheme="majorBidi" w:cstheme="majorBidi"/>
          <w:color w:val="auto"/>
        </w:rPr>
      </w:pPr>
      <w:r w:rsidRPr="005A2296">
        <w:rPr>
          <w:rFonts w:asciiTheme="majorBidi" w:eastAsia="Times New Roman" w:hAnsiTheme="majorBidi" w:cstheme="majorBidi"/>
          <w:b/>
          <w:bCs/>
          <w:color w:val="auto"/>
        </w:rPr>
        <w:t>Favorita Grocery Sales (Kaggle):</w:t>
      </w:r>
      <w:r>
        <w:rPr>
          <w:rFonts w:asciiTheme="majorBidi" w:eastAsia="Times New Roman" w:hAnsiTheme="majorBidi" w:cstheme="majorBidi"/>
          <w:b/>
          <w:bCs/>
          <w:color w:val="auto"/>
        </w:rPr>
        <w:t xml:space="preserve"> </w:t>
      </w:r>
      <w:r>
        <w:rPr>
          <w:rFonts w:asciiTheme="majorBidi" w:eastAsia="Times New Roman" w:hAnsiTheme="majorBidi" w:cstheme="majorBidi"/>
          <w:color w:val="auto"/>
        </w:rPr>
        <w:t xml:space="preserve">From </w:t>
      </w:r>
      <w:r w:rsidRPr="005A2296">
        <w:rPr>
          <w:rFonts w:asciiTheme="majorBidi" w:eastAsia="Times New Roman" w:hAnsiTheme="majorBidi" w:cstheme="majorBidi"/>
          <w:color w:val="auto"/>
        </w:rPr>
        <w:t>Corporación Favorita</w:t>
      </w:r>
      <w:r>
        <w:rPr>
          <w:rFonts w:asciiTheme="majorBidi" w:eastAsia="Times New Roman" w:hAnsiTheme="majorBidi" w:cstheme="majorBidi"/>
          <w:color w:val="auto"/>
        </w:rPr>
        <w:t xml:space="preserve"> , an Ecuadorian grocery chain , contains daily sales for thousands of products across more than 50 stores. This will be used a third validation context in a non-western market.</w:t>
      </w:r>
    </w:p>
    <w:p w14:paraId="50E52DF6" w14:textId="77777777" w:rsidR="00DD2FD3" w:rsidRDefault="00DD2FD3" w:rsidP="00DD2FD3">
      <w:pPr>
        <w:rPr>
          <w:rFonts w:asciiTheme="majorBidi" w:eastAsia="Times New Roman" w:hAnsiTheme="majorBidi" w:cstheme="majorBidi"/>
          <w:color w:val="auto"/>
        </w:rPr>
      </w:pPr>
      <w:r>
        <w:rPr>
          <w:rFonts w:asciiTheme="majorBidi" w:eastAsia="Times New Roman" w:hAnsiTheme="majorBidi" w:cstheme="majorBidi"/>
          <w:color w:val="auto"/>
        </w:rPr>
        <w:t>Synthetic Data Augmentation: Incase the any of the datasets lack critical inventory specific fields such as stock on hand, lead time, reorder cost and supplier constraints , synthetic values will be generated using statistically grounded simulation.</w:t>
      </w:r>
    </w:p>
    <w:p w14:paraId="03210EF0" w14:textId="77777777" w:rsidR="00DD2FD3" w:rsidRDefault="00DD2FD3" w:rsidP="00DD2FD3">
      <w:pPr>
        <w:rPr>
          <w:rFonts w:asciiTheme="majorBidi" w:eastAsia="Times New Roman" w:hAnsiTheme="majorBidi" w:cstheme="majorBidi"/>
          <w:color w:val="auto"/>
        </w:rPr>
      </w:pPr>
      <w:r>
        <w:rPr>
          <w:rFonts w:asciiTheme="majorBidi" w:eastAsia="Times New Roman" w:hAnsiTheme="majorBidi" w:cstheme="majorBidi"/>
          <w:color w:val="auto"/>
        </w:rPr>
        <w:t>In the final validation phase , the trained system will be applied to a private retail company dataset. This evaluates the systems generalizability and assesses the practicality of the NLM used to output natural language explanation. Due to confidentiality constraints. Results from this phase will be reported in aggregate form.</w:t>
      </w:r>
    </w:p>
    <w:p w14:paraId="2646B520" w14:textId="77777777" w:rsidR="00DD2FD3" w:rsidRPr="003D7C67" w:rsidRDefault="00DD2FD3" w:rsidP="00DD2FD3">
      <w:pPr>
        <w:rPr>
          <w:rFonts w:asciiTheme="majorBidi" w:eastAsia="Times New Roman" w:hAnsiTheme="majorBidi" w:cstheme="majorBidi"/>
          <w:b/>
          <w:bCs/>
          <w:color w:val="auto"/>
          <w:sz w:val="24"/>
          <w:szCs w:val="24"/>
        </w:rPr>
      </w:pPr>
      <w:r w:rsidRPr="003D7C67">
        <w:rPr>
          <w:rFonts w:asciiTheme="majorBidi" w:eastAsia="Times New Roman" w:hAnsiTheme="majorBidi" w:cstheme="majorBidi"/>
          <w:b/>
          <w:bCs/>
          <w:color w:val="auto"/>
          <w:sz w:val="24"/>
          <w:szCs w:val="24"/>
        </w:rPr>
        <w:t>4.1.3 What Is Within Scope</w:t>
      </w:r>
    </w:p>
    <w:p w14:paraId="019F5F5A" w14:textId="77777777" w:rsidR="00DD2FD3" w:rsidRDefault="00DD2FD3" w:rsidP="00DD2FD3">
      <w:pPr>
        <w:rPr>
          <w:rFonts w:ascii="Times New Roman" w:eastAsia="Times New Roman" w:hAnsi="Times New Roman" w:cs="Times New Roman"/>
          <w:color w:val="auto"/>
          <w:szCs w:val="28"/>
        </w:rPr>
      </w:pPr>
      <w:r>
        <w:rPr>
          <w:rFonts w:ascii="Times New Roman" w:eastAsia="Times New Roman" w:hAnsi="Times New Roman" w:cs="Times New Roman"/>
          <w:color w:val="auto"/>
          <w:szCs w:val="28"/>
        </w:rPr>
        <w:t>The following points are what is within the scope of this thesis:</w:t>
      </w:r>
    </w:p>
    <w:p w14:paraId="5A19B831" w14:textId="77777777" w:rsidR="00DD2FD3" w:rsidRDefault="00DD2FD3" w:rsidP="00DD2FD3">
      <w:pPr>
        <w:pStyle w:val="ListParagraph"/>
        <w:numPr>
          <w:ilvl w:val="0"/>
          <w:numId w:val="1"/>
        </w:numPr>
        <w:rPr>
          <w:rFonts w:ascii="Times New Roman" w:eastAsia="Times New Roman" w:hAnsi="Times New Roman" w:cs="Times New Roman"/>
          <w:color w:val="auto"/>
          <w:szCs w:val="28"/>
        </w:rPr>
      </w:pPr>
      <w:r>
        <w:rPr>
          <w:rFonts w:ascii="Times New Roman" w:eastAsia="Times New Roman" w:hAnsi="Times New Roman" w:cs="Times New Roman"/>
          <w:color w:val="auto"/>
          <w:szCs w:val="28"/>
        </w:rPr>
        <w:t>SKU-level demand forecasting using LightGBM as primary model, benchmarked against XGBOOST, ARIMA and Exponential Smoothing.</w:t>
      </w:r>
    </w:p>
    <w:p w14:paraId="27BC07FF" w14:textId="77777777" w:rsidR="00DD2FD3" w:rsidRDefault="00DD2FD3" w:rsidP="00DD2FD3">
      <w:pPr>
        <w:pStyle w:val="ListParagraph"/>
        <w:numPr>
          <w:ilvl w:val="0"/>
          <w:numId w:val="1"/>
        </w:numPr>
        <w:rPr>
          <w:rFonts w:ascii="Times New Roman" w:eastAsia="Times New Roman" w:hAnsi="Times New Roman" w:cs="Times New Roman"/>
          <w:color w:val="auto"/>
          <w:szCs w:val="28"/>
        </w:rPr>
      </w:pPr>
      <w:r>
        <w:rPr>
          <w:rFonts w:ascii="Times New Roman" w:eastAsia="Times New Roman" w:hAnsi="Times New Roman" w:cs="Times New Roman"/>
          <w:color w:val="auto"/>
          <w:szCs w:val="28"/>
        </w:rPr>
        <w:t>Quantile Forecasting to handle prediction uncertainty.</w:t>
      </w:r>
    </w:p>
    <w:p w14:paraId="738B788E" w14:textId="77777777" w:rsidR="00DD2FD3" w:rsidRDefault="00DD2FD3" w:rsidP="00DD2FD3">
      <w:pPr>
        <w:pStyle w:val="ListParagraph"/>
        <w:numPr>
          <w:ilvl w:val="0"/>
          <w:numId w:val="1"/>
        </w:numPr>
        <w:rPr>
          <w:rFonts w:ascii="Times New Roman" w:eastAsia="Times New Roman" w:hAnsi="Times New Roman" w:cs="Times New Roman"/>
          <w:color w:val="auto"/>
          <w:szCs w:val="28"/>
        </w:rPr>
      </w:pPr>
      <w:r>
        <w:rPr>
          <w:rFonts w:ascii="Times New Roman" w:eastAsia="Times New Roman" w:hAnsi="Times New Roman" w:cs="Times New Roman"/>
          <w:color w:val="auto"/>
          <w:szCs w:val="28"/>
        </w:rPr>
        <w:t>SHAP based post-hoc explainability applied to forecasts and replenishment recommendations , covering both local and global explanations.</w:t>
      </w:r>
    </w:p>
    <w:p w14:paraId="489CE542" w14:textId="77777777" w:rsidR="00DD2FD3" w:rsidRDefault="00DD2FD3" w:rsidP="00DD2FD3">
      <w:pPr>
        <w:pStyle w:val="ListParagraph"/>
        <w:numPr>
          <w:ilvl w:val="0"/>
          <w:numId w:val="1"/>
        </w:numPr>
        <w:rPr>
          <w:rFonts w:ascii="Times New Roman" w:eastAsia="Times New Roman" w:hAnsi="Times New Roman" w:cs="Times New Roman"/>
          <w:color w:val="auto"/>
          <w:szCs w:val="28"/>
        </w:rPr>
      </w:pPr>
      <w:r>
        <w:rPr>
          <w:rFonts w:ascii="Times New Roman" w:eastAsia="Times New Roman" w:hAnsi="Times New Roman" w:cs="Times New Roman"/>
          <w:color w:val="auto"/>
          <w:szCs w:val="28"/>
        </w:rPr>
        <w:t>Natural language generation for non-technical users</w:t>
      </w:r>
    </w:p>
    <w:p w14:paraId="4613F09D" w14:textId="77777777" w:rsidR="00DD2FD3" w:rsidRDefault="00DD2FD3" w:rsidP="00DD2FD3">
      <w:pPr>
        <w:pStyle w:val="ListParagraph"/>
        <w:numPr>
          <w:ilvl w:val="0"/>
          <w:numId w:val="1"/>
        </w:numPr>
        <w:rPr>
          <w:rFonts w:ascii="Times New Roman" w:eastAsia="Times New Roman" w:hAnsi="Times New Roman" w:cs="Times New Roman"/>
          <w:color w:val="auto"/>
          <w:szCs w:val="28"/>
        </w:rPr>
      </w:pPr>
      <w:r>
        <w:rPr>
          <w:rFonts w:ascii="Times New Roman" w:eastAsia="Times New Roman" w:hAnsi="Times New Roman" w:cs="Times New Roman"/>
          <w:color w:val="auto"/>
          <w:szCs w:val="28"/>
        </w:rPr>
        <w:lastRenderedPageBreak/>
        <w:t xml:space="preserve">Replenishment quantity recommendations taking into consideration both variable lead times and safety stock logic </w:t>
      </w:r>
    </w:p>
    <w:p w14:paraId="0602967F" w14:textId="77777777" w:rsidR="00DD2FD3" w:rsidRDefault="00DD2FD3" w:rsidP="00DD2FD3">
      <w:pPr>
        <w:pStyle w:val="ListParagraph"/>
        <w:numPr>
          <w:ilvl w:val="0"/>
          <w:numId w:val="1"/>
        </w:numPr>
        <w:rPr>
          <w:rFonts w:ascii="Times New Roman" w:eastAsia="Times New Roman" w:hAnsi="Times New Roman" w:cs="Times New Roman"/>
          <w:color w:val="auto"/>
          <w:szCs w:val="28"/>
        </w:rPr>
      </w:pPr>
      <w:r>
        <w:rPr>
          <w:rFonts w:ascii="Times New Roman" w:eastAsia="Times New Roman" w:hAnsi="Times New Roman" w:cs="Times New Roman"/>
          <w:color w:val="auto"/>
          <w:szCs w:val="28"/>
        </w:rPr>
        <w:t xml:space="preserve">Interactive Python Dash Dashboard with 4 views : </w:t>
      </w:r>
      <w:bookmarkStart w:id="0" w:name="_Hlk224023317"/>
      <w:r>
        <w:rPr>
          <w:rFonts w:ascii="Times New Roman" w:eastAsia="Times New Roman" w:hAnsi="Times New Roman" w:cs="Times New Roman"/>
          <w:color w:val="auto"/>
          <w:szCs w:val="28"/>
        </w:rPr>
        <w:t>forecast overview , SKU explorer explanations panel , what-if simulator.</w:t>
      </w:r>
    </w:p>
    <w:bookmarkEnd w:id="0"/>
    <w:p w14:paraId="2C544959" w14:textId="77777777" w:rsidR="00DD2FD3" w:rsidRDefault="00DD2FD3" w:rsidP="00DD2FD3">
      <w:pPr>
        <w:pStyle w:val="ListParagraph"/>
        <w:numPr>
          <w:ilvl w:val="0"/>
          <w:numId w:val="1"/>
        </w:numPr>
        <w:rPr>
          <w:rFonts w:ascii="Times New Roman" w:eastAsia="Times New Roman" w:hAnsi="Times New Roman" w:cs="Times New Roman"/>
          <w:color w:val="auto"/>
          <w:szCs w:val="28"/>
        </w:rPr>
      </w:pPr>
      <w:r>
        <w:rPr>
          <w:rFonts w:ascii="Times New Roman" w:eastAsia="Times New Roman" w:hAnsi="Times New Roman" w:cs="Times New Roman"/>
          <w:color w:val="auto"/>
          <w:szCs w:val="28"/>
        </w:rPr>
        <w:t>A set of 10 questions that the explainability component is designed to answer (4.2.3)</w:t>
      </w:r>
    </w:p>
    <w:p w14:paraId="388EB28D" w14:textId="77777777" w:rsidR="00DD2FD3" w:rsidRDefault="00DD2FD3" w:rsidP="00DD2FD3">
      <w:pPr>
        <w:pStyle w:val="ListParagraph"/>
        <w:numPr>
          <w:ilvl w:val="0"/>
          <w:numId w:val="1"/>
        </w:numPr>
        <w:rPr>
          <w:rFonts w:ascii="Times New Roman" w:eastAsia="Times New Roman" w:hAnsi="Times New Roman" w:cs="Times New Roman"/>
          <w:color w:val="auto"/>
          <w:szCs w:val="28"/>
        </w:rPr>
      </w:pPr>
      <w:r w:rsidRPr="000B4D53">
        <w:rPr>
          <w:rFonts w:ascii="Times New Roman" w:eastAsia="Times New Roman" w:hAnsi="Times New Roman" w:cs="Times New Roman"/>
          <w:color w:val="auto"/>
          <w:szCs w:val="28"/>
        </w:rPr>
        <w:t>Model validation across both public and private data</w:t>
      </w:r>
    </w:p>
    <w:p w14:paraId="55648F2E" w14:textId="77777777" w:rsidR="00DD2FD3" w:rsidRDefault="00DD2FD3" w:rsidP="00DD2FD3">
      <w:pPr>
        <w:rPr>
          <w:rFonts w:ascii="Times New Roman" w:eastAsia="Times New Roman" w:hAnsi="Times New Roman" w:cs="Times New Roman"/>
          <w:b/>
          <w:bCs/>
          <w:color w:val="auto"/>
          <w:sz w:val="24"/>
          <w:szCs w:val="28"/>
        </w:rPr>
      </w:pPr>
      <w:r w:rsidRPr="000B4D53">
        <w:rPr>
          <w:rFonts w:ascii="Times New Roman" w:eastAsia="Times New Roman" w:hAnsi="Times New Roman" w:cs="Times New Roman"/>
          <w:b/>
          <w:bCs/>
          <w:color w:val="auto"/>
          <w:sz w:val="24"/>
          <w:szCs w:val="28"/>
        </w:rPr>
        <w:t>4.1.4 What Is Outside Scope</w:t>
      </w:r>
    </w:p>
    <w:p w14:paraId="0DD5CE40" w14:textId="77777777" w:rsidR="00DD2FD3" w:rsidRDefault="00DD2FD3" w:rsidP="00DD2FD3">
      <w:pPr>
        <w:rPr>
          <w:rFonts w:ascii="Times New Roman" w:eastAsia="Times New Roman" w:hAnsi="Times New Roman" w:cs="Times New Roman"/>
          <w:color w:val="auto"/>
          <w:szCs w:val="28"/>
        </w:rPr>
      </w:pPr>
      <w:r w:rsidRPr="000B4D53">
        <w:rPr>
          <w:rFonts w:ascii="Times New Roman" w:eastAsia="Times New Roman" w:hAnsi="Times New Roman" w:cs="Times New Roman"/>
          <w:b/>
          <w:bCs/>
          <w:color w:val="auto"/>
          <w:szCs w:val="28"/>
        </w:rPr>
        <w:t>Real-time live data integration:</w:t>
      </w:r>
      <w:r>
        <w:rPr>
          <w:rFonts w:ascii="Times New Roman" w:eastAsia="Times New Roman" w:hAnsi="Times New Roman" w:cs="Times New Roman"/>
          <w:color w:val="auto"/>
          <w:szCs w:val="28"/>
        </w:rPr>
        <w:t xml:space="preserve"> The system operates on historical data. The integration of handling real-time live data increases the complexity of the system.</w:t>
      </w:r>
    </w:p>
    <w:p w14:paraId="5E562E5C" w14:textId="77777777" w:rsidR="00DD2FD3" w:rsidRDefault="00DD2FD3" w:rsidP="00DD2FD3">
      <w:pPr>
        <w:rPr>
          <w:rFonts w:ascii="Times New Roman" w:eastAsia="Times New Roman" w:hAnsi="Times New Roman" w:cs="Times New Roman"/>
          <w:color w:val="auto"/>
          <w:szCs w:val="28"/>
        </w:rPr>
      </w:pPr>
      <w:r w:rsidRPr="006C50CD">
        <w:rPr>
          <w:rFonts w:ascii="Times New Roman" w:eastAsia="Times New Roman" w:hAnsi="Times New Roman" w:cs="Times New Roman"/>
          <w:b/>
          <w:bCs/>
          <w:color w:val="auto"/>
          <w:szCs w:val="28"/>
        </w:rPr>
        <w:t>Automated supplier communication and order execution:</w:t>
      </w:r>
      <w:r>
        <w:rPr>
          <w:rFonts w:ascii="Times New Roman" w:eastAsia="Times New Roman" w:hAnsi="Times New Roman" w:cs="Times New Roman"/>
          <w:color w:val="auto"/>
          <w:szCs w:val="28"/>
        </w:rPr>
        <w:t xml:space="preserve"> The system generates replenishment recommendations but doesn’t place the orders automatically to allow the user to have the final ordering decision. The thesis is designed to support human judgement and decision not replace it.</w:t>
      </w:r>
    </w:p>
    <w:p w14:paraId="2B3D79B5" w14:textId="77777777" w:rsidR="00DD2FD3" w:rsidRDefault="00DD2FD3" w:rsidP="00DD2FD3">
      <w:pPr>
        <w:rPr>
          <w:rFonts w:ascii="Times New Roman" w:eastAsia="Times New Roman" w:hAnsi="Times New Roman" w:cs="Times New Roman"/>
          <w:color w:val="auto"/>
          <w:szCs w:val="28"/>
        </w:rPr>
      </w:pPr>
      <w:r w:rsidRPr="006C50CD">
        <w:rPr>
          <w:rFonts w:ascii="Times New Roman" w:eastAsia="Times New Roman" w:hAnsi="Times New Roman" w:cs="Times New Roman"/>
          <w:b/>
          <w:bCs/>
          <w:color w:val="auto"/>
          <w:szCs w:val="28"/>
        </w:rPr>
        <w:t>Non-FMCG product categories:</w:t>
      </w:r>
      <w:r>
        <w:rPr>
          <w:rFonts w:ascii="Times New Roman" w:eastAsia="Times New Roman" w:hAnsi="Times New Roman" w:cs="Times New Roman"/>
          <w:b/>
          <w:bCs/>
          <w:color w:val="auto"/>
          <w:szCs w:val="28"/>
        </w:rPr>
        <w:t xml:space="preserve"> </w:t>
      </w:r>
      <w:r>
        <w:rPr>
          <w:rFonts w:ascii="Times New Roman" w:eastAsia="Times New Roman" w:hAnsi="Times New Roman" w:cs="Times New Roman"/>
          <w:color w:val="auto"/>
          <w:szCs w:val="28"/>
        </w:rPr>
        <w:t>handling slow-moving, high-value , or highly seasonal products demand dynamic and modeling approaches that are outside the scope of this work.</w:t>
      </w:r>
    </w:p>
    <w:p w14:paraId="7072D903" w14:textId="77777777" w:rsidR="00DD2FD3" w:rsidRPr="006C50CD" w:rsidRDefault="00DD2FD3" w:rsidP="00DD2FD3">
      <w:pPr>
        <w:rPr>
          <w:rFonts w:ascii="Times New Roman" w:eastAsia="Times New Roman" w:hAnsi="Times New Roman" w:cs="Times New Roman"/>
          <w:b/>
          <w:bCs/>
          <w:color w:val="auto"/>
          <w:szCs w:val="28"/>
        </w:rPr>
      </w:pPr>
      <w:r w:rsidRPr="006C50CD">
        <w:rPr>
          <w:rFonts w:ascii="Times New Roman" w:eastAsia="Times New Roman" w:hAnsi="Times New Roman" w:cs="Times New Roman"/>
          <w:b/>
          <w:bCs/>
          <w:color w:val="auto"/>
          <w:szCs w:val="28"/>
        </w:rPr>
        <w:t>Multi-location network optimization:</w:t>
      </w:r>
      <w:r>
        <w:rPr>
          <w:rFonts w:ascii="Times New Roman" w:eastAsia="Times New Roman" w:hAnsi="Times New Roman" w:cs="Times New Roman"/>
          <w:color w:val="auto"/>
          <w:szCs w:val="28"/>
        </w:rPr>
        <w:t xml:space="preserve"> the system does not handle inventory allocation across a network of stores. Each store is treated independently.</w:t>
      </w:r>
      <w:r w:rsidRPr="006C50CD">
        <w:rPr>
          <w:rFonts w:ascii="Times New Roman" w:eastAsia="Times New Roman" w:hAnsi="Times New Roman" w:cs="Times New Roman"/>
          <w:b/>
          <w:bCs/>
          <w:color w:val="auto"/>
          <w:szCs w:val="28"/>
        </w:rPr>
        <w:t xml:space="preserve">  </w:t>
      </w:r>
    </w:p>
    <w:p w14:paraId="00FC3424" w14:textId="77777777" w:rsidR="00DD2FD3" w:rsidRDefault="00DD2FD3" w:rsidP="00DD2FD3">
      <w:pPr>
        <w:rPr>
          <w:rFonts w:ascii="Times New Roman" w:eastAsia="Times New Roman" w:hAnsi="Times New Roman" w:cs="Times New Roman"/>
          <w:b/>
          <w:bCs/>
          <w:color w:val="auto"/>
          <w:sz w:val="24"/>
          <w:szCs w:val="24"/>
        </w:rPr>
      </w:pPr>
    </w:p>
    <w:p w14:paraId="6668F9DB" w14:textId="77777777" w:rsidR="00DD2FD3" w:rsidRDefault="00DD2FD3" w:rsidP="00DD2FD3">
      <w:pPr>
        <w:rPr>
          <w:rFonts w:ascii="Times New Roman" w:eastAsia="Times New Roman" w:hAnsi="Times New Roman" w:cs="Times New Roman"/>
          <w:b/>
          <w:bCs/>
          <w:color w:val="auto"/>
          <w:sz w:val="24"/>
          <w:szCs w:val="24"/>
        </w:rPr>
      </w:pPr>
    </w:p>
    <w:p w14:paraId="644629EA" w14:textId="77777777" w:rsidR="00DD2FD3" w:rsidRDefault="00DD2FD3" w:rsidP="00DD2FD3">
      <w:pPr>
        <w:rPr>
          <w:rFonts w:ascii="Times New Roman" w:eastAsia="Times New Roman" w:hAnsi="Times New Roman" w:cs="Times New Roman"/>
          <w:b/>
          <w:bCs/>
          <w:color w:val="auto"/>
          <w:sz w:val="24"/>
          <w:szCs w:val="24"/>
        </w:rPr>
      </w:pPr>
    </w:p>
    <w:p w14:paraId="72C2D5C3" w14:textId="77777777" w:rsidR="00DD2FD3" w:rsidRDefault="00DD2FD3" w:rsidP="00DD2FD3">
      <w:pPr>
        <w:rPr>
          <w:rFonts w:ascii="Times New Roman" w:eastAsia="Times New Roman" w:hAnsi="Times New Roman" w:cs="Times New Roman"/>
          <w:b/>
          <w:bCs/>
          <w:color w:val="auto"/>
          <w:sz w:val="24"/>
          <w:szCs w:val="24"/>
        </w:rPr>
      </w:pPr>
    </w:p>
    <w:p w14:paraId="378F9F4A" w14:textId="77777777" w:rsidR="00DD2FD3" w:rsidRDefault="00DD2FD3" w:rsidP="00DD2FD3">
      <w:pPr>
        <w:rPr>
          <w:rFonts w:ascii="Times New Roman" w:eastAsia="Times New Roman" w:hAnsi="Times New Roman" w:cs="Times New Roman"/>
          <w:b/>
          <w:bCs/>
          <w:color w:val="auto"/>
          <w:sz w:val="24"/>
          <w:szCs w:val="24"/>
        </w:rPr>
      </w:pPr>
    </w:p>
    <w:p w14:paraId="1BDEA0B1" w14:textId="77777777" w:rsidR="00DD2FD3" w:rsidRDefault="00DD2FD3" w:rsidP="00DD2FD3">
      <w:pPr>
        <w:rPr>
          <w:rFonts w:ascii="Times New Roman" w:eastAsia="Times New Roman" w:hAnsi="Times New Roman" w:cs="Times New Roman"/>
          <w:b/>
          <w:bCs/>
          <w:color w:val="auto"/>
          <w:sz w:val="24"/>
          <w:szCs w:val="24"/>
        </w:rPr>
      </w:pPr>
    </w:p>
    <w:p w14:paraId="46C772BA" w14:textId="77777777" w:rsidR="00DD2FD3" w:rsidRDefault="00DD2FD3" w:rsidP="00DD2FD3">
      <w:pPr>
        <w:rPr>
          <w:rFonts w:ascii="Times New Roman" w:eastAsia="Times New Roman" w:hAnsi="Times New Roman" w:cs="Times New Roman"/>
          <w:b/>
          <w:bCs/>
          <w:color w:val="auto"/>
          <w:sz w:val="24"/>
          <w:szCs w:val="24"/>
        </w:rPr>
      </w:pPr>
    </w:p>
    <w:p w14:paraId="6C892DE6" w14:textId="77777777" w:rsidR="00DD2FD3" w:rsidRDefault="00DD2FD3" w:rsidP="00DD2FD3">
      <w:pPr>
        <w:rPr>
          <w:rFonts w:ascii="Times New Roman" w:eastAsia="Times New Roman" w:hAnsi="Times New Roman" w:cs="Times New Roman"/>
          <w:b/>
          <w:bCs/>
          <w:color w:val="auto"/>
          <w:sz w:val="24"/>
          <w:szCs w:val="24"/>
        </w:rPr>
      </w:pPr>
    </w:p>
    <w:p w14:paraId="65B2B2B5" w14:textId="77777777" w:rsidR="00DD2FD3" w:rsidRDefault="00DD2FD3" w:rsidP="00DD2FD3">
      <w:pPr>
        <w:rPr>
          <w:rFonts w:ascii="Times New Roman" w:eastAsia="Times New Roman" w:hAnsi="Times New Roman" w:cs="Times New Roman"/>
          <w:b/>
          <w:bCs/>
          <w:color w:val="auto"/>
          <w:sz w:val="24"/>
          <w:szCs w:val="24"/>
        </w:rPr>
      </w:pPr>
    </w:p>
    <w:p w14:paraId="137EC829" w14:textId="77777777" w:rsidR="00DD2FD3" w:rsidRDefault="00DD2FD3" w:rsidP="00DD2FD3">
      <w:pPr>
        <w:rPr>
          <w:rFonts w:ascii="Times New Roman" w:eastAsia="Times New Roman" w:hAnsi="Times New Roman" w:cs="Times New Roman"/>
          <w:b/>
          <w:bCs/>
          <w:color w:val="auto"/>
          <w:sz w:val="24"/>
          <w:szCs w:val="24"/>
        </w:rPr>
      </w:pPr>
    </w:p>
    <w:p w14:paraId="01D190C9" w14:textId="77777777" w:rsidR="00DD2FD3" w:rsidRDefault="00DD2FD3" w:rsidP="00DD2FD3">
      <w:pPr>
        <w:rPr>
          <w:rFonts w:ascii="Times New Roman" w:eastAsia="Times New Roman" w:hAnsi="Times New Roman" w:cs="Times New Roman"/>
          <w:b/>
          <w:bCs/>
          <w:color w:val="auto"/>
          <w:sz w:val="24"/>
          <w:szCs w:val="24"/>
        </w:rPr>
      </w:pPr>
    </w:p>
    <w:p w14:paraId="5FAC11DC" w14:textId="77777777" w:rsidR="00DD2FD3" w:rsidRPr="000D2F12" w:rsidRDefault="00DD2FD3" w:rsidP="00DD2FD3">
      <w:pPr>
        <w:rPr>
          <w:rFonts w:ascii="Times New Roman" w:eastAsia="Times New Roman" w:hAnsi="Times New Roman" w:cs="Times New Roman"/>
          <w:b/>
          <w:bCs/>
          <w:color w:val="auto"/>
          <w:sz w:val="26"/>
          <w:szCs w:val="26"/>
        </w:rPr>
      </w:pPr>
      <w:r w:rsidRPr="000D2F12">
        <w:rPr>
          <w:rFonts w:ascii="Times New Roman" w:eastAsia="Times New Roman" w:hAnsi="Times New Roman" w:cs="Times New Roman"/>
          <w:b/>
          <w:bCs/>
          <w:color w:val="auto"/>
          <w:sz w:val="26"/>
          <w:szCs w:val="26"/>
        </w:rPr>
        <w:t>4.2 System Concept</w:t>
      </w:r>
    </w:p>
    <w:p w14:paraId="67361085" w14:textId="77777777" w:rsidR="00DD2FD3" w:rsidRPr="000D2F12" w:rsidRDefault="00DD2FD3" w:rsidP="00DD2FD3">
      <w:pPr>
        <w:rPr>
          <w:rFonts w:ascii="Times New Roman" w:eastAsia="Times New Roman" w:hAnsi="Times New Roman" w:cs="Times New Roman"/>
          <w:b/>
          <w:bCs/>
          <w:color w:val="auto"/>
          <w:sz w:val="24"/>
          <w:szCs w:val="24"/>
        </w:rPr>
      </w:pPr>
      <w:r w:rsidRPr="000D2F12">
        <w:rPr>
          <w:rFonts w:ascii="Times New Roman" w:eastAsia="Times New Roman" w:hAnsi="Times New Roman" w:cs="Times New Roman"/>
          <w:b/>
          <w:bCs/>
          <w:color w:val="auto"/>
          <w:sz w:val="24"/>
          <w:szCs w:val="24"/>
        </w:rPr>
        <w:t>4.2.1 Conceptual Architecture Overview:</w:t>
      </w:r>
    </w:p>
    <w:p w14:paraId="2024A8DE" w14:textId="77777777" w:rsidR="00DD2FD3" w:rsidRDefault="00DD2FD3" w:rsidP="00DD2FD3">
      <w:pPr>
        <w:rPr>
          <w:rFonts w:ascii="Times New Roman" w:eastAsia="Times New Roman" w:hAnsi="Times New Roman" w:cs="Times New Roman"/>
          <w:color w:val="auto"/>
          <w:szCs w:val="24"/>
        </w:rPr>
      </w:pPr>
      <w:r w:rsidRPr="00E30C48">
        <w:rPr>
          <w:rFonts w:ascii="Times New Roman" w:eastAsia="Times New Roman" w:hAnsi="Times New Roman" w:cs="Times New Roman"/>
          <w:b/>
          <w:bCs/>
          <w:color w:val="auto"/>
          <w:szCs w:val="24"/>
        </w:rPr>
        <w:t>Layer 1 – Data Ingestion and Preprocessing:</w:t>
      </w:r>
      <w:r>
        <w:rPr>
          <w:rFonts w:ascii="Times New Roman" w:eastAsia="Times New Roman" w:hAnsi="Times New Roman" w:cs="Times New Roman"/>
          <w:b/>
          <w:bCs/>
          <w:color w:val="auto"/>
          <w:szCs w:val="24"/>
        </w:rPr>
        <w:t xml:space="preserve"> </w:t>
      </w:r>
      <w:r>
        <w:rPr>
          <w:rFonts w:ascii="Times New Roman" w:eastAsia="Times New Roman" w:hAnsi="Times New Roman" w:cs="Times New Roman"/>
          <w:color w:val="auto"/>
          <w:szCs w:val="24"/>
        </w:rPr>
        <w:t>This is where raw data is ingested , cleaned and transformed into model-ready features. Missing inventory fields that are essential to the forecasting are generated.</w:t>
      </w:r>
    </w:p>
    <w:p w14:paraId="396F0B5D" w14:textId="77777777" w:rsidR="00DD2FD3" w:rsidRDefault="00DD2FD3" w:rsidP="00DD2FD3">
      <w:pPr>
        <w:rPr>
          <w:rFonts w:ascii="Times New Roman" w:eastAsia="Times New Roman" w:hAnsi="Times New Roman" w:cs="Times New Roman"/>
          <w:color w:val="auto"/>
          <w:szCs w:val="24"/>
        </w:rPr>
      </w:pPr>
      <w:r w:rsidRPr="0062051E">
        <w:rPr>
          <w:rFonts w:ascii="Times New Roman" w:eastAsia="Times New Roman" w:hAnsi="Times New Roman" w:cs="Times New Roman"/>
          <w:b/>
          <w:bCs/>
          <w:color w:val="auto"/>
          <w:szCs w:val="24"/>
        </w:rPr>
        <w:t>Layer 2 – Forecasting Engine:</w:t>
      </w:r>
      <w:r>
        <w:rPr>
          <w:rFonts w:ascii="Times New Roman" w:eastAsia="Times New Roman" w:hAnsi="Times New Roman" w:cs="Times New Roman"/>
          <w:b/>
          <w:bCs/>
          <w:color w:val="auto"/>
          <w:szCs w:val="24"/>
        </w:rPr>
        <w:t xml:space="preserve"> </w:t>
      </w:r>
      <w:r>
        <w:rPr>
          <w:rFonts w:ascii="Times New Roman" w:eastAsia="Times New Roman" w:hAnsi="Times New Roman" w:cs="Times New Roman"/>
          <w:color w:val="auto"/>
          <w:szCs w:val="24"/>
        </w:rPr>
        <w:t xml:space="preserve">LightGBM is the primary forecasting engine because it has good performance and supports quantile regression. XGBoost, ARIMA , and Exponential Smoothing are </w:t>
      </w:r>
      <w:r>
        <w:rPr>
          <w:rFonts w:ascii="Times New Roman" w:eastAsia="Times New Roman" w:hAnsi="Times New Roman" w:cs="Times New Roman"/>
          <w:color w:val="auto"/>
          <w:szCs w:val="24"/>
        </w:rPr>
        <w:lastRenderedPageBreak/>
        <w:t>trained in parallel as benchmarks. Both point and quantile forecasts are generated with quantile outputs put into the safety stock calculation.</w:t>
      </w:r>
    </w:p>
    <w:p w14:paraId="7413C9E5" w14:textId="77777777" w:rsidR="00DD2FD3" w:rsidRDefault="00DD2FD3" w:rsidP="00DD2FD3">
      <w:pPr>
        <w:rPr>
          <w:rFonts w:ascii="Times New Roman" w:eastAsia="Times New Roman" w:hAnsi="Times New Roman" w:cs="Times New Roman"/>
          <w:color w:val="auto"/>
          <w:szCs w:val="24"/>
        </w:rPr>
      </w:pPr>
      <w:r w:rsidRPr="00A95E85">
        <w:rPr>
          <w:rFonts w:ascii="Times New Roman" w:eastAsia="Times New Roman" w:hAnsi="Times New Roman" w:cs="Times New Roman"/>
          <w:b/>
          <w:bCs/>
          <w:color w:val="auto"/>
          <w:szCs w:val="24"/>
        </w:rPr>
        <w:t xml:space="preserve">Layer 3 – Explainability and Replenishment Logic: </w:t>
      </w:r>
      <w:r>
        <w:rPr>
          <w:rFonts w:ascii="Times New Roman" w:eastAsia="Times New Roman" w:hAnsi="Times New Roman" w:cs="Times New Roman"/>
          <w:color w:val="auto"/>
          <w:szCs w:val="24"/>
        </w:rPr>
        <w:t>SHAP values are computed for each forecast at both local and global levels. These values in combination with quantile uncertainty , counterfactual analysis and variable lead time will be used to generate replenishment recommendation. A NLM will then take the statistical outputs into plain English</w:t>
      </w:r>
    </w:p>
    <w:p w14:paraId="36355199" w14:textId="77777777" w:rsidR="00DD2FD3" w:rsidRDefault="00DD2FD3" w:rsidP="00DD2FD3">
      <w:pPr>
        <w:rPr>
          <w:rFonts w:ascii="Times New Roman" w:eastAsia="Times New Roman" w:hAnsi="Times New Roman" w:cs="Times New Roman"/>
          <w:color w:val="auto"/>
          <w:szCs w:val="24"/>
        </w:rPr>
      </w:pPr>
      <w:r w:rsidRPr="00A867DF">
        <w:rPr>
          <w:rFonts w:ascii="Times New Roman" w:eastAsia="Times New Roman" w:hAnsi="Times New Roman" w:cs="Times New Roman"/>
          <w:b/>
          <w:bCs/>
          <w:color w:val="auto"/>
          <w:szCs w:val="24"/>
        </w:rPr>
        <w:t>Layer 4 – Dashboard Interface:</w:t>
      </w:r>
      <w:r>
        <w:rPr>
          <w:rFonts w:ascii="Times New Roman" w:eastAsia="Times New Roman" w:hAnsi="Times New Roman" w:cs="Times New Roman"/>
          <w:b/>
          <w:bCs/>
          <w:color w:val="auto"/>
          <w:szCs w:val="24"/>
        </w:rPr>
        <w:t xml:space="preserve"> </w:t>
      </w:r>
      <w:r>
        <w:rPr>
          <w:rFonts w:ascii="Times New Roman" w:eastAsia="Times New Roman" w:hAnsi="Times New Roman" w:cs="Times New Roman"/>
          <w:color w:val="auto"/>
          <w:szCs w:val="24"/>
        </w:rPr>
        <w:t xml:space="preserve">Outputs are all presented through a Python Dash web organized into four pages : </w:t>
      </w:r>
      <w:r w:rsidRPr="00A867DF">
        <w:rPr>
          <w:rFonts w:ascii="Times New Roman" w:eastAsia="Times New Roman" w:hAnsi="Times New Roman" w:cs="Times New Roman"/>
          <w:color w:val="auto"/>
          <w:szCs w:val="24"/>
        </w:rPr>
        <w:t xml:space="preserve">forecast overview , SKU explorer </w:t>
      </w:r>
      <w:r>
        <w:rPr>
          <w:rFonts w:ascii="Times New Roman" w:eastAsia="Times New Roman" w:hAnsi="Times New Roman" w:cs="Times New Roman"/>
          <w:color w:val="auto"/>
          <w:szCs w:val="24"/>
        </w:rPr>
        <w:t>,</w:t>
      </w:r>
      <w:r w:rsidRPr="00A867DF">
        <w:rPr>
          <w:rFonts w:ascii="Times New Roman" w:eastAsia="Times New Roman" w:hAnsi="Times New Roman" w:cs="Times New Roman"/>
          <w:color w:val="auto"/>
          <w:szCs w:val="24"/>
        </w:rPr>
        <w:t>explanations panel , what-if simulator.</w:t>
      </w:r>
    </w:p>
    <w:p w14:paraId="36883AB7" w14:textId="77777777" w:rsidR="00DD2FD3" w:rsidRDefault="00DD2FD3" w:rsidP="00DD2FD3">
      <w:pPr>
        <w:rPr>
          <w:rFonts w:ascii="Times New Roman" w:eastAsia="Times New Roman" w:hAnsi="Times New Roman" w:cs="Times New Roman"/>
          <w:b/>
          <w:bCs/>
          <w:color w:val="auto"/>
          <w:sz w:val="24"/>
          <w:szCs w:val="24"/>
        </w:rPr>
      </w:pPr>
      <w:r w:rsidRPr="000D2F12">
        <w:rPr>
          <w:rFonts w:ascii="Times New Roman" w:eastAsia="Times New Roman" w:hAnsi="Times New Roman" w:cs="Times New Roman"/>
          <w:b/>
          <w:bCs/>
          <w:color w:val="auto"/>
          <w:sz w:val="24"/>
          <w:szCs w:val="24"/>
        </w:rPr>
        <w:t>4.2.2 The Forecasting Component</w:t>
      </w:r>
    </w:p>
    <w:p w14:paraId="23415A0B" w14:textId="77777777" w:rsidR="00DD2FD3" w:rsidRDefault="00DD2FD3" w:rsidP="00DD2FD3">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LightGBM will be used as the main forecasting model , as it is powerful and cam process large datasets faster than any other forecasting model , handles categorical features (ex. Store ID and SKU) without required encoding and it supports quantile regression.</w:t>
      </w:r>
      <w:r>
        <w:rPr>
          <w:rFonts w:ascii="Times New Roman" w:eastAsia="Times New Roman" w:hAnsi="Times New Roman" w:cs="Times New Roman"/>
          <w:color w:val="auto"/>
          <w:sz w:val="24"/>
          <w:szCs w:val="24"/>
        </w:rPr>
        <w:br/>
      </w:r>
    </w:p>
    <w:p w14:paraId="1D28307D" w14:textId="77777777" w:rsidR="00DD2FD3" w:rsidRPr="00AB5340" w:rsidRDefault="00DD2FD3" w:rsidP="00DD2FD3">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Three  models will be trained using the same features and datasets, to be able to compare forecasting methods. ARIMA and Exponential Smoothing are two of the classical statistical forecasting methods. XGBoost is added because its one of the most commonly used methods , so it would allow for comparison All methods are evaluated using the following metrics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2479"/>
        <w:gridCol w:w="5889"/>
      </w:tblGrid>
      <w:tr w:rsidR="00DD2FD3" w14:paraId="58A2F3C5" w14:textId="77777777" w:rsidTr="000D05F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A3C5E"/>
            <w:tcMar>
              <w:top w:w="100" w:type="dxa"/>
              <w:left w:w="140" w:type="dxa"/>
              <w:bottom w:w="100" w:type="dxa"/>
              <w:right w:w="140" w:type="dxa"/>
            </w:tcMar>
            <w:vAlign w:val="center"/>
          </w:tcPr>
          <w:p w14:paraId="29D8F2BE" w14:textId="77777777" w:rsidR="00DD2FD3" w:rsidRDefault="00DD2FD3" w:rsidP="000D05F7">
            <w:pPr>
              <w:jc w:val="center"/>
            </w:pPr>
            <w:r>
              <w:rPr>
                <w:rFonts w:ascii="Arial" w:eastAsia="Arial" w:hAnsi="Arial" w:cs="Arial"/>
                <w:b/>
                <w:bCs/>
                <w:color w:val="FFFFFF"/>
                <w:sz w:val="20"/>
                <w:szCs w:val="20"/>
              </w:rPr>
              <w:t>Abbr.</w:t>
            </w:r>
          </w:p>
        </w:tc>
        <w:tc>
          <w:tcPr>
            <w:tcW w:w="2500" w:type="dxa"/>
            <w:tcBorders>
              <w:top w:val="single" w:sz="1" w:space="0" w:color="AAAAAA"/>
              <w:left w:val="single" w:sz="1" w:space="0" w:color="AAAAAA"/>
              <w:bottom w:val="single" w:sz="1" w:space="0" w:color="AAAAAA"/>
              <w:right w:val="single" w:sz="1" w:space="0" w:color="AAAAAA"/>
            </w:tcBorders>
            <w:shd w:val="clear" w:color="auto" w:fill="1A3C5E"/>
            <w:tcMar>
              <w:top w:w="100" w:type="dxa"/>
              <w:left w:w="140" w:type="dxa"/>
              <w:bottom w:w="100" w:type="dxa"/>
              <w:right w:w="140" w:type="dxa"/>
            </w:tcMar>
            <w:vAlign w:val="center"/>
          </w:tcPr>
          <w:p w14:paraId="02E539DF" w14:textId="77777777" w:rsidR="00DD2FD3" w:rsidRDefault="00DD2FD3" w:rsidP="000D05F7">
            <w:pPr>
              <w:jc w:val="center"/>
            </w:pPr>
            <w:r>
              <w:rPr>
                <w:rFonts w:ascii="Arial" w:eastAsia="Arial" w:hAnsi="Arial" w:cs="Arial"/>
                <w:b/>
                <w:bCs/>
                <w:color w:val="FFFFFF"/>
                <w:sz w:val="20"/>
                <w:szCs w:val="20"/>
              </w:rPr>
              <w:t>Full Name</w:t>
            </w:r>
          </w:p>
        </w:tc>
        <w:tc>
          <w:tcPr>
            <w:tcW w:w="5960" w:type="dxa"/>
            <w:tcBorders>
              <w:top w:val="single" w:sz="1" w:space="0" w:color="AAAAAA"/>
              <w:left w:val="single" w:sz="1" w:space="0" w:color="AAAAAA"/>
              <w:bottom w:val="single" w:sz="1" w:space="0" w:color="AAAAAA"/>
              <w:right w:val="single" w:sz="1" w:space="0" w:color="AAAAAA"/>
            </w:tcBorders>
            <w:shd w:val="clear" w:color="auto" w:fill="1A3C5E"/>
            <w:tcMar>
              <w:top w:w="100" w:type="dxa"/>
              <w:left w:w="140" w:type="dxa"/>
              <w:bottom w:w="100" w:type="dxa"/>
              <w:right w:w="140" w:type="dxa"/>
            </w:tcMar>
            <w:vAlign w:val="center"/>
          </w:tcPr>
          <w:p w14:paraId="2EE9C122" w14:textId="77777777" w:rsidR="00DD2FD3" w:rsidRDefault="00DD2FD3" w:rsidP="000D05F7">
            <w:pPr>
              <w:jc w:val="center"/>
            </w:pPr>
            <w:r>
              <w:rPr>
                <w:rFonts w:ascii="Arial" w:eastAsia="Arial" w:hAnsi="Arial" w:cs="Arial"/>
                <w:b/>
                <w:bCs/>
                <w:color w:val="FFFFFF"/>
                <w:sz w:val="20"/>
                <w:szCs w:val="20"/>
              </w:rPr>
              <w:t>What It Measures</w:t>
            </w:r>
          </w:p>
        </w:tc>
      </w:tr>
      <w:tr w:rsidR="00DD2FD3" w14:paraId="7568BBA8" w14:textId="77777777" w:rsidTr="000D05F7">
        <w:tc>
          <w:tcPr>
            <w:tcW w:w="0" w:type="auto"/>
            <w:gridSpan w:val="3"/>
            <w:tcBorders>
              <w:top w:val="single" w:sz="1" w:space="0" w:color="AAAAAA"/>
              <w:left w:val="single" w:sz="1" w:space="0" w:color="AAAAAA"/>
              <w:bottom w:val="single" w:sz="1" w:space="0" w:color="AAAAAA"/>
              <w:right w:val="single" w:sz="1" w:space="0" w:color="AAAAAA"/>
            </w:tcBorders>
            <w:shd w:val="clear" w:color="auto" w:fill="2E86AB"/>
            <w:tcMar>
              <w:top w:w="80" w:type="dxa"/>
              <w:left w:w="140" w:type="dxa"/>
              <w:bottom w:w="80" w:type="dxa"/>
              <w:right w:w="140" w:type="dxa"/>
            </w:tcMar>
          </w:tcPr>
          <w:p w14:paraId="7E6EA2CE" w14:textId="77777777" w:rsidR="00DD2FD3" w:rsidRDefault="00DD2FD3" w:rsidP="000D05F7">
            <w:r>
              <w:rPr>
                <w:rFonts w:ascii="Arial" w:eastAsia="Arial" w:hAnsi="Arial" w:cs="Arial"/>
                <w:b/>
                <w:bCs/>
                <w:color w:val="FFFFFF"/>
                <w:sz w:val="20"/>
                <w:szCs w:val="20"/>
              </w:rPr>
              <w:t>Group 1 — Accuracy Metrics: How close are the predictions to actual demand?</w:t>
            </w:r>
          </w:p>
        </w:tc>
      </w:tr>
      <w:tr w:rsidR="00DD2FD3" w14:paraId="1062E213" w14:textId="77777777" w:rsidTr="000D05F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90" w:type="dxa"/>
              <w:left w:w="140" w:type="dxa"/>
              <w:bottom w:w="90" w:type="dxa"/>
              <w:right w:w="140" w:type="dxa"/>
            </w:tcMar>
          </w:tcPr>
          <w:p w14:paraId="4DF421ED" w14:textId="77777777" w:rsidR="00DD2FD3" w:rsidRDefault="00DD2FD3" w:rsidP="000D05F7">
            <w:pPr>
              <w:jc w:val="center"/>
            </w:pPr>
            <w:r>
              <w:rPr>
                <w:rFonts w:ascii="Arial" w:eastAsia="Arial" w:hAnsi="Arial" w:cs="Arial"/>
                <w:b/>
                <w:bCs/>
                <w:sz w:val="20"/>
                <w:szCs w:val="20"/>
              </w:rPr>
              <w:t>MAE</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90" w:type="dxa"/>
              <w:left w:w="140" w:type="dxa"/>
              <w:bottom w:w="90" w:type="dxa"/>
              <w:right w:w="140" w:type="dxa"/>
            </w:tcMar>
          </w:tcPr>
          <w:p w14:paraId="29C671B7" w14:textId="77777777" w:rsidR="00DD2FD3" w:rsidRDefault="00DD2FD3" w:rsidP="000D05F7">
            <w:r>
              <w:rPr>
                <w:rFonts w:ascii="Arial" w:eastAsia="Arial" w:hAnsi="Arial" w:cs="Arial"/>
                <w:sz w:val="20"/>
                <w:szCs w:val="20"/>
              </w:rPr>
              <w:t>Mean Absolute Error</w:t>
            </w:r>
          </w:p>
        </w:tc>
        <w:tc>
          <w:tcPr>
            <w:tcW w:w="5960" w:type="dxa"/>
            <w:tcBorders>
              <w:top w:val="single" w:sz="1" w:space="0" w:color="AAAAAA"/>
              <w:left w:val="single" w:sz="1" w:space="0" w:color="AAAAAA"/>
              <w:bottom w:val="single" w:sz="1" w:space="0" w:color="AAAAAA"/>
              <w:right w:val="single" w:sz="1" w:space="0" w:color="AAAAAA"/>
            </w:tcBorders>
            <w:shd w:val="clear" w:color="auto" w:fill="EBF5FB"/>
            <w:tcMar>
              <w:top w:w="90" w:type="dxa"/>
              <w:left w:w="140" w:type="dxa"/>
              <w:bottom w:w="90" w:type="dxa"/>
              <w:right w:w="140" w:type="dxa"/>
            </w:tcMar>
          </w:tcPr>
          <w:p w14:paraId="3D05538B" w14:textId="77777777" w:rsidR="00DD2FD3" w:rsidRDefault="00DD2FD3" w:rsidP="000D05F7">
            <w:r>
              <w:rPr>
                <w:rFonts w:ascii="Arial" w:eastAsia="Arial" w:hAnsi="Arial" w:cs="Arial"/>
                <w:sz w:val="20"/>
                <w:szCs w:val="20"/>
              </w:rPr>
              <w:t>The average error between predicted and actual demand, in units. Easy to interpret — if MAE = 20, the model is off by 20 units on average.</w:t>
            </w:r>
          </w:p>
        </w:tc>
      </w:tr>
      <w:tr w:rsidR="00DD2FD3" w14:paraId="116918A4" w14:textId="77777777" w:rsidTr="000D05F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3C87BFEE" w14:textId="77777777" w:rsidR="00DD2FD3" w:rsidRDefault="00DD2FD3" w:rsidP="000D05F7">
            <w:pPr>
              <w:jc w:val="center"/>
            </w:pPr>
            <w:r>
              <w:rPr>
                <w:rFonts w:ascii="Arial" w:eastAsia="Arial" w:hAnsi="Arial" w:cs="Arial"/>
                <w:b/>
                <w:bCs/>
                <w:sz w:val="20"/>
                <w:szCs w:val="20"/>
              </w:rPr>
              <w:t>RMSE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3EDADCCF" w14:textId="77777777" w:rsidR="00DD2FD3" w:rsidRDefault="00DD2FD3" w:rsidP="000D05F7">
            <w:r>
              <w:rPr>
                <w:rFonts w:ascii="Arial" w:eastAsia="Arial" w:hAnsi="Arial" w:cs="Arial"/>
                <w:sz w:val="20"/>
                <w:szCs w:val="20"/>
              </w:rPr>
              <w:t>Root Mean Squared Error</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6D55D8BF" w14:textId="77777777" w:rsidR="00DD2FD3" w:rsidRDefault="00DD2FD3" w:rsidP="000D05F7">
            <w:r>
              <w:rPr>
                <w:rFonts w:ascii="Arial" w:eastAsia="Arial" w:hAnsi="Arial" w:cs="Arial"/>
                <w:sz w:val="20"/>
                <w:szCs w:val="20"/>
              </w:rPr>
              <w:t>Similar to MAE but penalizes large errors more heavily. Useful for catching bad spikes — a single huge miss raises RMSE significantly.</w:t>
            </w:r>
          </w:p>
        </w:tc>
      </w:tr>
      <w:tr w:rsidR="00DD2FD3" w14:paraId="66166958" w14:textId="77777777" w:rsidTr="000D05F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90" w:type="dxa"/>
              <w:left w:w="140" w:type="dxa"/>
              <w:bottom w:w="90" w:type="dxa"/>
              <w:right w:w="140" w:type="dxa"/>
            </w:tcMar>
          </w:tcPr>
          <w:p w14:paraId="07E30BCC" w14:textId="77777777" w:rsidR="00DD2FD3" w:rsidRDefault="00DD2FD3" w:rsidP="000D05F7">
            <w:pPr>
              <w:jc w:val="center"/>
            </w:pPr>
            <w:r>
              <w:rPr>
                <w:rFonts w:ascii="Arial" w:eastAsia="Arial" w:hAnsi="Arial" w:cs="Arial"/>
                <w:b/>
                <w:bCs/>
                <w:sz w:val="20"/>
                <w:szCs w:val="20"/>
              </w:rPr>
              <w:t>SMAPE</w:t>
            </w:r>
          </w:p>
        </w:tc>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90" w:type="dxa"/>
              <w:left w:w="140" w:type="dxa"/>
              <w:bottom w:w="90" w:type="dxa"/>
              <w:right w:w="140" w:type="dxa"/>
            </w:tcMar>
          </w:tcPr>
          <w:p w14:paraId="2C4837C6" w14:textId="77777777" w:rsidR="00DD2FD3" w:rsidRDefault="00DD2FD3" w:rsidP="000D05F7">
            <w:r>
              <w:rPr>
                <w:rFonts w:ascii="Arial" w:eastAsia="Arial" w:hAnsi="Arial" w:cs="Arial"/>
                <w:sz w:val="20"/>
                <w:szCs w:val="20"/>
              </w:rPr>
              <w:t>Symmetric Mean Absolute Percentage Error</w:t>
            </w:r>
          </w:p>
        </w:tc>
        <w:tc>
          <w:tcPr>
            <w:tcW w:w="5960" w:type="dxa"/>
            <w:tcBorders>
              <w:top w:val="single" w:sz="1" w:space="0" w:color="AAAAAA"/>
              <w:left w:val="single" w:sz="1" w:space="0" w:color="AAAAAA"/>
              <w:bottom w:val="single" w:sz="1" w:space="0" w:color="AAAAAA"/>
              <w:right w:val="single" w:sz="1" w:space="0" w:color="AAAAAA"/>
            </w:tcBorders>
            <w:shd w:val="clear" w:color="auto" w:fill="EBF5FB"/>
            <w:tcMar>
              <w:top w:w="90" w:type="dxa"/>
              <w:left w:w="140" w:type="dxa"/>
              <w:bottom w:w="90" w:type="dxa"/>
              <w:right w:w="140" w:type="dxa"/>
            </w:tcMar>
          </w:tcPr>
          <w:p w14:paraId="69907647" w14:textId="77777777" w:rsidR="00DD2FD3" w:rsidRDefault="00DD2FD3" w:rsidP="000D05F7">
            <w:r>
              <w:rPr>
                <w:rFonts w:ascii="Arial" w:eastAsia="Arial" w:hAnsi="Arial" w:cs="Arial"/>
                <w:sz w:val="20"/>
                <w:szCs w:val="20"/>
              </w:rPr>
              <w:t>Error expressed as a percentage of demand, symmetrically. Used instead of MAPE because MAPE breaks when actual demand = 0, which is common in FMCG data.</w:t>
            </w:r>
          </w:p>
        </w:tc>
      </w:tr>
      <w:tr w:rsidR="00DD2FD3" w14:paraId="29AD407C" w14:textId="77777777" w:rsidTr="000D05F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04D42FDC" w14:textId="77777777" w:rsidR="00DD2FD3" w:rsidRDefault="00DD2FD3" w:rsidP="000D05F7">
            <w:pPr>
              <w:jc w:val="center"/>
            </w:pPr>
            <w:r>
              <w:rPr>
                <w:rFonts w:ascii="Arial" w:eastAsia="Arial" w:hAnsi="Arial" w:cs="Arial"/>
                <w:b/>
                <w:bCs/>
                <w:sz w:val="20"/>
                <w:szCs w:val="20"/>
              </w:rPr>
              <w:t>QL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5B3CCB0F" w14:textId="77777777" w:rsidR="00DD2FD3" w:rsidRDefault="00DD2FD3" w:rsidP="000D05F7">
            <w:r>
              <w:rPr>
                <w:rFonts w:ascii="Arial" w:eastAsia="Arial" w:hAnsi="Arial" w:cs="Arial"/>
                <w:sz w:val="20"/>
                <w:szCs w:val="20"/>
              </w:rPr>
              <w:t>Quantile Loss (Pinball Loss)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4646EADF" w14:textId="77777777" w:rsidR="00DD2FD3" w:rsidRDefault="00DD2FD3" w:rsidP="000D05F7">
            <w:r>
              <w:rPr>
                <w:rFonts w:ascii="Arial" w:eastAsia="Arial" w:hAnsi="Arial" w:cs="Arial"/>
                <w:sz w:val="20"/>
                <w:szCs w:val="20"/>
              </w:rPr>
              <w:t>Measures how well the model's quantile predictions (10th, 50th, 90th percentile) are calibrated. Essential for evaluating uncertainty estimates — a well-calibrated model should be correct 90% of the time at the 90th percentile.</w:t>
            </w:r>
          </w:p>
        </w:tc>
      </w:tr>
      <w:tr w:rsidR="00DD2FD3" w14:paraId="7D74F754" w14:textId="77777777" w:rsidTr="000D05F7">
        <w:tc>
          <w:tcPr>
            <w:tcW w:w="0" w:type="auto"/>
            <w:gridSpan w:val="3"/>
            <w:tcBorders>
              <w:top w:val="single" w:sz="1" w:space="0" w:color="AAAAAA"/>
              <w:left w:val="single" w:sz="1" w:space="0" w:color="AAAAAA"/>
              <w:bottom w:val="single" w:sz="1" w:space="0" w:color="AAAAAA"/>
              <w:right w:val="single" w:sz="1" w:space="0" w:color="AAAAAA"/>
            </w:tcBorders>
            <w:shd w:val="clear" w:color="auto" w:fill="27AE60"/>
            <w:tcMar>
              <w:top w:w="80" w:type="dxa"/>
              <w:left w:w="140" w:type="dxa"/>
              <w:bottom w:w="80" w:type="dxa"/>
              <w:right w:w="140" w:type="dxa"/>
            </w:tcMar>
          </w:tcPr>
          <w:p w14:paraId="768F95DB" w14:textId="77777777" w:rsidR="00DD2FD3" w:rsidRDefault="00DD2FD3" w:rsidP="000D05F7">
            <w:r>
              <w:rPr>
                <w:rFonts w:ascii="Arial" w:eastAsia="Arial" w:hAnsi="Arial" w:cs="Arial"/>
                <w:b/>
                <w:bCs/>
                <w:color w:val="FFFFFF"/>
                <w:sz w:val="20"/>
                <w:szCs w:val="20"/>
              </w:rPr>
              <w:t>Group 2 — Bias Metrics: Is the model systematically over- or under-predicting?</w:t>
            </w:r>
          </w:p>
        </w:tc>
      </w:tr>
      <w:tr w:rsidR="00DD2FD3" w14:paraId="1EF4B04C" w14:textId="77777777" w:rsidTr="000D05F7">
        <w:tc>
          <w:tcPr>
            <w:tcW w:w="900" w:type="dxa"/>
            <w:tcBorders>
              <w:top w:val="single" w:sz="1" w:space="0" w:color="AAAAAA"/>
              <w:left w:val="single" w:sz="1" w:space="0" w:color="AAAAAA"/>
              <w:bottom w:val="single" w:sz="1" w:space="0" w:color="AAAAAA"/>
              <w:right w:val="single" w:sz="1" w:space="0" w:color="AAAAAA"/>
            </w:tcBorders>
            <w:shd w:val="clear" w:color="auto" w:fill="EAFAF1"/>
            <w:tcMar>
              <w:top w:w="90" w:type="dxa"/>
              <w:left w:w="140" w:type="dxa"/>
              <w:bottom w:w="90" w:type="dxa"/>
              <w:right w:w="140" w:type="dxa"/>
            </w:tcMar>
          </w:tcPr>
          <w:p w14:paraId="0B414CA0" w14:textId="77777777" w:rsidR="00DD2FD3" w:rsidRDefault="00DD2FD3" w:rsidP="000D05F7">
            <w:pPr>
              <w:jc w:val="center"/>
            </w:pPr>
            <w:r>
              <w:rPr>
                <w:rFonts w:ascii="Arial" w:eastAsia="Arial" w:hAnsi="Arial" w:cs="Arial"/>
                <w:b/>
                <w:bCs/>
                <w:sz w:val="20"/>
                <w:szCs w:val="20"/>
              </w:rPr>
              <w:t>BIAS</w:t>
            </w:r>
          </w:p>
        </w:tc>
        <w:tc>
          <w:tcPr>
            <w:tcW w:w="2500" w:type="dxa"/>
            <w:tcBorders>
              <w:top w:val="single" w:sz="1" w:space="0" w:color="AAAAAA"/>
              <w:left w:val="single" w:sz="1" w:space="0" w:color="AAAAAA"/>
              <w:bottom w:val="single" w:sz="1" w:space="0" w:color="AAAAAA"/>
              <w:right w:val="single" w:sz="1" w:space="0" w:color="AAAAAA"/>
            </w:tcBorders>
            <w:shd w:val="clear" w:color="auto" w:fill="EAFAF1"/>
            <w:tcMar>
              <w:top w:w="90" w:type="dxa"/>
              <w:left w:w="140" w:type="dxa"/>
              <w:bottom w:w="90" w:type="dxa"/>
              <w:right w:w="140" w:type="dxa"/>
            </w:tcMar>
          </w:tcPr>
          <w:p w14:paraId="63255A62" w14:textId="77777777" w:rsidR="00DD2FD3" w:rsidRDefault="00DD2FD3" w:rsidP="000D05F7">
            <w:r>
              <w:rPr>
                <w:rFonts w:ascii="Arial" w:eastAsia="Arial" w:hAnsi="Arial" w:cs="Arial"/>
                <w:sz w:val="20"/>
                <w:szCs w:val="20"/>
              </w:rPr>
              <w:t>Forecast Bias</w:t>
            </w:r>
          </w:p>
        </w:tc>
        <w:tc>
          <w:tcPr>
            <w:tcW w:w="5960" w:type="dxa"/>
            <w:tcBorders>
              <w:top w:val="single" w:sz="1" w:space="0" w:color="AAAAAA"/>
              <w:left w:val="single" w:sz="1" w:space="0" w:color="AAAAAA"/>
              <w:bottom w:val="single" w:sz="1" w:space="0" w:color="AAAAAA"/>
              <w:right w:val="single" w:sz="1" w:space="0" w:color="AAAAAA"/>
            </w:tcBorders>
            <w:shd w:val="clear" w:color="auto" w:fill="EAFAF1"/>
            <w:tcMar>
              <w:top w:w="90" w:type="dxa"/>
              <w:left w:w="140" w:type="dxa"/>
              <w:bottom w:w="90" w:type="dxa"/>
              <w:right w:w="140" w:type="dxa"/>
            </w:tcMar>
          </w:tcPr>
          <w:p w14:paraId="2B094DA6" w14:textId="77777777" w:rsidR="00DD2FD3" w:rsidRDefault="00DD2FD3" w:rsidP="000D05F7">
            <w:r>
              <w:rPr>
                <w:rFonts w:ascii="Arial" w:eastAsia="Arial" w:hAnsi="Arial" w:cs="Arial"/>
                <w:sz w:val="20"/>
                <w:szCs w:val="20"/>
              </w:rPr>
              <w:t xml:space="preserve">The mean of (forecast − actual) across all predictions. A positive bias means the model consistently over-predicts; a </w:t>
            </w:r>
            <w:r>
              <w:rPr>
                <w:rFonts w:ascii="Arial" w:eastAsia="Arial" w:hAnsi="Arial" w:cs="Arial"/>
                <w:sz w:val="20"/>
                <w:szCs w:val="20"/>
              </w:rPr>
              <w:lastRenderedPageBreak/>
              <w:t>negative bias means it consistently under-predicts. A biased model leads to systematic over- or under-ordering.</w:t>
            </w:r>
          </w:p>
        </w:tc>
      </w:tr>
      <w:tr w:rsidR="00DD2FD3" w14:paraId="4D6E7AE2" w14:textId="77777777" w:rsidTr="000D05F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2C1C2907" w14:textId="77777777" w:rsidR="00DD2FD3" w:rsidRDefault="00DD2FD3" w:rsidP="000D05F7">
            <w:pPr>
              <w:jc w:val="center"/>
            </w:pPr>
            <w:r>
              <w:rPr>
                <w:rFonts w:ascii="Arial" w:eastAsia="Arial" w:hAnsi="Arial" w:cs="Arial"/>
                <w:b/>
                <w:bCs/>
                <w:sz w:val="20"/>
                <w:szCs w:val="20"/>
              </w:rPr>
              <w:lastRenderedPageBreak/>
              <w:t>MAD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4F5ECE14" w14:textId="77777777" w:rsidR="00DD2FD3" w:rsidRDefault="00DD2FD3" w:rsidP="000D05F7">
            <w:r>
              <w:rPr>
                <w:rFonts w:ascii="Arial" w:eastAsia="Arial" w:hAnsi="Arial" w:cs="Arial"/>
                <w:sz w:val="20"/>
                <w:szCs w:val="20"/>
              </w:rPr>
              <w:t>Mean Absolute Deviation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0314BB9F" w14:textId="77777777" w:rsidR="00DD2FD3" w:rsidRDefault="00DD2FD3" w:rsidP="000D05F7">
            <w:r>
              <w:rPr>
                <w:rFonts w:ascii="Arial" w:eastAsia="Arial" w:hAnsi="Arial" w:cs="Arial"/>
                <w:sz w:val="20"/>
                <w:szCs w:val="20"/>
              </w:rPr>
              <w:t>The average of the absolute deviations between forecast and actual demand. Used directly in safety stock calculations — higher MAD means more buffer stock is needed.</w:t>
            </w:r>
          </w:p>
        </w:tc>
      </w:tr>
      <w:tr w:rsidR="00DD2FD3" w14:paraId="409A86CF" w14:textId="77777777" w:rsidTr="000D05F7">
        <w:tc>
          <w:tcPr>
            <w:tcW w:w="900" w:type="dxa"/>
            <w:tcBorders>
              <w:top w:val="single" w:sz="1" w:space="0" w:color="AAAAAA"/>
              <w:left w:val="single" w:sz="1" w:space="0" w:color="AAAAAA"/>
              <w:bottom w:val="single" w:sz="1" w:space="0" w:color="AAAAAA"/>
              <w:right w:val="single" w:sz="1" w:space="0" w:color="AAAAAA"/>
            </w:tcBorders>
            <w:shd w:val="clear" w:color="auto" w:fill="EAFAF1"/>
            <w:tcMar>
              <w:top w:w="90" w:type="dxa"/>
              <w:left w:w="140" w:type="dxa"/>
              <w:bottom w:w="90" w:type="dxa"/>
              <w:right w:w="140" w:type="dxa"/>
            </w:tcMar>
          </w:tcPr>
          <w:p w14:paraId="226D0BD1" w14:textId="77777777" w:rsidR="00DD2FD3" w:rsidRDefault="00DD2FD3" w:rsidP="000D05F7">
            <w:pPr>
              <w:jc w:val="center"/>
            </w:pPr>
            <w:r>
              <w:rPr>
                <w:rFonts w:ascii="Arial" w:eastAsia="Arial" w:hAnsi="Arial" w:cs="Arial"/>
                <w:b/>
                <w:bCs/>
                <w:sz w:val="20"/>
                <w:szCs w:val="20"/>
              </w:rPr>
              <w:t>TS</w:t>
            </w:r>
          </w:p>
        </w:tc>
        <w:tc>
          <w:tcPr>
            <w:tcW w:w="2500" w:type="dxa"/>
            <w:tcBorders>
              <w:top w:val="single" w:sz="1" w:space="0" w:color="AAAAAA"/>
              <w:left w:val="single" w:sz="1" w:space="0" w:color="AAAAAA"/>
              <w:bottom w:val="single" w:sz="1" w:space="0" w:color="AAAAAA"/>
              <w:right w:val="single" w:sz="1" w:space="0" w:color="AAAAAA"/>
            </w:tcBorders>
            <w:shd w:val="clear" w:color="auto" w:fill="EAFAF1"/>
            <w:tcMar>
              <w:top w:w="90" w:type="dxa"/>
              <w:left w:w="140" w:type="dxa"/>
              <w:bottom w:w="90" w:type="dxa"/>
              <w:right w:w="140" w:type="dxa"/>
            </w:tcMar>
          </w:tcPr>
          <w:p w14:paraId="4C6B27FE" w14:textId="77777777" w:rsidR="00DD2FD3" w:rsidRDefault="00DD2FD3" w:rsidP="000D05F7">
            <w:r>
              <w:rPr>
                <w:rFonts w:ascii="Arial" w:eastAsia="Arial" w:hAnsi="Arial" w:cs="Arial"/>
                <w:sz w:val="20"/>
                <w:szCs w:val="20"/>
              </w:rPr>
              <w:t>Tracking Signal</w:t>
            </w:r>
          </w:p>
        </w:tc>
        <w:tc>
          <w:tcPr>
            <w:tcW w:w="5960" w:type="dxa"/>
            <w:tcBorders>
              <w:top w:val="single" w:sz="1" w:space="0" w:color="AAAAAA"/>
              <w:left w:val="single" w:sz="1" w:space="0" w:color="AAAAAA"/>
              <w:bottom w:val="single" w:sz="1" w:space="0" w:color="AAAAAA"/>
              <w:right w:val="single" w:sz="1" w:space="0" w:color="AAAAAA"/>
            </w:tcBorders>
            <w:shd w:val="clear" w:color="auto" w:fill="EAFAF1"/>
            <w:tcMar>
              <w:top w:w="90" w:type="dxa"/>
              <w:left w:w="140" w:type="dxa"/>
              <w:bottom w:w="90" w:type="dxa"/>
              <w:right w:w="140" w:type="dxa"/>
            </w:tcMar>
          </w:tcPr>
          <w:p w14:paraId="45EA17A9" w14:textId="77777777" w:rsidR="00DD2FD3" w:rsidRDefault="00DD2FD3" w:rsidP="000D05F7">
            <w:r>
              <w:rPr>
                <w:rFonts w:ascii="Arial" w:eastAsia="Arial" w:hAnsi="Arial" w:cs="Arial"/>
                <w:sz w:val="20"/>
                <w:szCs w:val="20"/>
              </w:rPr>
              <w:t>Calculated as cumulative BIAS divided by MAD. Monitors whether forecast bias is drifting over time. A tracking signal outside the range of ±4 is a warning that the model needs recalibration.</w:t>
            </w:r>
          </w:p>
        </w:tc>
      </w:tr>
      <w:tr w:rsidR="00DD2FD3" w14:paraId="4747F40F" w14:textId="77777777" w:rsidTr="000D05F7">
        <w:tc>
          <w:tcPr>
            <w:tcW w:w="0" w:type="auto"/>
            <w:gridSpan w:val="3"/>
            <w:tcBorders>
              <w:top w:val="single" w:sz="1" w:space="0" w:color="AAAAAA"/>
              <w:left w:val="single" w:sz="1" w:space="0" w:color="AAAAAA"/>
              <w:bottom w:val="single" w:sz="1" w:space="0" w:color="AAAAAA"/>
              <w:right w:val="single" w:sz="1" w:space="0" w:color="AAAAAA"/>
            </w:tcBorders>
            <w:shd w:val="clear" w:color="auto" w:fill="8E44AD"/>
            <w:tcMar>
              <w:top w:w="80" w:type="dxa"/>
              <w:left w:w="140" w:type="dxa"/>
              <w:bottom w:w="80" w:type="dxa"/>
              <w:right w:w="140" w:type="dxa"/>
            </w:tcMar>
          </w:tcPr>
          <w:p w14:paraId="033299EE" w14:textId="77777777" w:rsidR="00DD2FD3" w:rsidRDefault="00DD2FD3" w:rsidP="000D05F7">
            <w:r>
              <w:rPr>
                <w:rFonts w:ascii="Arial" w:eastAsia="Arial" w:hAnsi="Arial" w:cs="Arial"/>
                <w:b/>
                <w:bCs/>
                <w:color w:val="FFFFFF"/>
                <w:sz w:val="20"/>
                <w:szCs w:val="20"/>
              </w:rPr>
              <w:t>Group 3 — Business &amp; Inventory KPIs: Does the system actually help planners?</w:t>
            </w:r>
          </w:p>
        </w:tc>
      </w:tr>
      <w:tr w:rsidR="00DD2FD3" w14:paraId="3CADCF9B" w14:textId="77777777" w:rsidTr="000D05F7">
        <w:tc>
          <w:tcPr>
            <w:tcW w:w="900" w:type="dxa"/>
            <w:tcBorders>
              <w:top w:val="single" w:sz="1" w:space="0" w:color="AAAAAA"/>
              <w:left w:val="single" w:sz="1" w:space="0" w:color="AAAAAA"/>
              <w:bottom w:val="single" w:sz="1" w:space="0" w:color="AAAAAA"/>
              <w:right w:val="single" w:sz="1" w:space="0" w:color="AAAAAA"/>
            </w:tcBorders>
            <w:shd w:val="clear" w:color="auto" w:fill="F5EEF8"/>
            <w:tcMar>
              <w:top w:w="90" w:type="dxa"/>
              <w:left w:w="140" w:type="dxa"/>
              <w:bottom w:w="90" w:type="dxa"/>
              <w:right w:w="140" w:type="dxa"/>
            </w:tcMar>
          </w:tcPr>
          <w:p w14:paraId="2E6AD0EC" w14:textId="77777777" w:rsidR="00DD2FD3" w:rsidRDefault="00DD2FD3" w:rsidP="000D05F7">
            <w:pPr>
              <w:jc w:val="center"/>
            </w:pPr>
            <w:r>
              <w:rPr>
                <w:rFonts w:ascii="Arial" w:eastAsia="Arial" w:hAnsi="Arial" w:cs="Arial"/>
                <w:b/>
                <w:bCs/>
                <w:sz w:val="20"/>
                <w:szCs w:val="20"/>
              </w:rPr>
              <w:t>VA</w:t>
            </w:r>
          </w:p>
        </w:tc>
        <w:tc>
          <w:tcPr>
            <w:tcW w:w="2500" w:type="dxa"/>
            <w:tcBorders>
              <w:top w:val="single" w:sz="1" w:space="0" w:color="AAAAAA"/>
              <w:left w:val="single" w:sz="1" w:space="0" w:color="AAAAAA"/>
              <w:bottom w:val="single" w:sz="1" w:space="0" w:color="AAAAAA"/>
              <w:right w:val="single" w:sz="1" w:space="0" w:color="AAAAAA"/>
            </w:tcBorders>
            <w:shd w:val="clear" w:color="auto" w:fill="F5EEF8"/>
            <w:tcMar>
              <w:top w:w="90" w:type="dxa"/>
              <w:left w:w="140" w:type="dxa"/>
              <w:bottom w:w="90" w:type="dxa"/>
              <w:right w:w="140" w:type="dxa"/>
            </w:tcMar>
          </w:tcPr>
          <w:p w14:paraId="52DDC6AC" w14:textId="77777777" w:rsidR="00DD2FD3" w:rsidRDefault="00DD2FD3" w:rsidP="000D05F7">
            <w:r>
              <w:rPr>
                <w:rFonts w:ascii="Arial" w:eastAsia="Arial" w:hAnsi="Arial" w:cs="Arial"/>
                <w:sz w:val="20"/>
                <w:szCs w:val="20"/>
              </w:rPr>
              <w:t>Value Add</w:t>
            </w:r>
          </w:p>
        </w:tc>
        <w:tc>
          <w:tcPr>
            <w:tcW w:w="5960" w:type="dxa"/>
            <w:tcBorders>
              <w:top w:val="single" w:sz="1" w:space="0" w:color="AAAAAA"/>
              <w:left w:val="single" w:sz="1" w:space="0" w:color="AAAAAA"/>
              <w:bottom w:val="single" w:sz="1" w:space="0" w:color="AAAAAA"/>
              <w:right w:val="single" w:sz="1" w:space="0" w:color="AAAAAA"/>
            </w:tcBorders>
            <w:shd w:val="clear" w:color="auto" w:fill="F5EEF8"/>
            <w:tcMar>
              <w:top w:w="90" w:type="dxa"/>
              <w:left w:w="140" w:type="dxa"/>
              <w:bottom w:w="90" w:type="dxa"/>
              <w:right w:w="140" w:type="dxa"/>
            </w:tcMar>
          </w:tcPr>
          <w:p w14:paraId="211BA5A1" w14:textId="77777777" w:rsidR="00DD2FD3" w:rsidRDefault="00DD2FD3" w:rsidP="000D05F7">
            <w:r>
              <w:rPr>
                <w:rFonts w:ascii="Arial" w:eastAsia="Arial" w:hAnsi="Arial" w:cs="Arial"/>
                <w:sz w:val="20"/>
                <w:szCs w:val="20"/>
              </w:rPr>
              <w:t>Measures how much the ML model improves over a naive baseline (e.g., using last week's sales as the forecast). Expressed as percentage improvement in MAE or SMAPE. Directly justifies the use of a complex model over a simple heuristic.</w:t>
            </w:r>
          </w:p>
        </w:tc>
      </w:tr>
      <w:tr w:rsidR="00DD2FD3" w14:paraId="040BD39F" w14:textId="77777777" w:rsidTr="000D05F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73023709" w14:textId="77777777" w:rsidR="00DD2FD3" w:rsidRDefault="00DD2FD3" w:rsidP="000D05F7">
            <w:pPr>
              <w:jc w:val="center"/>
            </w:pPr>
            <w:r>
              <w:rPr>
                <w:rFonts w:ascii="Arial" w:eastAsia="Arial" w:hAnsi="Arial" w:cs="Arial"/>
                <w:b/>
                <w:bCs/>
                <w:sz w:val="20"/>
                <w:szCs w:val="20"/>
              </w:rPr>
              <w:t>SL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37064A48" w14:textId="77777777" w:rsidR="00DD2FD3" w:rsidRDefault="00DD2FD3" w:rsidP="000D05F7">
            <w:r>
              <w:rPr>
                <w:rFonts w:ascii="Arial" w:eastAsia="Arial" w:hAnsi="Arial" w:cs="Arial"/>
                <w:sz w:val="20"/>
                <w:szCs w:val="20"/>
              </w:rPr>
              <w:t>Service Level</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075C894C" w14:textId="77777777" w:rsidR="00DD2FD3" w:rsidRDefault="00DD2FD3" w:rsidP="000D05F7">
            <w:r>
              <w:rPr>
                <w:rFonts w:ascii="Arial" w:eastAsia="Arial" w:hAnsi="Arial" w:cs="Arial"/>
                <w:sz w:val="20"/>
                <w:szCs w:val="20"/>
              </w:rPr>
              <w:t>The percentage of demand periods where stock was available to meet demand without a stockout. Directly measures the operational success of the replenishment recommendations.</w:t>
            </w:r>
          </w:p>
        </w:tc>
      </w:tr>
      <w:tr w:rsidR="00DD2FD3" w14:paraId="6450C5F6" w14:textId="77777777" w:rsidTr="000D05F7">
        <w:tc>
          <w:tcPr>
            <w:tcW w:w="900" w:type="dxa"/>
            <w:tcBorders>
              <w:top w:val="single" w:sz="1" w:space="0" w:color="AAAAAA"/>
              <w:left w:val="single" w:sz="1" w:space="0" w:color="AAAAAA"/>
              <w:bottom w:val="single" w:sz="1" w:space="0" w:color="AAAAAA"/>
              <w:right w:val="single" w:sz="1" w:space="0" w:color="AAAAAA"/>
            </w:tcBorders>
            <w:shd w:val="clear" w:color="auto" w:fill="F5EEF8"/>
            <w:tcMar>
              <w:top w:w="90" w:type="dxa"/>
              <w:left w:w="140" w:type="dxa"/>
              <w:bottom w:w="90" w:type="dxa"/>
              <w:right w:w="140" w:type="dxa"/>
            </w:tcMar>
          </w:tcPr>
          <w:p w14:paraId="54C23847" w14:textId="77777777" w:rsidR="00DD2FD3" w:rsidRDefault="00DD2FD3" w:rsidP="000D05F7">
            <w:pPr>
              <w:jc w:val="center"/>
            </w:pPr>
            <w:r>
              <w:rPr>
                <w:rFonts w:ascii="Arial" w:eastAsia="Arial" w:hAnsi="Arial" w:cs="Arial"/>
                <w:b/>
                <w:bCs/>
                <w:sz w:val="20"/>
                <w:szCs w:val="20"/>
              </w:rPr>
              <w:t>SOR</w:t>
            </w:r>
          </w:p>
        </w:tc>
        <w:tc>
          <w:tcPr>
            <w:tcW w:w="2500" w:type="dxa"/>
            <w:tcBorders>
              <w:top w:val="single" w:sz="1" w:space="0" w:color="AAAAAA"/>
              <w:left w:val="single" w:sz="1" w:space="0" w:color="AAAAAA"/>
              <w:bottom w:val="single" w:sz="1" w:space="0" w:color="AAAAAA"/>
              <w:right w:val="single" w:sz="1" w:space="0" w:color="AAAAAA"/>
            </w:tcBorders>
            <w:shd w:val="clear" w:color="auto" w:fill="F5EEF8"/>
            <w:tcMar>
              <w:top w:w="90" w:type="dxa"/>
              <w:left w:w="140" w:type="dxa"/>
              <w:bottom w:w="90" w:type="dxa"/>
              <w:right w:w="140" w:type="dxa"/>
            </w:tcMar>
          </w:tcPr>
          <w:p w14:paraId="39F5DA81" w14:textId="77777777" w:rsidR="00DD2FD3" w:rsidRDefault="00DD2FD3" w:rsidP="000D05F7">
            <w:r>
              <w:rPr>
                <w:rFonts w:ascii="Arial" w:eastAsia="Arial" w:hAnsi="Arial" w:cs="Arial"/>
                <w:sz w:val="20"/>
                <w:szCs w:val="20"/>
              </w:rPr>
              <w:t>Stockout Rate</w:t>
            </w:r>
          </w:p>
        </w:tc>
        <w:tc>
          <w:tcPr>
            <w:tcW w:w="5960" w:type="dxa"/>
            <w:tcBorders>
              <w:top w:val="single" w:sz="1" w:space="0" w:color="AAAAAA"/>
              <w:left w:val="single" w:sz="1" w:space="0" w:color="AAAAAA"/>
              <w:bottom w:val="single" w:sz="1" w:space="0" w:color="AAAAAA"/>
              <w:right w:val="single" w:sz="1" w:space="0" w:color="AAAAAA"/>
            </w:tcBorders>
            <w:shd w:val="clear" w:color="auto" w:fill="F5EEF8"/>
            <w:tcMar>
              <w:top w:w="90" w:type="dxa"/>
              <w:left w:w="140" w:type="dxa"/>
              <w:bottom w:w="90" w:type="dxa"/>
              <w:right w:w="140" w:type="dxa"/>
            </w:tcMar>
          </w:tcPr>
          <w:p w14:paraId="27CC511E" w14:textId="77777777" w:rsidR="00DD2FD3" w:rsidRDefault="00DD2FD3" w:rsidP="000D05F7">
            <w:r>
              <w:rPr>
                <w:rFonts w:ascii="Arial" w:eastAsia="Arial" w:hAnsi="Arial" w:cs="Arial"/>
                <w:sz w:val="20"/>
                <w:szCs w:val="20"/>
              </w:rPr>
              <w:t>The percentage of time periods where available stock reached zero. A direct measure of the real-world consequence of under-forecasting or under-ordering.</w:t>
            </w:r>
          </w:p>
        </w:tc>
      </w:tr>
      <w:tr w:rsidR="00DD2FD3" w14:paraId="67D74F1A" w14:textId="77777777" w:rsidTr="000D05F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09C754F3" w14:textId="77777777" w:rsidR="00DD2FD3" w:rsidRDefault="00DD2FD3" w:rsidP="000D05F7">
            <w:pPr>
              <w:jc w:val="center"/>
            </w:pPr>
            <w:r>
              <w:rPr>
                <w:rFonts w:ascii="Arial" w:eastAsia="Arial" w:hAnsi="Arial" w:cs="Arial"/>
                <w:b/>
                <w:bCs/>
                <w:sz w:val="20"/>
                <w:szCs w:val="20"/>
              </w:rPr>
              <w:t>ITO</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3F1294F1" w14:textId="77777777" w:rsidR="00DD2FD3" w:rsidRDefault="00DD2FD3" w:rsidP="000D05F7">
            <w:r>
              <w:rPr>
                <w:rFonts w:ascii="Arial" w:eastAsia="Arial" w:hAnsi="Arial" w:cs="Arial"/>
                <w:sz w:val="20"/>
                <w:szCs w:val="20"/>
              </w:rPr>
              <w:t>Inventory Turnover</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tcPr>
          <w:p w14:paraId="46E8B0E6" w14:textId="77777777" w:rsidR="00DD2FD3" w:rsidRDefault="00DD2FD3" w:rsidP="000D05F7">
            <w:r>
              <w:rPr>
                <w:rFonts w:ascii="Arial" w:eastAsia="Arial" w:hAnsi="Arial" w:cs="Arial"/>
                <w:sz w:val="20"/>
                <w:szCs w:val="20"/>
              </w:rPr>
              <w:t>How many times the full inventory is sold and replaced over a given period. Higher turnover indicates leaner, more efficient inventory management — a key business outcome of accurate replenishment.</w:t>
            </w:r>
          </w:p>
        </w:tc>
      </w:tr>
    </w:tbl>
    <w:p w14:paraId="4A0299B2" w14:textId="77777777" w:rsidR="00DD2FD3" w:rsidRDefault="00DD2FD3" w:rsidP="00DD2FD3">
      <w:pPr>
        <w:rPr>
          <w:rFonts w:ascii="Times New Roman" w:eastAsia="Times New Roman" w:hAnsi="Times New Roman" w:cs="Times New Roman"/>
          <w:b/>
          <w:bCs/>
          <w:color w:val="auto"/>
          <w:sz w:val="28"/>
          <w:szCs w:val="28"/>
        </w:rPr>
      </w:pPr>
    </w:p>
    <w:p w14:paraId="60CF282A" w14:textId="77777777" w:rsidR="00DD2FD3" w:rsidRDefault="00DD2FD3" w:rsidP="00DD2FD3">
      <w:pPr>
        <w:rPr>
          <w:rFonts w:ascii="Times New Roman" w:eastAsia="Times New Roman" w:hAnsi="Times New Roman" w:cs="Times New Roman"/>
          <w:color w:val="auto"/>
        </w:rPr>
      </w:pPr>
    </w:p>
    <w:p w14:paraId="0644BFAF" w14:textId="77777777" w:rsidR="00DD2FD3" w:rsidRDefault="00DD2FD3" w:rsidP="00DD2FD3">
      <w:pPr>
        <w:rPr>
          <w:rFonts w:ascii="Times New Roman" w:eastAsia="Times New Roman" w:hAnsi="Times New Roman" w:cs="Times New Roman"/>
          <w:color w:val="auto"/>
        </w:rPr>
      </w:pPr>
      <w:r>
        <w:rPr>
          <w:rFonts w:ascii="Times New Roman" w:eastAsia="Times New Roman" w:hAnsi="Times New Roman" w:cs="Times New Roman"/>
          <w:color w:val="auto"/>
        </w:rPr>
        <w:t xml:space="preserve">Three categories of input features are engineered for the model. Time features captures calendar effects such as day of week , month and holiday proximity. Lag features capture recent sales, history. Promotional and price feature capture the effect of active promotion , price changes and competitor pricing on demand. </w:t>
      </w:r>
    </w:p>
    <w:p w14:paraId="167A49AF" w14:textId="77777777" w:rsidR="00DD2FD3" w:rsidRDefault="00DD2FD3" w:rsidP="00DD2FD3">
      <w:pPr>
        <w:rPr>
          <w:rFonts w:ascii="Times New Roman" w:eastAsia="Times New Roman" w:hAnsi="Times New Roman" w:cs="Times New Roman"/>
          <w:color w:val="auto"/>
        </w:rPr>
      </w:pPr>
      <w:r>
        <w:rPr>
          <w:rFonts w:ascii="Times New Roman" w:eastAsia="Times New Roman" w:hAnsi="Times New Roman" w:cs="Times New Roman"/>
          <w:color w:val="auto"/>
        </w:rPr>
        <w:t>The model will also output both point forecast and quantile predictions , specifically the 10</w:t>
      </w:r>
      <w:r w:rsidRPr="00004158">
        <w:rPr>
          <w:rFonts w:ascii="Times New Roman" w:eastAsia="Times New Roman" w:hAnsi="Times New Roman" w:cs="Times New Roman"/>
          <w:color w:val="auto"/>
          <w:vertAlign w:val="superscript"/>
        </w:rPr>
        <w:t>th</w:t>
      </w:r>
      <w:r>
        <w:rPr>
          <w:rFonts w:ascii="Times New Roman" w:eastAsia="Times New Roman" w:hAnsi="Times New Roman" w:cs="Times New Roman"/>
          <w:color w:val="auto"/>
        </w:rPr>
        <w:t xml:space="preserve"> , 50</w:t>
      </w:r>
      <w:r w:rsidRPr="00004158">
        <w:rPr>
          <w:rFonts w:ascii="Times New Roman" w:eastAsia="Times New Roman" w:hAnsi="Times New Roman" w:cs="Times New Roman"/>
          <w:color w:val="auto"/>
          <w:vertAlign w:val="superscript"/>
        </w:rPr>
        <w:t>th</w:t>
      </w:r>
      <w:r>
        <w:rPr>
          <w:rFonts w:ascii="Times New Roman" w:eastAsia="Times New Roman" w:hAnsi="Times New Roman" w:cs="Times New Roman"/>
          <w:color w:val="auto"/>
        </w:rPr>
        <w:t xml:space="preserve"> and 90</w:t>
      </w:r>
      <w:r w:rsidRPr="00004158">
        <w:rPr>
          <w:rFonts w:ascii="Times New Roman" w:eastAsia="Times New Roman" w:hAnsi="Times New Roman" w:cs="Times New Roman"/>
          <w:color w:val="auto"/>
          <w:vertAlign w:val="superscript"/>
        </w:rPr>
        <w:t>th</w:t>
      </w:r>
      <w:r>
        <w:rPr>
          <w:rFonts w:ascii="Times New Roman" w:eastAsia="Times New Roman" w:hAnsi="Times New Roman" w:cs="Times New Roman"/>
          <w:color w:val="auto"/>
        </w:rPr>
        <w:t xml:space="preserve"> percentiles as these represent the bounds of the demand. The interval between 10</w:t>
      </w:r>
      <w:r w:rsidRPr="00004158">
        <w:rPr>
          <w:rFonts w:ascii="Times New Roman" w:eastAsia="Times New Roman" w:hAnsi="Times New Roman" w:cs="Times New Roman"/>
          <w:color w:val="auto"/>
          <w:vertAlign w:val="superscript"/>
        </w:rPr>
        <w:t>th</w:t>
      </w:r>
      <w:r>
        <w:rPr>
          <w:rFonts w:ascii="Times New Roman" w:eastAsia="Times New Roman" w:hAnsi="Times New Roman" w:cs="Times New Roman"/>
          <w:color w:val="auto"/>
        </w:rPr>
        <w:t xml:space="preserve"> and 90</w:t>
      </w:r>
      <w:r w:rsidRPr="00004158">
        <w:rPr>
          <w:rFonts w:ascii="Times New Roman" w:eastAsia="Times New Roman" w:hAnsi="Times New Roman" w:cs="Times New Roman"/>
          <w:color w:val="auto"/>
          <w:vertAlign w:val="superscript"/>
        </w:rPr>
        <w:t>th</w:t>
      </w:r>
      <w:r>
        <w:rPr>
          <w:rFonts w:ascii="Times New Roman" w:eastAsia="Times New Roman" w:hAnsi="Times New Roman" w:cs="Times New Roman"/>
          <w:color w:val="auto"/>
        </w:rPr>
        <w:t xml:space="preserve"> percentiles is the forecast uncertainty, in the case of high uncertain the model will trigger a more conservative replenishment recommendation.</w:t>
      </w:r>
    </w:p>
    <w:p w14:paraId="6C697F63" w14:textId="77777777" w:rsidR="00DD2FD3" w:rsidRDefault="00DD2FD3" w:rsidP="00DD2FD3">
      <w:pPr>
        <w:rPr>
          <w:rFonts w:ascii="Times New Roman" w:eastAsia="Times New Roman" w:hAnsi="Times New Roman" w:cs="Times New Roman"/>
          <w:color w:val="auto"/>
        </w:rPr>
      </w:pPr>
    </w:p>
    <w:p w14:paraId="2648D760" w14:textId="77777777" w:rsidR="00DD2FD3" w:rsidRPr="00BF62B5" w:rsidRDefault="00DD2FD3" w:rsidP="00DD2FD3">
      <w:pPr>
        <w:rPr>
          <w:rFonts w:ascii="Times New Roman" w:eastAsia="Times New Roman" w:hAnsi="Times New Roman" w:cs="Times New Roman"/>
          <w:b/>
          <w:bCs/>
          <w:color w:val="auto"/>
          <w:sz w:val="24"/>
          <w:szCs w:val="24"/>
        </w:rPr>
      </w:pPr>
      <w:r w:rsidRPr="00BF62B5">
        <w:rPr>
          <w:rFonts w:ascii="Times New Roman" w:eastAsia="Times New Roman" w:hAnsi="Times New Roman" w:cs="Times New Roman"/>
          <w:b/>
          <w:bCs/>
          <w:color w:val="auto"/>
          <w:sz w:val="24"/>
          <w:szCs w:val="24"/>
        </w:rPr>
        <w:t>4.2.3 The Explainability Component and the 10 Questions</w:t>
      </w:r>
    </w:p>
    <w:p w14:paraId="537B529E" w14:textId="77777777" w:rsidR="00DD2FD3" w:rsidRDefault="00DD2FD3" w:rsidP="00DD2FD3">
      <w:pPr>
        <w:rPr>
          <w:rFonts w:ascii="Times New Roman" w:eastAsia="Times New Roman" w:hAnsi="Times New Roman" w:cs="Times New Roman"/>
          <w:color w:val="auto"/>
        </w:rPr>
      </w:pPr>
      <w:r>
        <w:rPr>
          <w:rFonts w:ascii="Times New Roman" w:eastAsia="Times New Roman" w:hAnsi="Times New Roman" w:cs="Times New Roman"/>
          <w:color w:val="auto"/>
        </w:rPr>
        <w:t>This part is the most important part of the series , when using SHAP ( a tech that does not support causality) the outputs are very generic and that leaves the user to interpret the charts on his/her own.so in this thesis the system proposed is structured around 10 questions that must be answered . each question is answered using the most appropriate XAI technique Table 4.1 shows the 10 questions:</w:t>
      </w:r>
    </w:p>
    <w:p w14:paraId="3D1D61F2" w14:textId="77777777" w:rsidR="00DD2FD3" w:rsidRDefault="00DD2FD3" w:rsidP="00DD2FD3">
      <w:r>
        <w:rPr>
          <w:rFonts w:ascii="Times New Roman" w:eastAsia="Times New Roman" w:hAnsi="Times New Roman" w:cs="Times New Roman"/>
          <w:i/>
          <w:iCs/>
        </w:rPr>
        <w:t>Table 4.1: Planner Questions and Corresponding Explainability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4849"/>
        <w:gridCol w:w="3892"/>
      </w:tblGrid>
      <w:tr w:rsidR="00DD2FD3" w14:paraId="152EC7CA" w14:textId="77777777" w:rsidTr="000D05F7">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2B4365FE" w14:textId="77777777" w:rsidR="00DD2FD3" w:rsidRDefault="00DD2FD3" w:rsidP="000D05F7">
            <w:r>
              <w:rPr>
                <w:rFonts w:ascii="Times New Roman" w:eastAsia="Times New Roman" w:hAnsi="Times New Roman" w:cs="Times New Roman"/>
                <w:b/>
                <w:bCs/>
                <w:color w:val="FFFFFF"/>
              </w:rPr>
              <w:t>Q</w:t>
            </w:r>
          </w:p>
        </w:tc>
        <w:tc>
          <w:tcPr>
            <w:tcW w:w="4860"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53AC9C63" w14:textId="77777777" w:rsidR="00DD2FD3" w:rsidRDefault="00DD2FD3" w:rsidP="000D05F7">
            <w:r>
              <w:rPr>
                <w:rFonts w:ascii="Times New Roman" w:eastAsia="Times New Roman" w:hAnsi="Times New Roman" w:cs="Times New Roman"/>
                <w:b/>
                <w:bCs/>
                <w:color w:val="FFFFFF"/>
              </w:rPr>
              <w:t>Planner Question</w:t>
            </w:r>
          </w:p>
        </w:tc>
        <w:tc>
          <w:tcPr>
            <w:tcW w:w="3900"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1FF85703" w14:textId="77777777" w:rsidR="00DD2FD3" w:rsidRDefault="00DD2FD3" w:rsidP="000D05F7">
            <w:r>
              <w:rPr>
                <w:rFonts w:ascii="Times New Roman" w:eastAsia="Times New Roman" w:hAnsi="Times New Roman" w:cs="Times New Roman"/>
                <w:b/>
                <w:bCs/>
                <w:color w:val="FFFFFF"/>
              </w:rPr>
              <w:t>Technique Used</w:t>
            </w:r>
          </w:p>
        </w:tc>
      </w:tr>
      <w:tr w:rsidR="00DD2FD3" w14:paraId="742780C7" w14:textId="77777777" w:rsidTr="000D05F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B33E9D" w14:textId="77777777" w:rsidR="00DD2FD3" w:rsidRDefault="00DD2FD3" w:rsidP="000D05F7">
            <w:r>
              <w:rPr>
                <w:rFonts w:ascii="Times New Roman" w:eastAsia="Times New Roman" w:hAnsi="Times New Roman" w:cs="Times New Roman"/>
              </w:rPr>
              <w:t>Q1</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75E9A5" w14:textId="77777777" w:rsidR="00DD2FD3" w:rsidRDefault="00DD2FD3" w:rsidP="000D05F7">
            <w:r>
              <w:rPr>
                <w:rFonts w:ascii="Times New Roman" w:eastAsia="Times New Roman" w:hAnsi="Times New Roman" w:cs="Times New Roman"/>
              </w:rPr>
              <w:t>Why is the system recommending a reorder for this SKU right now?</w:t>
            </w:r>
          </w:p>
        </w:tc>
        <w:tc>
          <w:tcPr>
            <w:tcW w:w="3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914C43" w14:textId="77777777" w:rsidR="00DD2FD3" w:rsidRDefault="00DD2FD3" w:rsidP="000D05F7">
            <w:r>
              <w:rPr>
                <w:rFonts w:ascii="Times New Roman" w:eastAsia="Times New Roman" w:hAnsi="Times New Roman" w:cs="Times New Roman"/>
              </w:rPr>
              <w:t>Local SHAP</w:t>
            </w:r>
          </w:p>
        </w:tc>
      </w:tr>
      <w:tr w:rsidR="00DD2FD3" w14:paraId="577A04FC" w14:textId="77777777" w:rsidTr="000D05F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4355A" w14:textId="77777777" w:rsidR="00DD2FD3" w:rsidRDefault="00DD2FD3" w:rsidP="000D05F7">
            <w:r>
              <w:rPr>
                <w:rFonts w:ascii="Times New Roman" w:eastAsia="Times New Roman" w:hAnsi="Times New Roman" w:cs="Times New Roman"/>
              </w:rPr>
              <w:t>Q2</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FF7645" w14:textId="77777777" w:rsidR="00DD2FD3" w:rsidRDefault="00DD2FD3" w:rsidP="000D05F7">
            <w:r>
              <w:rPr>
                <w:rFonts w:ascii="Times New Roman" w:eastAsia="Times New Roman" w:hAnsi="Times New Roman" w:cs="Times New Roman"/>
              </w:rPr>
              <w:t>What are the most important features driving demand across all SKUs?</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8EDDC" w14:textId="77777777" w:rsidR="00DD2FD3" w:rsidRDefault="00DD2FD3" w:rsidP="000D05F7">
            <w:r>
              <w:rPr>
                <w:rFonts w:ascii="Times New Roman" w:eastAsia="Times New Roman" w:hAnsi="Times New Roman" w:cs="Times New Roman"/>
              </w:rPr>
              <w:t>Local + Global SHAP</w:t>
            </w:r>
          </w:p>
        </w:tc>
      </w:tr>
      <w:tr w:rsidR="00DD2FD3" w14:paraId="2A1ABFEB" w14:textId="77777777" w:rsidTr="000D05F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1E1F3E" w14:textId="77777777" w:rsidR="00DD2FD3" w:rsidRDefault="00DD2FD3" w:rsidP="000D05F7">
            <w:r>
              <w:rPr>
                <w:rFonts w:ascii="Times New Roman" w:eastAsia="Times New Roman" w:hAnsi="Times New Roman" w:cs="Times New Roman"/>
              </w:rPr>
              <w:t>Q3</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A19CB6" w14:textId="77777777" w:rsidR="00DD2FD3" w:rsidRDefault="00DD2FD3" w:rsidP="000D05F7">
            <w:r>
              <w:rPr>
                <w:rFonts w:ascii="Times New Roman" w:eastAsia="Times New Roman" w:hAnsi="Times New Roman" w:cs="Times New Roman"/>
              </w:rPr>
              <w:t>How confident is the model in this forecast?</w:t>
            </w:r>
          </w:p>
        </w:tc>
        <w:tc>
          <w:tcPr>
            <w:tcW w:w="3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05D073" w14:textId="77777777" w:rsidR="00DD2FD3" w:rsidRDefault="00DD2FD3" w:rsidP="000D05F7">
            <w:r>
              <w:rPr>
                <w:rFonts w:ascii="Times New Roman" w:eastAsia="Times New Roman" w:hAnsi="Times New Roman" w:cs="Times New Roman"/>
              </w:rPr>
              <w:t>Quantile Forecast + Prediction Intervals + Calibration</w:t>
            </w:r>
          </w:p>
        </w:tc>
      </w:tr>
      <w:tr w:rsidR="00DD2FD3" w14:paraId="2898019D" w14:textId="77777777" w:rsidTr="000D05F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162D3" w14:textId="77777777" w:rsidR="00DD2FD3" w:rsidRDefault="00DD2FD3" w:rsidP="000D05F7">
            <w:r>
              <w:rPr>
                <w:rFonts w:ascii="Times New Roman" w:eastAsia="Times New Roman" w:hAnsi="Times New Roman" w:cs="Times New Roman"/>
              </w:rPr>
              <w:t>Q4</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92B4A" w14:textId="77777777" w:rsidR="00DD2FD3" w:rsidRDefault="00DD2FD3" w:rsidP="000D05F7">
            <w:r>
              <w:rPr>
                <w:rFonts w:ascii="Times New Roman" w:eastAsia="Times New Roman" w:hAnsi="Times New Roman" w:cs="Times New Roman"/>
              </w:rPr>
              <w:t>What would happen to the forecast if a promotion were added or removed?</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EB2A3" w14:textId="77777777" w:rsidR="00DD2FD3" w:rsidRDefault="00DD2FD3" w:rsidP="000D05F7">
            <w:r>
              <w:rPr>
                <w:rFonts w:ascii="Times New Roman" w:eastAsia="Times New Roman" w:hAnsi="Times New Roman" w:cs="Times New Roman"/>
              </w:rPr>
              <w:t>Counterfactual (PDP as support)</w:t>
            </w:r>
          </w:p>
        </w:tc>
      </w:tr>
      <w:tr w:rsidR="00DD2FD3" w14:paraId="17F6A9AE" w14:textId="77777777" w:rsidTr="000D05F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82BB2D" w14:textId="77777777" w:rsidR="00DD2FD3" w:rsidRDefault="00DD2FD3" w:rsidP="000D05F7">
            <w:r>
              <w:rPr>
                <w:rFonts w:ascii="Times New Roman" w:eastAsia="Times New Roman" w:hAnsi="Times New Roman" w:cs="Times New Roman"/>
              </w:rPr>
              <w:t>Q5</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5390B4" w14:textId="77777777" w:rsidR="00DD2FD3" w:rsidRDefault="00DD2FD3" w:rsidP="000D05F7">
            <w:r>
              <w:rPr>
                <w:rFonts w:ascii="Times New Roman" w:eastAsia="Times New Roman" w:hAnsi="Times New Roman" w:cs="Times New Roman"/>
              </w:rPr>
              <w:t>Why is the reorder quantity higher for this SKU than a similar one?</w:t>
            </w:r>
          </w:p>
        </w:tc>
        <w:tc>
          <w:tcPr>
            <w:tcW w:w="3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E31DB0" w14:textId="77777777" w:rsidR="00DD2FD3" w:rsidRDefault="00DD2FD3" w:rsidP="000D05F7">
            <w:r>
              <w:rPr>
                <w:rFonts w:ascii="Times New Roman" w:eastAsia="Times New Roman" w:hAnsi="Times New Roman" w:cs="Times New Roman"/>
              </w:rPr>
              <w:t>Comparative SHAP</w:t>
            </w:r>
          </w:p>
        </w:tc>
      </w:tr>
      <w:tr w:rsidR="00DD2FD3" w14:paraId="31134F4B" w14:textId="77777777" w:rsidTr="000D05F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82949" w14:textId="77777777" w:rsidR="00DD2FD3" w:rsidRDefault="00DD2FD3" w:rsidP="000D05F7">
            <w:r>
              <w:rPr>
                <w:rFonts w:ascii="Times New Roman" w:eastAsia="Times New Roman" w:hAnsi="Times New Roman" w:cs="Times New Roman"/>
              </w:rPr>
              <w:t>Q6</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4D4C0" w14:textId="77777777" w:rsidR="00DD2FD3" w:rsidRDefault="00DD2FD3" w:rsidP="000D05F7">
            <w:r>
              <w:rPr>
                <w:rFonts w:ascii="Times New Roman" w:eastAsia="Times New Roman" w:hAnsi="Times New Roman" w:cs="Times New Roman"/>
              </w:rPr>
              <w:t>Is this SKU experiencing a demand spike or stable growth?</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28DB6" w14:textId="77777777" w:rsidR="00DD2FD3" w:rsidRDefault="00DD2FD3" w:rsidP="000D05F7">
            <w:r>
              <w:rPr>
                <w:rFonts w:ascii="Times New Roman" w:eastAsia="Times New Roman" w:hAnsi="Times New Roman" w:cs="Times New Roman"/>
              </w:rPr>
              <w:t>SHAP Grouped by Time Features</w:t>
            </w:r>
          </w:p>
        </w:tc>
      </w:tr>
      <w:tr w:rsidR="00DD2FD3" w14:paraId="33FDFB1E" w14:textId="77777777" w:rsidTr="000D05F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D5B15C" w14:textId="77777777" w:rsidR="00DD2FD3" w:rsidRDefault="00DD2FD3" w:rsidP="000D05F7">
            <w:r>
              <w:rPr>
                <w:rFonts w:ascii="Times New Roman" w:eastAsia="Times New Roman" w:hAnsi="Times New Roman" w:cs="Times New Roman"/>
              </w:rPr>
              <w:t>Q7</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01EA58" w14:textId="77777777" w:rsidR="00DD2FD3" w:rsidRDefault="00DD2FD3" w:rsidP="000D05F7">
            <w:r>
              <w:rPr>
                <w:rFonts w:ascii="Times New Roman" w:eastAsia="Times New Roman" w:hAnsi="Times New Roman" w:cs="Times New Roman"/>
              </w:rPr>
              <w:t>Could past stockouts have distorted the demand signal for this SKU?</w:t>
            </w:r>
          </w:p>
        </w:tc>
        <w:tc>
          <w:tcPr>
            <w:tcW w:w="3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87F63B" w14:textId="77777777" w:rsidR="00DD2FD3" w:rsidRDefault="00DD2FD3" w:rsidP="000D05F7">
            <w:r>
              <w:rPr>
                <w:rFonts w:ascii="Times New Roman" w:eastAsia="Times New Roman" w:hAnsi="Times New Roman" w:cs="Times New Roman"/>
              </w:rPr>
              <w:t>SHAP on Stockout Flag + Counterfactual</w:t>
            </w:r>
          </w:p>
        </w:tc>
      </w:tr>
      <w:tr w:rsidR="00DD2FD3" w14:paraId="6FA1A295" w14:textId="77777777" w:rsidTr="000D05F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784E4" w14:textId="77777777" w:rsidR="00DD2FD3" w:rsidRDefault="00DD2FD3" w:rsidP="000D05F7">
            <w:r>
              <w:rPr>
                <w:rFonts w:ascii="Times New Roman" w:eastAsia="Times New Roman" w:hAnsi="Times New Roman" w:cs="Times New Roman"/>
              </w:rPr>
              <w:t>Q8</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1F440" w14:textId="77777777" w:rsidR="00DD2FD3" w:rsidRDefault="00DD2FD3" w:rsidP="000D05F7">
            <w:r>
              <w:rPr>
                <w:rFonts w:ascii="Times New Roman" w:eastAsia="Times New Roman" w:hAnsi="Times New Roman" w:cs="Times New Roman"/>
              </w:rPr>
              <w:t>Are there any data quality issues affecting the model's reliability?</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3F16C" w14:textId="77777777" w:rsidR="00DD2FD3" w:rsidRDefault="00DD2FD3" w:rsidP="000D05F7">
            <w:r>
              <w:rPr>
                <w:rFonts w:ascii="Times New Roman" w:eastAsia="Times New Roman" w:hAnsi="Times New Roman" w:cs="Times New Roman"/>
              </w:rPr>
              <w:t>Global SHAP + Feature Audit</w:t>
            </w:r>
          </w:p>
        </w:tc>
      </w:tr>
      <w:tr w:rsidR="00DD2FD3" w14:paraId="1BB461BA" w14:textId="77777777" w:rsidTr="000D05F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E732FB" w14:textId="77777777" w:rsidR="00DD2FD3" w:rsidRDefault="00DD2FD3" w:rsidP="000D05F7">
            <w:r>
              <w:rPr>
                <w:rFonts w:ascii="Times New Roman" w:eastAsia="Times New Roman" w:hAnsi="Times New Roman" w:cs="Times New Roman"/>
              </w:rPr>
              <w:t>Q9</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9B7C9C" w14:textId="77777777" w:rsidR="00DD2FD3" w:rsidRDefault="00DD2FD3" w:rsidP="000D05F7">
            <w:r>
              <w:rPr>
                <w:rFonts w:ascii="Times New Roman" w:eastAsia="Times New Roman" w:hAnsi="Times New Roman" w:cs="Times New Roman"/>
              </w:rPr>
              <w:t>Is the model less reliable for this SKU due to limited history?</w:t>
            </w:r>
          </w:p>
        </w:tc>
        <w:tc>
          <w:tcPr>
            <w:tcW w:w="3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0833B3" w14:textId="77777777" w:rsidR="00DD2FD3" w:rsidRDefault="00DD2FD3" w:rsidP="000D05F7">
            <w:r>
              <w:rPr>
                <w:rFonts w:ascii="Times New Roman" w:eastAsia="Times New Roman" w:hAnsi="Times New Roman" w:cs="Times New Roman"/>
              </w:rPr>
              <w:t>Subgroup Evaluation + Uncertainty Analysis</w:t>
            </w:r>
          </w:p>
        </w:tc>
      </w:tr>
      <w:tr w:rsidR="00DD2FD3" w14:paraId="55E5E6B5" w14:textId="77777777" w:rsidTr="000D05F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5CE3F" w14:textId="77777777" w:rsidR="00DD2FD3" w:rsidRDefault="00DD2FD3" w:rsidP="000D05F7">
            <w:r>
              <w:rPr>
                <w:rFonts w:ascii="Times New Roman" w:eastAsia="Times New Roman" w:hAnsi="Times New Roman" w:cs="Times New Roman"/>
              </w:rPr>
              <w:t>Q10</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63123" w14:textId="77777777" w:rsidR="00DD2FD3" w:rsidRDefault="00DD2FD3" w:rsidP="000D05F7">
            <w:r>
              <w:rPr>
                <w:rFonts w:ascii="Times New Roman" w:eastAsia="Times New Roman" w:hAnsi="Times New Roman" w:cs="Times New Roman"/>
              </w:rPr>
              <w:t>What is the financial cost of under- or over-ordering based on this forecast?</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7D512" w14:textId="77777777" w:rsidR="00DD2FD3" w:rsidRDefault="00DD2FD3" w:rsidP="000D05F7">
            <w:r>
              <w:rPr>
                <w:rFonts w:ascii="Times New Roman" w:eastAsia="Times New Roman" w:hAnsi="Times New Roman" w:cs="Times New Roman"/>
              </w:rPr>
              <w:t>Probabilistic Simulation + Cost Impact Modeling</w:t>
            </w:r>
          </w:p>
        </w:tc>
      </w:tr>
    </w:tbl>
    <w:p w14:paraId="6FD09F6B" w14:textId="77777777" w:rsidR="00DD2FD3" w:rsidRDefault="00DD2FD3" w:rsidP="00DD2FD3">
      <w:pPr>
        <w:spacing w:after="200"/>
      </w:pPr>
    </w:p>
    <w:p w14:paraId="3180BAC4" w14:textId="77777777" w:rsidR="00DD2FD3" w:rsidRDefault="00DD2FD3" w:rsidP="00DD2FD3">
      <w:pPr>
        <w:spacing w:after="200" w:line="360" w:lineRule="auto"/>
        <w:rPr>
          <w:i/>
          <w:iCs/>
        </w:rPr>
      </w:pPr>
      <w:r>
        <w:rPr>
          <w:rFonts w:ascii="Times New Roman" w:eastAsia="Times New Roman" w:hAnsi="Times New Roman" w:cs="Times New Roman"/>
          <w:color w:val="auto"/>
        </w:rPr>
        <w:lastRenderedPageBreak/>
        <w:t xml:space="preserve">The questions’ answers will feed into a natural language model and outputs a simple English briefing for each SKU. An example of the output a user will see alongside the charts is :  </w:t>
      </w:r>
      <w:r w:rsidRPr="00BF62B5">
        <w:rPr>
          <w:i/>
          <w:iCs/>
        </w:rPr>
        <w:t>"Demand for this product is forecast to increase by approximately 18% next week, primarily driven by the scheduled end-of-aisle promotion. The model is moderately uncertain about this figure because this SKU has limited historical data during promotional periods (Q9). Based on a 7-day lead time and current stock of 120 units, a reorder of 340 units is recommended to maintain a 95% service level. Under-ordering by 20% would result in an estimated stockout cost of approximately 1,200 EGP (Q10)."</w:t>
      </w:r>
    </w:p>
    <w:p w14:paraId="3289C473" w14:textId="77777777" w:rsidR="00DD2FD3" w:rsidRPr="003D1A1B" w:rsidRDefault="00DD2FD3" w:rsidP="00DD2FD3">
      <w:pPr>
        <w:spacing w:after="200" w:line="360" w:lineRule="auto"/>
        <w:rPr>
          <w:rFonts w:asciiTheme="majorBidi" w:hAnsiTheme="majorBidi" w:cstheme="majorBidi"/>
          <w:b/>
          <w:bCs/>
          <w:sz w:val="24"/>
        </w:rPr>
      </w:pPr>
      <w:r w:rsidRPr="003D1A1B">
        <w:rPr>
          <w:rFonts w:asciiTheme="majorBidi" w:hAnsiTheme="majorBidi" w:cstheme="majorBidi"/>
          <w:b/>
          <w:bCs/>
          <w:sz w:val="24"/>
        </w:rPr>
        <w:t xml:space="preserve">4.2.4 The Replenishment Logic </w:t>
      </w:r>
    </w:p>
    <w:p w14:paraId="6A42420C" w14:textId="77777777" w:rsidR="00DD2FD3" w:rsidRDefault="00DD2FD3" w:rsidP="00DD2FD3">
      <w:pPr>
        <w:spacing w:after="200" w:line="360" w:lineRule="auto"/>
        <w:rPr>
          <w:rFonts w:asciiTheme="majorBidi" w:hAnsiTheme="majorBidi" w:cstheme="majorBidi"/>
        </w:rPr>
      </w:pPr>
      <w:r>
        <w:rPr>
          <w:rFonts w:asciiTheme="majorBidi" w:hAnsiTheme="majorBidi" w:cstheme="majorBidi"/>
        </w:rPr>
        <w:t>The replenishment logic is calculated on three main inputs: the median (point) forecast for the lead time period, the safety stock buffer (from quantile uncertainty) , and the variable lead time. The reorder quantity is computed as the difference between this total demand estimate and current stock-on-hand (Reorder Quantity = Total Demand Est. – Current Stock). The system will allow the user enter the variable lead time ( what-if  simulator).</w:t>
      </w:r>
    </w:p>
    <w:p w14:paraId="0AECB123" w14:textId="77777777" w:rsidR="00DD2FD3" w:rsidRDefault="00DD2FD3" w:rsidP="00DD2FD3">
      <w:pPr>
        <w:spacing w:after="200" w:line="360" w:lineRule="auto"/>
        <w:rPr>
          <w:rFonts w:ascii="Times New Roman" w:hAnsi="Times New Roman"/>
          <w:b/>
          <w:bCs/>
          <w:sz w:val="24"/>
        </w:rPr>
      </w:pPr>
      <w:r>
        <w:rPr>
          <w:rFonts w:asciiTheme="majorBidi" w:hAnsiTheme="majorBidi" w:cstheme="majorBidi"/>
        </w:rPr>
        <w:t xml:space="preserve"> </w:t>
      </w:r>
      <w:r w:rsidRPr="003D1A1B">
        <w:rPr>
          <w:rFonts w:ascii="Times New Roman" w:hAnsi="Times New Roman"/>
          <w:b/>
          <w:bCs/>
          <w:sz w:val="24"/>
        </w:rPr>
        <w:t>4.2.5 The Dashboard Interface</w:t>
      </w:r>
    </w:p>
    <w:p w14:paraId="355438F9" w14:textId="77777777" w:rsidR="00DD2FD3" w:rsidRDefault="00DD2FD3" w:rsidP="00DD2FD3">
      <w:pPr>
        <w:spacing w:after="200" w:line="360" w:lineRule="auto"/>
        <w:rPr>
          <w:rFonts w:ascii="Times New Roman" w:hAnsi="Times New Roman"/>
        </w:rPr>
      </w:pPr>
      <w:r>
        <w:rPr>
          <w:rFonts w:ascii="Times New Roman" w:hAnsi="Times New Roman"/>
        </w:rPr>
        <w:t>The dashboard will be coded using python dash , it will have 4 main pages :</w:t>
      </w:r>
    </w:p>
    <w:p w14:paraId="7B1A7734" w14:textId="77777777" w:rsidR="00DD2FD3" w:rsidRDefault="00DD2FD3" w:rsidP="00DD2FD3">
      <w:pPr>
        <w:spacing w:after="200" w:line="360" w:lineRule="auto"/>
        <w:rPr>
          <w:rFonts w:ascii="Times New Roman" w:hAnsi="Times New Roman"/>
        </w:rPr>
      </w:pPr>
      <w:r w:rsidRPr="00EE2DB6">
        <w:rPr>
          <w:rFonts w:ascii="Times New Roman" w:hAnsi="Times New Roman"/>
          <w:b/>
          <w:bCs/>
        </w:rPr>
        <w:t>Dashboard (dashboard.py) :</w:t>
      </w:r>
      <w:r>
        <w:rPr>
          <w:rFonts w:ascii="Times New Roman" w:hAnsi="Times New Roman"/>
        </w:rPr>
        <w:t xml:space="preserve"> Landing page and primary overview, will display demand forecasts and replenishment cards for all SKUs. It will also flag products with high uncertainty , imminent reorder triggers and data quality concerns. (Q2 &amp; Q8)</w:t>
      </w:r>
    </w:p>
    <w:p w14:paraId="415C026C" w14:textId="77777777" w:rsidR="00DD2FD3" w:rsidRDefault="00DD2FD3" w:rsidP="00DD2FD3">
      <w:pPr>
        <w:spacing w:after="200" w:line="360" w:lineRule="auto"/>
        <w:rPr>
          <w:rFonts w:asciiTheme="majorBidi" w:hAnsiTheme="majorBidi" w:cstheme="majorBidi"/>
        </w:rPr>
      </w:pPr>
      <w:r w:rsidRPr="00EE2DB6">
        <w:rPr>
          <w:rFonts w:asciiTheme="majorBidi" w:hAnsiTheme="majorBidi" w:cstheme="majorBidi"/>
          <w:b/>
          <w:bCs/>
        </w:rPr>
        <w:t>SKU Explorer (sku_explorer.py):</w:t>
      </w:r>
      <w:r>
        <w:rPr>
          <w:rFonts w:asciiTheme="majorBidi" w:hAnsiTheme="majorBidi" w:cstheme="majorBidi"/>
          <w:b/>
          <w:bCs/>
        </w:rPr>
        <w:t xml:space="preserve"> </w:t>
      </w:r>
      <w:r>
        <w:rPr>
          <w:rFonts w:asciiTheme="majorBidi" w:hAnsiTheme="majorBidi" w:cstheme="majorBidi"/>
        </w:rPr>
        <w:t>Shows a detailed break down for a selected SKU. Shows the forecast  time series with quantile bands, the local SHAP waterfall chart and the natural lang brief. (Q1,Q3 &amp;Q6)</w:t>
      </w:r>
    </w:p>
    <w:p w14:paraId="01D5BEE2" w14:textId="77777777" w:rsidR="00DD2FD3" w:rsidRDefault="00DD2FD3" w:rsidP="00DD2FD3">
      <w:pPr>
        <w:spacing w:after="200" w:line="360" w:lineRule="auto"/>
        <w:rPr>
          <w:rFonts w:ascii="Times New Roman" w:eastAsia="Times New Roman" w:hAnsi="Times New Roman" w:cs="Times New Roman"/>
          <w:b/>
          <w:bCs/>
          <w:color w:val="auto"/>
          <w:sz w:val="24"/>
          <w:szCs w:val="24"/>
        </w:rPr>
      </w:pPr>
      <w:r w:rsidRPr="00EE2DB6">
        <w:rPr>
          <w:rFonts w:asciiTheme="majorBidi" w:hAnsiTheme="majorBidi" w:cstheme="majorBidi"/>
          <w:b/>
          <w:bCs/>
        </w:rPr>
        <w:t>Explanations Panel (explanations.py):</w:t>
      </w:r>
      <w:r>
        <w:rPr>
          <w:rFonts w:asciiTheme="majorBidi" w:hAnsiTheme="majorBidi" w:cstheme="majorBidi"/>
          <w:b/>
          <w:bCs/>
        </w:rPr>
        <w:t xml:space="preserve"> </w:t>
      </w:r>
      <w:r w:rsidRPr="00EE2DB6">
        <w:rPr>
          <w:rFonts w:asciiTheme="majorBidi" w:hAnsiTheme="majorBidi" w:cstheme="majorBidi"/>
        </w:rPr>
        <w:t>presenting global SHAP summaries, Partial Dependence Plots (PDP), comparative SHAP across similar SKUs, stockout distortion analysis, and the feature audit</w:t>
      </w:r>
      <w:r>
        <w:rPr>
          <w:rFonts w:asciiTheme="majorBidi" w:hAnsiTheme="majorBidi" w:cstheme="majorBidi"/>
        </w:rPr>
        <w:t>. (Q2,Q4,Q5,Q7 and Q8)</w:t>
      </w:r>
      <w:r w:rsidRPr="00EE2DB6">
        <w:rPr>
          <w:rFonts w:ascii="Times New Roman" w:eastAsia="Times New Roman" w:hAnsi="Times New Roman" w:cs="Times New Roman"/>
          <w:b/>
          <w:bCs/>
          <w:color w:val="auto"/>
          <w:sz w:val="24"/>
          <w:szCs w:val="24"/>
        </w:rPr>
        <w:t xml:space="preserve"> </w:t>
      </w:r>
    </w:p>
    <w:p w14:paraId="000888D2" w14:textId="77777777" w:rsidR="00DD2FD3" w:rsidRDefault="00DD2FD3" w:rsidP="00DD2FD3">
      <w:pPr>
        <w:spacing w:after="200" w:line="360" w:lineRule="auto"/>
      </w:pPr>
      <w:r w:rsidRPr="00EE2DB6">
        <w:rPr>
          <w:rFonts w:asciiTheme="majorBidi" w:hAnsiTheme="majorBidi" w:cstheme="majorBidi"/>
          <w:b/>
          <w:bCs/>
        </w:rPr>
        <w:t xml:space="preserve">What-If Simulator (what_if.py): </w:t>
      </w:r>
      <w:r w:rsidRPr="00EE2DB6">
        <w:rPr>
          <w:rFonts w:asciiTheme="majorBidi" w:hAnsiTheme="majorBidi" w:cstheme="majorBidi"/>
        </w:rPr>
        <w:t>An interactive scenario tool where planners can modify key parameters</w:t>
      </w:r>
      <w:r>
        <w:rPr>
          <w:rFonts w:asciiTheme="majorBidi" w:hAnsiTheme="majorBidi" w:cstheme="majorBidi"/>
        </w:rPr>
        <w:t xml:space="preserve">, </w:t>
      </w:r>
      <w:r>
        <w:t>promotion status, lead time, current stock level, service level target and outputs how the forecast, uncertainty and replenishment recommendations change. (Q4 &amp;Q10).</w:t>
      </w:r>
    </w:p>
    <w:p w14:paraId="627593EA" w14:textId="77777777" w:rsidR="00DD2FD3" w:rsidRPr="00EE2DB6" w:rsidRDefault="00DD2FD3" w:rsidP="00DD2FD3">
      <w:pPr>
        <w:spacing w:after="200" w:line="360" w:lineRule="auto"/>
        <w:rPr>
          <w:rFonts w:asciiTheme="majorBidi" w:hAnsiTheme="majorBidi" w:cstheme="majorBidi"/>
          <w:b/>
          <w:bCs/>
          <w:sz w:val="26"/>
        </w:rPr>
      </w:pPr>
      <w:r w:rsidRPr="00EE2DB6">
        <w:rPr>
          <w:rFonts w:asciiTheme="majorBidi" w:hAnsiTheme="majorBidi" w:cstheme="majorBidi"/>
          <w:b/>
          <w:bCs/>
          <w:sz w:val="26"/>
        </w:rPr>
        <w:t xml:space="preserve">4.3 Summary </w:t>
      </w:r>
    </w:p>
    <w:p w14:paraId="53B86E9D" w14:textId="77777777" w:rsidR="00DD2FD3" w:rsidRPr="00EE2DB6" w:rsidRDefault="00DD2FD3" w:rsidP="00DD2FD3">
      <w:pPr>
        <w:spacing w:after="200" w:line="360" w:lineRule="auto"/>
        <w:rPr>
          <w:rFonts w:asciiTheme="majorBidi" w:hAnsiTheme="majorBidi" w:cstheme="majorBidi"/>
        </w:rPr>
      </w:pPr>
      <w:r>
        <w:rPr>
          <w:rFonts w:asciiTheme="majorBidi" w:hAnsiTheme="majorBidi" w:cstheme="majorBidi"/>
        </w:rPr>
        <w:lastRenderedPageBreak/>
        <w:t xml:space="preserve">This chapter cover the scope and concept of the proposed system. The scope is focused on : SKU-level FMCG retail forecasting and replenishment. Public data will be used to train the models and then to stress -test the model private company data will be used. The system is build around 4 layers , </w:t>
      </w:r>
      <w:r w:rsidRPr="00854B5A">
        <w:rPr>
          <w:rFonts w:asciiTheme="majorBidi" w:hAnsiTheme="majorBidi" w:cstheme="majorBidi"/>
        </w:rPr>
        <w:t>data preprocessing, forecasting, explainability, and the dashboard interface</w:t>
      </w:r>
      <w:r>
        <w:rPr>
          <w:rFonts w:asciiTheme="majorBidi" w:hAnsiTheme="majorBidi" w:cstheme="majorBidi"/>
        </w:rPr>
        <w:t>. The systems explainability is built around 10 questions and each question is answered using a dedicated analytical module using the most appropriate technique.</w:t>
      </w:r>
    </w:p>
    <w:p w14:paraId="5BF2A3F4" w14:textId="77777777" w:rsidR="0005531E" w:rsidRDefault="0005531E" w:rsidP="0005531E">
      <w:pPr>
        <w:pStyle w:val="NormalWeb"/>
        <w:shd w:val="clear" w:color="auto" w:fill="181818"/>
        <w:spacing w:before="0" w:beforeAutospacing="0" w:after="240" w:afterAutospacing="0"/>
        <w:rPr>
          <w:rFonts w:ascii="Segoe UI" w:hAnsi="Segoe UI" w:cs="Segoe UI"/>
          <w:color w:val="CCCCCC"/>
          <w:sz w:val="20"/>
          <w:szCs w:val="20"/>
        </w:rPr>
      </w:pPr>
      <w:r>
        <w:t>EXTRA NOTES :</w:t>
      </w:r>
      <w:r>
        <w:br/>
      </w:r>
      <w:r>
        <w:rPr>
          <w:rFonts w:ascii="Segoe UI" w:hAnsi="Segoe UI" w:cs="Segoe UI"/>
          <w:color w:val="CCCCCC"/>
          <w:sz w:val="20"/>
          <w:szCs w:val="20"/>
        </w:rPr>
        <w:t>Think of it as a </w:t>
      </w:r>
      <w:r>
        <w:rPr>
          <w:rStyle w:val="Strong"/>
          <w:rFonts w:ascii="Segoe UI" w:hAnsi="Segoe UI" w:cs="Segoe UI"/>
          <w:color w:val="CCCCCC"/>
          <w:sz w:val="20"/>
          <w:szCs w:val="20"/>
        </w:rPr>
        <w:t>pipeline with 4 stages</w:t>
      </w:r>
      <w:r>
        <w:rPr>
          <w:rFonts w:ascii="Segoe UI" w:hAnsi="Segoe UI" w:cs="Segoe UI"/>
          <w:color w:val="CCCCCC"/>
          <w:sz w:val="20"/>
          <w:szCs w:val="20"/>
        </w:rPr>
        <w:t>:</w:t>
      </w:r>
    </w:p>
    <w:p w14:paraId="0688AFDF" w14:textId="77777777" w:rsidR="0005531E" w:rsidRDefault="0005531E" w:rsidP="0005531E">
      <w:pPr>
        <w:pStyle w:val="NormalWeb"/>
        <w:shd w:val="clear" w:color="auto" w:fill="181818"/>
        <w:spacing w:before="0" w:beforeAutospacing="0" w:after="240" w:afterAutospacing="0"/>
        <w:rPr>
          <w:rFonts w:ascii="Segoe UI" w:hAnsi="Segoe UI" w:cs="Segoe UI"/>
          <w:color w:val="CCCCCC"/>
          <w:sz w:val="20"/>
          <w:szCs w:val="20"/>
        </w:rPr>
      </w:pPr>
      <w:r>
        <w:rPr>
          <w:rStyle w:val="Strong"/>
          <w:rFonts w:ascii="Segoe UI" w:hAnsi="Segoe UI" w:cs="Segoe UI"/>
          <w:color w:val="CCCCCC"/>
          <w:sz w:val="20"/>
          <w:szCs w:val="20"/>
        </w:rPr>
        <w:t>Stage 1 — Data</w:t>
      </w:r>
      <w:r>
        <w:rPr>
          <w:rFonts w:ascii="Segoe UI" w:hAnsi="Segoe UI" w:cs="Segoe UI"/>
          <w:color w:val="CCCCCC"/>
          <w:sz w:val="20"/>
          <w:szCs w:val="20"/>
        </w:rPr>
        <w:br/>
        <w:t>You feed in raw sales history (Rossmann, M5). The code cleans it, fills gaps, and engineers features — things like "was there a promo this week?", "what were sales 7 days ago?", "is it a holiday?". This becomes a big table where each row = one store + one product + one day.</w:t>
      </w:r>
    </w:p>
    <w:p w14:paraId="44CFA486" w14:textId="77777777" w:rsidR="0005531E" w:rsidRDefault="0005531E" w:rsidP="0005531E">
      <w:pPr>
        <w:pStyle w:val="NormalWeb"/>
        <w:shd w:val="clear" w:color="auto" w:fill="181818"/>
        <w:spacing w:before="0" w:beforeAutospacing="0" w:after="240" w:afterAutospacing="0"/>
        <w:rPr>
          <w:rFonts w:ascii="Segoe UI" w:hAnsi="Segoe UI" w:cs="Segoe UI"/>
          <w:color w:val="CCCCCC"/>
          <w:sz w:val="20"/>
          <w:szCs w:val="20"/>
        </w:rPr>
      </w:pPr>
      <w:r>
        <w:rPr>
          <w:rStyle w:val="Strong"/>
          <w:rFonts w:ascii="Segoe UI" w:hAnsi="Segoe UI" w:cs="Segoe UI"/>
          <w:color w:val="CCCCCC"/>
          <w:sz w:val="20"/>
          <w:szCs w:val="20"/>
        </w:rPr>
        <w:t>Stage 2 — The Model learns patterns</w:t>
      </w:r>
      <w:r>
        <w:rPr>
          <w:rFonts w:ascii="Segoe UI" w:hAnsi="Segoe UI" w:cs="Segoe UI"/>
          <w:color w:val="CCCCCC"/>
          <w:sz w:val="20"/>
          <w:szCs w:val="20"/>
        </w:rPr>
        <w:br/>
        <w:t>You take that table and train </w:t>
      </w:r>
      <w:r>
        <w:rPr>
          <w:rStyle w:val="Strong"/>
          <w:rFonts w:ascii="Segoe UI" w:hAnsi="Segoe UI" w:cs="Segoe UI"/>
          <w:color w:val="CCCCCC"/>
          <w:sz w:val="20"/>
          <w:szCs w:val="20"/>
        </w:rPr>
        <w:t>LightGBM</w:t>
      </w:r>
      <w:r>
        <w:rPr>
          <w:rFonts w:ascii="Segoe UI" w:hAnsi="Segoe UI" w:cs="Segoe UI"/>
          <w:color w:val="CCCCCC"/>
          <w:sz w:val="20"/>
          <w:szCs w:val="20"/>
        </w:rPr>
        <w:t> on it. The model reads the features and learns: </w:t>
      </w:r>
      <w:r>
        <w:rPr>
          <w:rStyle w:val="Emphasis"/>
          <w:rFonts w:ascii="Segoe UI" w:hAnsi="Segoe UI" w:cs="Segoe UI"/>
          <w:color w:val="CCCCCC"/>
          <w:sz w:val="20"/>
          <w:szCs w:val="20"/>
        </w:rPr>
        <w:t>"whenever promo=1 and it's a Friday in December, sales tend to spike by X."</w:t>
      </w:r>
      <w:r>
        <w:rPr>
          <w:rFonts w:ascii="Segoe UI" w:hAnsi="Segoe UI" w:cs="Segoe UI"/>
          <w:color w:val="CCCCCC"/>
          <w:sz w:val="20"/>
          <w:szCs w:val="20"/>
        </w:rPr>
        <w:t> It doesn't just predict one number — it predicts </w:t>
      </w:r>
      <w:r>
        <w:rPr>
          <w:rStyle w:val="Strong"/>
          <w:rFonts w:ascii="Segoe UI" w:hAnsi="Segoe UI" w:cs="Segoe UI"/>
          <w:color w:val="CCCCCC"/>
          <w:sz w:val="20"/>
          <w:szCs w:val="20"/>
        </w:rPr>
        <w:t>three</w:t>
      </w:r>
      <w:r>
        <w:rPr>
          <w:rFonts w:ascii="Segoe UI" w:hAnsi="Segoe UI" w:cs="Segoe UI"/>
          <w:color w:val="CCCCCC"/>
          <w:sz w:val="20"/>
          <w:szCs w:val="20"/>
        </w:rPr>
        <w:t> (low, middle, high forecast) so you know how uncertain it is. XGBoost, ARIMA and Exponential Smoothing are trained the same way as comparison benchmarks.</w:t>
      </w:r>
    </w:p>
    <w:p w14:paraId="6CE79074" w14:textId="77777777" w:rsidR="0005531E" w:rsidRDefault="0005531E" w:rsidP="0005531E">
      <w:pPr>
        <w:pStyle w:val="NormalWeb"/>
        <w:shd w:val="clear" w:color="auto" w:fill="181818"/>
        <w:spacing w:before="0" w:beforeAutospacing="0" w:after="240" w:afterAutospacing="0"/>
        <w:rPr>
          <w:rFonts w:ascii="Segoe UI" w:hAnsi="Segoe UI" w:cs="Segoe UI"/>
          <w:color w:val="CCCCCC"/>
          <w:sz w:val="20"/>
          <w:szCs w:val="20"/>
        </w:rPr>
      </w:pPr>
      <w:r>
        <w:rPr>
          <w:rStyle w:val="Strong"/>
          <w:rFonts w:ascii="Segoe UI" w:hAnsi="Segoe UI" w:cs="Segoe UI"/>
          <w:color w:val="CCCCCC"/>
          <w:sz w:val="20"/>
          <w:szCs w:val="20"/>
        </w:rPr>
        <w:t>Stage 3 — Explainability answers the 10 questions</w:t>
      </w:r>
      <w:r>
        <w:rPr>
          <w:rFonts w:ascii="Segoe UI" w:hAnsi="Segoe UI" w:cs="Segoe UI"/>
          <w:color w:val="CCCCCC"/>
          <w:sz w:val="20"/>
          <w:szCs w:val="20"/>
        </w:rPr>
        <w:br/>
        <w:t>Once the model makes a prediction (e.g. "order 340 units"), SHAP runs in the background and says </w:t>
      </w:r>
      <w:r>
        <w:rPr>
          <w:rStyle w:val="Emphasis"/>
          <w:rFonts w:ascii="Segoe UI" w:hAnsi="Segoe UI" w:cs="Segoe UI"/>
          <w:color w:val="CCCCCC"/>
          <w:sz w:val="20"/>
          <w:szCs w:val="20"/>
        </w:rPr>
        <w:t>why</w:t>
      </w:r>
      <w:r>
        <w:rPr>
          <w:rFonts w:ascii="Segoe UI" w:hAnsi="Segoe UI" w:cs="Segoe UI"/>
          <w:color w:val="CCCCCC"/>
          <w:sz w:val="20"/>
          <w:szCs w:val="20"/>
        </w:rPr>
        <w:t>. It assigns a score to every feature for every prediction. That's how you answer Q1 ("why reorder this SKU?"), Q3 ("how confident?"), Q6 ("spike or growth?") etc. Some questions also use counterfactuals — you change one input (e.g. remove the promo) and re-run the model to see the difference.</w:t>
      </w:r>
    </w:p>
    <w:p w14:paraId="0A9DA1F0" w14:textId="77777777" w:rsidR="0005531E" w:rsidRDefault="0005531E" w:rsidP="0005531E">
      <w:pPr>
        <w:pStyle w:val="NormalWeb"/>
        <w:shd w:val="clear" w:color="auto" w:fill="181818"/>
        <w:spacing w:before="0" w:beforeAutospacing="0" w:after="240" w:afterAutospacing="0"/>
        <w:rPr>
          <w:rFonts w:ascii="Segoe UI" w:hAnsi="Segoe UI" w:cs="Segoe UI"/>
          <w:color w:val="CCCCCC"/>
          <w:sz w:val="20"/>
          <w:szCs w:val="20"/>
        </w:rPr>
      </w:pPr>
      <w:r>
        <w:rPr>
          <w:rStyle w:val="Strong"/>
          <w:rFonts w:ascii="Segoe UI" w:hAnsi="Segoe UI" w:cs="Segoe UI"/>
          <w:color w:val="CCCCCC"/>
          <w:sz w:val="20"/>
          <w:szCs w:val="20"/>
        </w:rPr>
        <w:t>Stage 4 — Dashboard shows everything</w:t>
      </w:r>
      <w:r>
        <w:rPr>
          <w:rFonts w:ascii="Segoe UI" w:hAnsi="Segoe UI" w:cs="Segoe UI"/>
          <w:color w:val="CCCCCC"/>
          <w:sz w:val="20"/>
          <w:szCs w:val="20"/>
        </w:rPr>
        <w:br/>
        <w:t>The Dash app reads the predictions and explanations and displays them in 4 pages for the planner. They see charts, replenishment amounts, and plain-English summaries. No coding needed on their end.</w:t>
      </w:r>
    </w:p>
    <w:p w14:paraId="21067B64" w14:textId="77777777" w:rsidR="0005531E" w:rsidRPr="0005531E" w:rsidRDefault="0005531E" w:rsidP="0005531E">
      <w:pPr>
        <w:shd w:val="clear" w:color="auto" w:fill="181818"/>
        <w:spacing w:after="240" w:line="240" w:lineRule="auto"/>
        <w:rPr>
          <w:rFonts w:ascii="Segoe UI" w:eastAsia="Times New Roman" w:hAnsi="Segoe UI" w:cs="Segoe UI"/>
          <w:color w:val="CCCCCC"/>
          <w:sz w:val="20"/>
          <w:szCs w:val="20"/>
        </w:rPr>
      </w:pPr>
      <w:r w:rsidRPr="0005531E">
        <w:rPr>
          <w:rFonts w:ascii="Segoe UI" w:eastAsia="Times New Roman" w:hAnsi="Segoe UI" w:cs="Segoe UI"/>
          <w:color w:val="CCCCCC"/>
          <w:sz w:val="20"/>
          <w:szCs w:val="20"/>
        </w:rPr>
        <w:t>The synthetic generation approach will be:</w:t>
      </w:r>
    </w:p>
    <w:p w14:paraId="10B86CD2" w14:textId="77777777" w:rsidR="0005531E" w:rsidRPr="0005531E" w:rsidRDefault="0005531E" w:rsidP="0005531E">
      <w:pPr>
        <w:numPr>
          <w:ilvl w:val="0"/>
          <w:numId w:val="2"/>
        </w:numPr>
        <w:shd w:val="clear" w:color="auto" w:fill="181818"/>
        <w:spacing w:before="60" w:after="60" w:line="240" w:lineRule="auto"/>
        <w:rPr>
          <w:rFonts w:ascii="Segoe UI" w:eastAsia="Times New Roman" w:hAnsi="Segoe UI" w:cs="Segoe UI"/>
          <w:color w:val="CCCCCC"/>
          <w:sz w:val="20"/>
          <w:szCs w:val="20"/>
        </w:rPr>
      </w:pPr>
      <w:r w:rsidRPr="0005531E">
        <w:rPr>
          <w:rFonts w:ascii="Segoe UI" w:eastAsia="Times New Roman" w:hAnsi="Segoe UI" w:cs="Segoe UI"/>
          <w:b/>
          <w:bCs/>
          <w:color w:val="CCCCCC"/>
          <w:sz w:val="20"/>
          <w:szCs w:val="20"/>
        </w:rPr>
        <w:t>Stock on hand</w:t>
      </w:r>
      <w:r w:rsidRPr="0005531E">
        <w:rPr>
          <w:rFonts w:ascii="Segoe UI" w:eastAsia="Times New Roman" w:hAnsi="Segoe UI" w:cs="Segoe UI"/>
          <w:color w:val="CCCCCC"/>
          <w:sz w:val="20"/>
          <w:szCs w:val="20"/>
        </w:rPr>
        <w:t> — derived from sales history (rolling cumulative with simulated replenishment cycles)</w:t>
      </w:r>
    </w:p>
    <w:p w14:paraId="0E335E54" w14:textId="77777777" w:rsidR="0005531E" w:rsidRPr="0005531E" w:rsidRDefault="0005531E" w:rsidP="0005531E">
      <w:pPr>
        <w:numPr>
          <w:ilvl w:val="0"/>
          <w:numId w:val="2"/>
        </w:numPr>
        <w:shd w:val="clear" w:color="auto" w:fill="181818"/>
        <w:spacing w:before="60" w:after="60" w:line="240" w:lineRule="auto"/>
        <w:rPr>
          <w:rFonts w:ascii="Segoe UI" w:eastAsia="Times New Roman" w:hAnsi="Segoe UI" w:cs="Segoe UI"/>
          <w:color w:val="CCCCCC"/>
          <w:sz w:val="20"/>
          <w:szCs w:val="20"/>
        </w:rPr>
      </w:pPr>
      <w:r w:rsidRPr="0005531E">
        <w:rPr>
          <w:rFonts w:ascii="Segoe UI" w:eastAsia="Times New Roman" w:hAnsi="Segoe UI" w:cs="Segoe UI"/>
          <w:b/>
          <w:bCs/>
          <w:color w:val="CCCCCC"/>
          <w:sz w:val="20"/>
          <w:szCs w:val="20"/>
        </w:rPr>
        <w:t>Lead time</w:t>
      </w:r>
      <w:r w:rsidRPr="0005531E">
        <w:rPr>
          <w:rFonts w:ascii="Segoe UI" w:eastAsia="Times New Roman" w:hAnsi="Segoe UI" w:cs="Segoe UI"/>
          <w:color w:val="CCCCCC"/>
          <w:sz w:val="20"/>
          <w:szCs w:val="20"/>
        </w:rPr>
        <w:t> — sampled from a realistic distribution (e.g. 5–14 days per store type)</w:t>
      </w:r>
    </w:p>
    <w:p w14:paraId="63B66C2B" w14:textId="77777777" w:rsidR="0005531E" w:rsidRPr="0005531E" w:rsidRDefault="0005531E" w:rsidP="0005531E">
      <w:pPr>
        <w:numPr>
          <w:ilvl w:val="0"/>
          <w:numId w:val="2"/>
        </w:numPr>
        <w:shd w:val="clear" w:color="auto" w:fill="181818"/>
        <w:spacing w:before="60" w:after="60" w:line="240" w:lineRule="auto"/>
        <w:rPr>
          <w:rFonts w:ascii="Segoe UI" w:eastAsia="Times New Roman" w:hAnsi="Segoe UI" w:cs="Segoe UI"/>
          <w:color w:val="CCCCCC"/>
          <w:sz w:val="20"/>
          <w:szCs w:val="20"/>
        </w:rPr>
      </w:pPr>
      <w:r w:rsidRPr="0005531E">
        <w:rPr>
          <w:rFonts w:ascii="Segoe UI" w:eastAsia="Times New Roman" w:hAnsi="Segoe UI" w:cs="Segoe UI"/>
          <w:b/>
          <w:bCs/>
          <w:color w:val="CCCCCC"/>
          <w:sz w:val="20"/>
          <w:szCs w:val="20"/>
        </w:rPr>
        <w:t>Reorder cost</w:t>
      </w:r>
      <w:r w:rsidRPr="0005531E">
        <w:rPr>
          <w:rFonts w:ascii="Segoe UI" w:eastAsia="Times New Roman" w:hAnsi="Segoe UI" w:cs="Segoe UI"/>
          <w:color w:val="CCCCCC"/>
          <w:sz w:val="20"/>
          <w:szCs w:val="20"/>
        </w:rPr>
        <w:t> — assigned per store/product tier</w:t>
      </w:r>
    </w:p>
    <w:p w14:paraId="68609B8A" w14:textId="77777777" w:rsidR="0005531E" w:rsidRPr="0005531E" w:rsidRDefault="0005531E" w:rsidP="0005531E">
      <w:pPr>
        <w:numPr>
          <w:ilvl w:val="0"/>
          <w:numId w:val="2"/>
        </w:numPr>
        <w:shd w:val="clear" w:color="auto" w:fill="181818"/>
        <w:spacing w:before="60" w:after="60" w:line="240" w:lineRule="auto"/>
        <w:rPr>
          <w:rFonts w:ascii="Segoe UI" w:eastAsia="Times New Roman" w:hAnsi="Segoe UI" w:cs="Segoe UI"/>
          <w:color w:val="CCCCCC"/>
          <w:sz w:val="20"/>
          <w:szCs w:val="20"/>
        </w:rPr>
      </w:pPr>
      <w:r w:rsidRPr="0005531E">
        <w:rPr>
          <w:rFonts w:ascii="Segoe UI" w:eastAsia="Times New Roman" w:hAnsi="Segoe UI" w:cs="Segoe UI"/>
          <w:b/>
          <w:bCs/>
          <w:color w:val="CCCCCC"/>
          <w:sz w:val="20"/>
          <w:szCs w:val="20"/>
        </w:rPr>
        <w:t>Supplier constraints</w:t>
      </w:r>
      <w:r w:rsidRPr="0005531E">
        <w:rPr>
          <w:rFonts w:ascii="Segoe UI" w:eastAsia="Times New Roman" w:hAnsi="Segoe UI" w:cs="Segoe UI"/>
          <w:color w:val="CCCCCC"/>
          <w:sz w:val="20"/>
          <w:szCs w:val="20"/>
        </w:rPr>
        <w:t> — min order quantities per assortment type</w:t>
      </w:r>
    </w:p>
    <w:p w14:paraId="6834220E" w14:textId="04809165" w:rsidR="000728FC" w:rsidRDefault="00210F61">
      <w:r>
        <w:br/>
      </w:r>
      <w:r>
        <w:br/>
      </w:r>
      <w:r>
        <w:br/>
      </w:r>
      <w:r>
        <w:br/>
      </w:r>
    </w:p>
    <w:p w14:paraId="740E5CCB" w14:textId="660ACD75" w:rsidR="00210F61" w:rsidRDefault="00210F61"/>
    <w:p w14:paraId="4778E921" w14:textId="2D00795E" w:rsidR="00210F61" w:rsidRDefault="00210F61">
      <w:r w:rsidRPr="00210F61">
        <w:lastRenderedPageBreak/>
        <w:drawing>
          <wp:inline distT="0" distB="0" distL="0" distR="0" wp14:anchorId="063CE2E5" wp14:editId="68D91333">
            <wp:extent cx="5219738" cy="326709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19738" cy="3267099"/>
                    </a:xfrm>
                    <a:prstGeom prst="rect">
                      <a:avLst/>
                    </a:prstGeom>
                  </pic:spPr>
                </pic:pic>
              </a:graphicData>
            </a:graphic>
          </wp:inline>
        </w:drawing>
      </w:r>
    </w:p>
    <w:sectPr w:rsidR="00210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C3D39"/>
    <w:multiLevelType w:val="hybridMultilevel"/>
    <w:tmpl w:val="FA24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D6251"/>
    <w:multiLevelType w:val="multilevel"/>
    <w:tmpl w:val="2818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FD3"/>
    <w:rsid w:val="0005531E"/>
    <w:rsid w:val="000728FC"/>
    <w:rsid w:val="00210F61"/>
    <w:rsid w:val="00413541"/>
    <w:rsid w:val="00B451AB"/>
    <w:rsid w:val="00DD2F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B95A2"/>
  <w15:chartTrackingRefBased/>
  <w15:docId w15:val="{BC13EBD7-30CE-4AA6-9569-8C51AC2BD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FD3"/>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FD3"/>
    <w:pPr>
      <w:ind w:left="720"/>
      <w:contextualSpacing/>
    </w:pPr>
  </w:style>
  <w:style w:type="paragraph" w:styleId="NormalWeb">
    <w:name w:val="Normal (Web)"/>
    <w:basedOn w:val="Normal"/>
    <w:uiPriority w:val="99"/>
    <w:semiHidden/>
    <w:unhideWhenUsed/>
    <w:rsid w:val="0005531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5531E"/>
    <w:rPr>
      <w:b/>
      <w:bCs/>
    </w:rPr>
  </w:style>
  <w:style w:type="character" w:styleId="Emphasis">
    <w:name w:val="Emphasis"/>
    <w:basedOn w:val="DefaultParagraphFont"/>
    <w:uiPriority w:val="20"/>
    <w:qFormat/>
    <w:rsid w:val="000553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497943">
      <w:bodyDiv w:val="1"/>
      <w:marLeft w:val="0"/>
      <w:marRight w:val="0"/>
      <w:marTop w:val="0"/>
      <w:marBottom w:val="0"/>
      <w:divBdr>
        <w:top w:val="none" w:sz="0" w:space="0" w:color="auto"/>
        <w:left w:val="none" w:sz="0" w:space="0" w:color="auto"/>
        <w:bottom w:val="none" w:sz="0" w:space="0" w:color="auto"/>
        <w:right w:val="none" w:sz="0" w:space="0" w:color="auto"/>
      </w:divBdr>
    </w:div>
    <w:div w:id="199853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2284</Words>
  <Characters>13021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koura</dc:creator>
  <cp:keywords/>
  <dc:description/>
  <cp:lastModifiedBy>amr koura</cp:lastModifiedBy>
  <cp:revision>3</cp:revision>
  <dcterms:created xsi:type="dcterms:W3CDTF">2026-03-12T06:25:00Z</dcterms:created>
  <dcterms:modified xsi:type="dcterms:W3CDTF">2026-03-12T09:51:00Z</dcterms:modified>
</cp:coreProperties>
</file>