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pPr>
      <w:r>
        <w:rPr>
          <w:rFonts w:ascii="Calibri" w:cs="Calibri" w:eastAsia="Calibri" w:hAnsi="Calibri"/>
          <w:b/>
          <w:bCs/>
          <w:color w:val="12163A"/>
          <w:sz w:val="64"/>
          <w:szCs w:val="64"/>
        </w:rPr>
        <w:t xml:space="preserve">AIU SMART CAMPUS</w:t>
      </w:r>
    </w:p>
    <w:p>
      <w:pPr>
        <w:pBdr>
          <w:bottom w:val="single" w:color="B0202A" w:sz="16" w:space="8"/>
        </w:pBdr>
        <w:spacing w:after="200"/>
      </w:pPr>
      <w:r>
        <w:rPr>
          <w:rFonts w:ascii="Calibri" w:cs="Calibri" w:eastAsia="Calibri" w:hAnsi="Calibri"/>
          <w:color w:val="3B3F9E"/>
          <w:sz w:val="44"/>
          <w:szCs w:val="44"/>
        </w:rPr>
        <w:t xml:space="preserve">Energy Impact &amp; Benchmark Analysis</w:t>
      </w:r>
    </w:p>
    <w:p>
      <w:pPr>
        <w:spacing w:after="600" w:before="200"/>
      </w:pPr>
      <w:r>
        <w:rPr>
          <w:rFonts w:ascii="Calibri" w:cs="Calibri" w:eastAsia="Calibri" w:hAnsi="Calibri"/>
          <w:i/>
          <w:iCs/>
          <w:color w:val="5A6080"/>
          <w:sz w:val="24"/>
          <w:szCs w:val="24"/>
        </w:rPr>
        <w:t xml:space="preserve">How much energy could an integrated cyber-physical control platform realistically save at Alamein International University, New Alamein — based on comparable university implementations and AIU's actual campus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3F9E" w:sz="24"/>
              <w:bottom w:val="none" w:color="FFFFFF" w:sz="0"/>
              <w:right w:val="none" w:color="FFFFFF" w:sz="0"/>
            </w:tcBorders>
            <w:shd w:fill="E8EAF4" w:color="auto" w:val="clear"/>
            <w:tcMar>
              <w:top w:type="dxa" w:w="110"/>
              <w:left w:type="dxa" w:w="180"/>
              <w:bottom w:type="dxa" w:w="110"/>
              <w:right w:type="dxa" w:w="180"/>
            </w:tcMar>
          </w:tcPr>
          <w:p>
            <w:pPr>
              <w:spacing w:after="60"/>
            </w:pPr>
            <w:r>
              <w:rPr>
                <w:rFonts w:ascii="Calibri" w:cs="Calibri" w:eastAsia="Calibri" w:hAnsi="Calibri"/>
                <w:b/>
                <w:bCs/>
                <w:color w:val="3B3F9E"/>
                <w:sz w:val="21"/>
                <w:szCs w:val="21"/>
              </w:rPr>
              <w:t xml:space="preserve">How to read this report</w:t>
            </w:r>
          </w:p>
          <w:p>
            <w:pPr>
              <w:spacing w:after="50"/>
            </w:pPr>
            <w:r>
              <w:rPr>
                <w:rFonts w:ascii="Calibri" w:cs="Calibri" w:eastAsia="Calibri" w:hAnsi="Calibri"/>
                <w:color w:val="1A1D3A"/>
                <w:sz w:val="20"/>
                <w:szCs w:val="20"/>
              </w:rPr>
              <w:t xml:space="preserve">Every number is tagged by origin: </w:t>
            </w:r>
            <w:r>
              <w:rPr>
                <w:rFonts w:ascii="Calibri" w:cs="Calibri" w:eastAsia="Calibri" w:hAnsi="Calibri"/>
                <w:b/>
                <w:bCs/>
                <w:color w:val="1A1D3A"/>
                <w:sz w:val="20"/>
                <w:szCs w:val="20"/>
              </w:rPr>
              <w:t xml:space="preserve">ACADEMIC EVIDENCE</w:t>
            </w:r>
            <w:r>
              <w:rPr>
                <w:rFonts w:ascii="Calibri" w:cs="Calibri" w:eastAsia="Calibri" w:hAnsi="Calibri"/>
                <w:color w:val="1A1D3A"/>
                <w:sz w:val="20"/>
                <w:szCs w:val="20"/>
              </w:rPr>
              <w:t xml:space="preserve"> (published results), </w:t>
            </w:r>
            <w:r>
              <w:rPr>
                <w:rFonts w:ascii="Calibri" w:cs="Calibri" w:eastAsia="Calibri" w:hAnsi="Calibri"/>
                <w:b/>
                <w:bCs/>
                <w:color w:val="1A1D3A"/>
                <w:sz w:val="20"/>
                <w:szCs w:val="20"/>
              </w:rPr>
              <w:t xml:space="preserve">OFFICIAL AIU DATA</w:t>
            </w:r>
            <w:r>
              <w:rPr>
                <w:rFonts w:ascii="Calibri" w:cs="Calibri" w:eastAsia="Calibri" w:hAnsi="Calibri"/>
                <w:color w:val="1A1D3A"/>
                <w:sz w:val="20"/>
                <w:szCs w:val="20"/>
              </w:rPr>
              <w:t xml:space="preserve"> (contract / university documents), </w:t>
            </w:r>
            <w:r>
              <w:rPr>
                <w:rFonts w:ascii="Calibri" w:cs="Calibri" w:eastAsia="Calibri" w:hAnsi="Calibri"/>
                <w:b/>
                <w:bCs/>
                <w:color w:val="1A1D3A"/>
                <w:sz w:val="20"/>
                <w:szCs w:val="20"/>
              </w:rPr>
              <w:t xml:space="preserve">ENGINEERING ESTIMATE</w:t>
            </w:r>
            <w:r>
              <w:rPr>
                <w:rFonts w:ascii="Calibri" w:cs="Calibri" w:eastAsia="Calibri" w:hAnsi="Calibri"/>
                <w:color w:val="1A1D3A"/>
                <w:sz w:val="20"/>
                <w:szCs w:val="20"/>
              </w:rPr>
              <w:t xml:space="preserve"> (our modelling), or </w:t>
            </w:r>
            <w:r>
              <w:rPr>
                <w:rFonts w:ascii="Calibri" w:cs="Calibri" w:eastAsia="Calibri" w:hAnsi="Calibri"/>
                <w:b/>
                <w:bCs/>
                <w:color w:val="1A1D3A"/>
                <w:sz w:val="20"/>
                <w:szCs w:val="20"/>
              </w:rPr>
              <w:t xml:space="preserve">PROJECT TARGET</w:t>
            </w:r>
            <w:r>
              <w:rPr>
                <w:rFonts w:ascii="Calibri" w:cs="Calibri" w:eastAsia="Calibri" w:hAnsi="Calibri"/>
                <w:color w:val="1A1D3A"/>
                <w:sz w:val="20"/>
                <w:szCs w:val="20"/>
              </w:rPr>
              <w:t xml:space="preserve">. Anything that could not be verified is marked </w:t>
            </w:r>
            <w:r>
              <w:rPr>
                <w:rFonts w:ascii="Calibri" w:cs="Calibri" w:eastAsia="Calibri" w:hAnsi="Calibri"/>
                <w:b/>
                <w:bCs/>
                <w:color w:val="1A1D3A"/>
                <w:sz w:val="20"/>
                <w:szCs w:val="20"/>
              </w:rPr>
              <w:t xml:space="preserve">Not publicly verified</w:t>
            </w:r>
            <w:r>
              <w:rPr>
                <w:rFonts w:ascii="Calibri" w:cs="Calibri" w:eastAsia="Calibri" w:hAnsi="Calibri"/>
                <w:color w:val="1A1D3A"/>
                <w:sz w:val="20"/>
                <w:szCs w:val="20"/>
              </w:rPr>
              <w:t xml:space="preserve">.</w:t>
            </w:r>
          </w:p>
          <w:p>
            <w:pPr>
              <w:spacing w:after="50"/>
            </w:pPr>
            <w:r>
              <w:rPr>
                <w:rFonts w:ascii="Calibri" w:cs="Calibri" w:eastAsia="Calibri" w:hAnsi="Calibri"/>
                <w:color w:val="1A1D3A"/>
                <w:sz w:val="20"/>
                <w:szCs w:val="20"/>
              </w:rPr>
              <w:t xml:space="preserve">The AIU figures are a </w:t>
            </w:r>
            <w:r>
              <w:rPr>
                <w:rFonts w:ascii="Calibri" w:cs="Calibri" w:eastAsia="Calibri" w:hAnsi="Calibri"/>
                <w:b/>
                <w:bCs/>
                <w:color w:val="1A1D3A"/>
                <w:sz w:val="20"/>
                <w:szCs w:val="20"/>
              </w:rPr>
              <w:t xml:space="preserve">benchmark-based estimated baseline</w:t>
            </w:r>
            <w:r>
              <w:rPr>
                <w:rFonts w:ascii="Calibri" w:cs="Calibri" w:eastAsia="Calibri" w:hAnsi="Calibri"/>
                <w:color w:val="1A1D3A"/>
                <w:sz w:val="20"/>
                <w:szCs w:val="20"/>
              </w:rPr>
              <w:t xml:space="preserve"> and </w:t>
            </w:r>
            <w:r>
              <w:rPr>
                <w:rFonts w:ascii="Calibri" w:cs="Calibri" w:eastAsia="Calibri" w:hAnsi="Calibri"/>
                <w:b/>
                <w:bCs/>
                <w:color w:val="1A1D3A"/>
                <w:sz w:val="20"/>
                <w:szCs w:val="20"/>
              </w:rPr>
              <w:t xml:space="preserve">scenario projections</w:t>
            </w:r>
            <w:r>
              <w:rPr>
                <w:rFonts w:ascii="Calibri" w:cs="Calibri" w:eastAsia="Calibri" w:hAnsi="Calibri"/>
                <w:color w:val="1A1D3A"/>
                <w:sz w:val="20"/>
                <w:szCs w:val="20"/>
              </w:rPr>
              <w:t xml:space="preserve"> — not measured AIU consumption and not a promise of savings. They must be validated against AIU's own meter data (Section 13).</w:t>
            </w:r>
          </w:p>
        </w:tc>
      </w:tr>
    </w:tbl>
    <w:p>
      <w:pPr>
        <w:spacing w:before="900"/>
      </w:pPr>
    </w:p>
    <w:p>
      <w:r>
        <w:rPr>
          <w:rFonts w:ascii="Calibri" w:cs="Calibri" w:eastAsia="Calibri" w:hAnsi="Calibri"/>
          <w:color w:val="5A6080"/>
          <w:sz w:val="20"/>
          <w:szCs w:val="20"/>
        </w:rPr>
        <w:t xml:space="preserve">Graduation project — Cyber-Physical Smart Building Control System</w:t>
      </w:r>
    </w:p>
    <w:p>
      <w:r>
        <w:rPr>
          <w:rFonts w:ascii="Calibri" w:cs="Calibri" w:eastAsia="Calibri" w:hAnsi="Calibri"/>
          <w:color w:val="5A6080"/>
          <w:sz w:val="20"/>
          <w:szCs w:val="20"/>
        </w:rPr>
        <w:t xml:space="preserve">Prepared October 2026</w:t>
      </w:r>
    </w:p>
    <w:p>
      <w:r>
        <w:br w:type="page"/>
      </w:r>
    </w:p>
    <w:p>
      <w:pPr>
        <w:spacing w:after="160"/>
      </w:pPr>
      <w:r>
        <w:rPr>
          <w:rFonts w:ascii="Calibri" w:cs="Calibri" w:eastAsia="Calibri" w:hAnsi="Calibri"/>
          <w:b/>
          <w:bCs/>
          <w:color w:val="12163A"/>
          <w:sz w:val="34"/>
          <w:szCs w:val="34"/>
        </w:rPr>
        <w:t xml:space="preserve">Contents</w:t>
      </w:r>
    </w:p>
    <w:p>
      <w:pPr>
        <w:spacing w:after="90" w:line="276"/>
      </w:pPr>
      <w:r>
        <w:rPr>
          <w:rFonts w:ascii="Calibri" w:cs="Calibri" w:eastAsia="Calibri" w:hAnsi="Calibri"/>
          <w:color w:val="1A1D3A"/>
          <w:sz w:val="23"/>
          <w:szCs w:val="23"/>
        </w:rPr>
        <w:t xml:space="preserve">Executive summary</w:t>
      </w:r>
    </w:p>
    <w:p>
      <w:pPr>
        <w:spacing w:after="90" w:line="276"/>
      </w:pPr>
      <w:r>
        <w:rPr>
          <w:rFonts w:ascii="Calibri" w:cs="Calibri" w:eastAsia="Calibri" w:hAnsi="Calibri"/>
          <w:color w:val="1A1D3A"/>
          <w:sz w:val="23"/>
          <w:szCs w:val="23"/>
        </w:rPr>
        <w:t xml:space="preserve">1. Problem and approach</w:t>
      </w:r>
    </w:p>
    <w:p>
      <w:pPr>
        <w:spacing w:after="90" w:line="276"/>
      </w:pPr>
      <w:r>
        <w:rPr>
          <w:rFonts w:ascii="Calibri" w:cs="Calibri" w:eastAsia="Calibri" w:hAnsi="Calibri"/>
          <w:color w:val="1A1D3A"/>
          <w:sz w:val="23"/>
          <w:szCs w:val="23"/>
        </w:rPr>
        <w:t xml:space="preserve">2. The Korean university experimental study</w:t>
      </w:r>
    </w:p>
    <w:p>
      <w:pPr>
        <w:spacing w:after="90" w:line="276"/>
      </w:pPr>
      <w:r>
        <w:rPr>
          <w:rFonts w:ascii="Calibri" w:cs="Calibri" w:eastAsia="Calibri" w:hAnsi="Calibri"/>
          <w:color w:val="1A1D3A"/>
          <w:sz w:val="23"/>
          <w:szCs w:val="23"/>
        </w:rPr>
        <w:t xml:space="preserve">3. Comparable university implementations</w:t>
      </w:r>
    </w:p>
    <w:p>
      <w:pPr>
        <w:spacing w:after="90" w:line="276"/>
      </w:pPr>
      <w:r>
        <w:rPr>
          <w:rFonts w:ascii="Calibri" w:cs="Calibri" w:eastAsia="Calibri" w:hAnsi="Calibri"/>
          <w:color w:val="1A1D3A"/>
          <w:sz w:val="23"/>
          <w:szCs w:val="23"/>
        </w:rPr>
        <w:t xml:space="preserve">4. Classrooms versus laboratories</w:t>
      </w:r>
    </w:p>
    <w:p>
      <w:pPr>
        <w:spacing w:after="90" w:line="276"/>
      </w:pPr>
      <w:r>
        <w:rPr>
          <w:rFonts w:ascii="Calibri" w:cs="Calibri" w:eastAsia="Calibri" w:hAnsi="Calibri"/>
          <w:color w:val="1A1D3A"/>
          <w:sz w:val="23"/>
          <w:szCs w:val="23"/>
        </w:rPr>
        <w:t xml:space="preserve">5. AIU campus scale</w:t>
      </w:r>
    </w:p>
    <w:p>
      <w:pPr>
        <w:spacing w:after="90" w:line="276"/>
      </w:pPr>
      <w:r>
        <w:rPr>
          <w:rFonts w:ascii="Calibri" w:cs="Calibri" w:eastAsia="Calibri" w:hAnsi="Calibri"/>
          <w:color w:val="1A1D3A"/>
          <w:sz w:val="23"/>
          <w:szCs w:val="23"/>
        </w:rPr>
        <w:t xml:space="preserve">6. Estimated AIU baseline energy</w:t>
      </w:r>
    </w:p>
    <w:p>
      <w:pPr>
        <w:spacing w:after="90" w:line="276"/>
      </w:pPr>
      <w:r>
        <w:rPr>
          <w:rFonts w:ascii="Calibri" w:cs="Calibri" w:eastAsia="Calibri" w:hAnsi="Calibri"/>
          <w:color w:val="1A1D3A"/>
          <w:sz w:val="23"/>
          <w:szCs w:val="23"/>
        </w:rPr>
        <w:t xml:space="preserve">7. Scenario model</w:t>
      </w:r>
    </w:p>
    <w:p>
      <w:pPr>
        <w:spacing w:after="90" w:line="276"/>
      </w:pPr>
      <w:r>
        <w:rPr>
          <w:rFonts w:ascii="Calibri" w:cs="Calibri" w:eastAsia="Calibri" w:hAnsi="Calibri"/>
          <w:color w:val="1A1D3A"/>
          <w:sz w:val="23"/>
          <w:szCs w:val="23"/>
        </w:rPr>
        <w:t xml:space="preserve">8. AIU savings results (energy, EGP, CO₂)</w:t>
      </w:r>
    </w:p>
    <w:p>
      <w:pPr>
        <w:spacing w:after="90" w:line="276"/>
      </w:pPr>
      <w:r>
        <w:rPr>
          <w:rFonts w:ascii="Calibri" w:cs="Calibri" w:eastAsia="Calibri" w:hAnsi="Calibri"/>
          <w:color w:val="1A1D3A"/>
          <w:sz w:val="23"/>
          <w:szCs w:val="23"/>
        </w:rPr>
        <w:t xml:space="preserve">9. Building-category estimate</w:t>
      </w:r>
    </w:p>
    <w:p>
      <w:pPr>
        <w:spacing w:after="90" w:line="276"/>
      </w:pPr>
      <w:r>
        <w:rPr>
          <w:rFonts w:ascii="Calibri" w:cs="Calibri" w:eastAsia="Calibri" w:hAnsi="Calibri"/>
          <w:color w:val="1A1D3A"/>
          <w:sz w:val="23"/>
          <w:szCs w:val="23"/>
        </w:rPr>
        <w:t xml:space="preserve">10. Mapping the evidence to our system</w:t>
      </w:r>
    </w:p>
    <w:p>
      <w:pPr>
        <w:spacing w:after="90" w:line="276"/>
      </w:pPr>
      <w:r>
        <w:rPr>
          <w:rFonts w:ascii="Calibri" w:cs="Calibri" w:eastAsia="Calibri" w:hAnsi="Calibri"/>
          <w:color w:val="1A1D3A"/>
          <w:sz w:val="23"/>
          <w:szCs w:val="23"/>
        </w:rPr>
        <w:t xml:space="preserve">11. Why the project is valid, and the research gap</w:t>
      </w:r>
    </w:p>
    <w:p>
      <w:pPr>
        <w:spacing w:after="90" w:line="276"/>
      </w:pPr>
      <w:r>
        <w:rPr>
          <w:rFonts w:ascii="Calibri" w:cs="Calibri" w:eastAsia="Calibri" w:hAnsi="Calibri"/>
          <w:color w:val="1A1D3A"/>
          <w:sz w:val="23"/>
          <w:szCs w:val="23"/>
        </w:rPr>
        <w:t xml:space="preserve">12. Assumptions and limitations</w:t>
      </w:r>
    </w:p>
    <w:p>
      <w:pPr>
        <w:spacing w:after="90" w:line="276"/>
      </w:pPr>
      <w:r>
        <w:rPr>
          <w:rFonts w:ascii="Calibri" w:cs="Calibri" w:eastAsia="Calibri" w:hAnsi="Calibri"/>
          <w:color w:val="1A1D3A"/>
          <w:sz w:val="23"/>
          <w:szCs w:val="23"/>
        </w:rPr>
        <w:t xml:space="preserve">13. Final engineering conclusion</w:t>
      </w:r>
    </w:p>
    <w:p>
      <w:pPr>
        <w:spacing w:after="90" w:line="276"/>
      </w:pPr>
      <w:r>
        <w:rPr>
          <w:rFonts w:ascii="Calibri" w:cs="Calibri" w:eastAsia="Calibri" w:hAnsi="Calibri"/>
          <w:color w:val="1A1D3A"/>
          <w:sz w:val="23"/>
          <w:szCs w:val="23"/>
        </w:rPr>
        <w:t xml:space="preserve">14. Source register</w:t>
      </w:r>
    </w:p>
    <w:p>
      <w:pPr>
        <w:spacing w:after="90" w:line="276"/>
      </w:pPr>
      <w:r>
        <w:rPr>
          <w:rFonts w:ascii="Calibri" w:cs="Calibri" w:eastAsia="Calibri" w:hAnsi="Calibri"/>
          <w:color w:val="1A1D3A"/>
          <w:sz w:val="23"/>
          <w:szCs w:val="23"/>
        </w:rPr>
        <w:t xml:space="preserve">Appendix A. Benchmark data sheet</w:t>
      </w:r>
    </w:p>
    <w:p>
      <w:r>
        <w:br w:type="page"/>
      </w:r>
    </w:p>
    <w:p>
      <w:pPr>
        <w:pStyle w:val="Heading1"/>
        <w:pBdr>
          <w:bottom w:val="single" w:color="B0202A" w:sz="8" w:space="4"/>
        </w:pBdr>
        <w:spacing w:after="160" w:before="360"/>
      </w:pPr>
      <w:r>
        <w:rPr>
          <w:rFonts w:ascii="Calibri" w:cs="Calibri" w:eastAsia="Calibri" w:hAnsi="Calibri"/>
          <w:b/>
          <w:bCs/>
          <w:color w:val="12163A"/>
          <w:sz w:val="34"/>
          <w:szCs w:val="34"/>
        </w:rPr>
        <w:t xml:space="preserve">Executive summary</w:t>
      </w:r>
    </w:p>
    <w:p>
      <w:pPr>
        <w:spacing w:after="120" w:line="276"/>
      </w:pPr>
      <w:r>
        <w:rPr>
          <w:rFonts w:ascii="Calibri" w:cs="Calibri" w:eastAsia="Calibri" w:hAnsi="Calibri"/>
          <w:color w:val="1A1D3A"/>
          <w:sz w:val="21"/>
          <w:szCs w:val="21"/>
        </w:rPr>
        <w:t xml:space="preserve">Universities have already demonstrated measurable energy savings through occupancy sensing and automated control. The question for AIU is how much of that opportunity an integrated platform can capture, and how confidently that can be said before AIU's own meters are analysed.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3F9E" w:sz="24"/>
              <w:bottom w:val="none" w:color="FFFFFF" w:sz="0"/>
              <w:right w:val="none" w:color="FFFFFF" w:sz="0"/>
            </w:tcBorders>
            <w:shd w:fill="E8EAF4" w:color="auto" w:val="clear"/>
            <w:tcMar>
              <w:top w:type="dxa" w:w="110"/>
              <w:left w:type="dxa" w:w="180"/>
              <w:bottom w:type="dxa" w:w="110"/>
              <w:right w:type="dxa" w:w="180"/>
            </w:tcMar>
          </w:tcPr>
          <w:p>
            <w:pPr>
              <w:spacing w:after="60"/>
            </w:pPr>
            <w:r>
              <w:rPr>
                <w:rFonts w:ascii="Calibri" w:cs="Calibri" w:eastAsia="Calibri" w:hAnsi="Calibri"/>
                <w:b/>
                <w:bCs/>
                <w:color w:val="3B3F9E"/>
                <w:sz w:val="21"/>
                <w:szCs w:val="21"/>
              </w:rPr>
              <w:t xml:space="preserve">Headline findings</w:t>
            </w:r>
          </w:p>
          <w:p>
            <w:pPr>
              <w:spacing w:after="50"/>
            </w:pPr>
            <w:r>
              <w:rPr>
                <w:rFonts w:ascii="Calibri" w:cs="Calibri" w:eastAsia="Calibri" w:hAnsi="Calibri"/>
                <w:b/>
                <w:bCs/>
                <w:color w:val="1A1D3A"/>
                <w:sz w:val="20"/>
                <w:szCs w:val="20"/>
              </w:rPr>
              <w:t xml:space="preserve">Evidence exists.</w:t>
            </w:r>
            <w:r>
              <w:rPr>
                <w:rFonts w:ascii="Calibri" w:cs="Calibri" w:eastAsia="Calibri" w:hAnsi="Calibri"/>
                <w:color w:val="1A1D3A"/>
                <w:sz w:val="20"/>
                <w:szCs w:val="20"/>
              </w:rPr>
              <w:t xml:space="preserve"> A peer-reviewed field study at H University (Seoul, South Korea) measured </w:t>
            </w:r>
            <w:r>
              <w:rPr>
                <w:rFonts w:ascii="Calibri" w:cs="Calibri" w:eastAsia="Calibri" w:hAnsi="Calibri"/>
                <w:b/>
                <w:bCs/>
                <w:color w:val="1A1D3A"/>
                <w:sz w:val="20"/>
                <w:szCs w:val="20"/>
              </w:rPr>
              <w:t xml:space="preserve">77.6%</w:t>
            </w:r>
            <w:r>
              <w:rPr>
                <w:rFonts w:ascii="Calibri" w:cs="Calibri" w:eastAsia="Calibri" w:hAnsi="Calibri"/>
                <w:color w:val="1A1D3A"/>
                <w:sz w:val="20"/>
                <w:szCs w:val="20"/>
              </w:rPr>
              <w:t xml:space="preserve"> (parking lighting), </w:t>
            </w:r>
            <w:r>
              <w:rPr>
                <w:rFonts w:ascii="Calibri" w:cs="Calibri" w:eastAsia="Calibri" w:hAnsi="Calibri"/>
                <w:b/>
                <w:bCs/>
                <w:color w:val="1A1D3A"/>
                <w:sz w:val="20"/>
                <w:szCs w:val="20"/>
              </w:rPr>
              <w:t xml:space="preserve">32.4%</w:t>
            </w:r>
            <w:r>
              <w:rPr>
                <w:rFonts w:ascii="Calibri" w:cs="Calibri" w:eastAsia="Calibri" w:hAnsi="Calibri"/>
                <w:color w:val="1A1D3A"/>
                <w:sz w:val="20"/>
                <w:szCs w:val="20"/>
              </w:rPr>
              <w:t xml:space="preserve"> (classroom lighting), </w:t>
            </w:r>
            <w:r>
              <w:rPr>
                <w:rFonts w:ascii="Calibri" w:cs="Calibri" w:eastAsia="Calibri" w:hAnsi="Calibri"/>
                <w:b/>
                <w:bCs/>
                <w:color w:val="1A1D3A"/>
                <w:sz w:val="20"/>
                <w:szCs w:val="20"/>
              </w:rPr>
              <w:t xml:space="preserve">27.9%</w:t>
            </w:r>
            <w:r>
              <w:rPr>
                <w:rFonts w:ascii="Calibri" w:cs="Calibri" w:eastAsia="Calibri" w:hAnsi="Calibri"/>
                <w:color w:val="1A1D3A"/>
                <w:sz w:val="20"/>
                <w:szCs w:val="20"/>
              </w:rPr>
              <w:t xml:space="preserve"> (classroom cooling) and </w:t>
            </w:r>
            <w:r>
              <w:rPr>
                <w:rFonts w:ascii="Calibri" w:cs="Calibri" w:eastAsia="Calibri" w:hAnsi="Calibri"/>
                <w:b/>
                <w:bCs/>
                <w:color w:val="1A1D3A"/>
                <w:sz w:val="20"/>
                <w:szCs w:val="20"/>
              </w:rPr>
              <w:t xml:space="preserve">28.2%</w:t>
            </w:r>
            <w:r>
              <w:rPr>
                <w:rFonts w:ascii="Calibri" w:cs="Calibri" w:eastAsia="Calibri" w:hAnsi="Calibri"/>
                <w:color w:val="1A1D3A"/>
                <w:sz w:val="20"/>
                <w:szCs w:val="20"/>
              </w:rPr>
              <w:t xml:space="preserve"> (dormitory) savings with motion sensors and a card-key room-management system. Programme-level and building-level savings reported by U.S. universities range from </w:t>
            </w:r>
            <w:r>
              <w:rPr>
                <w:rFonts w:ascii="Calibri" w:cs="Calibri" w:eastAsia="Calibri" w:hAnsi="Calibri"/>
                <w:b/>
                <w:bCs/>
                <w:color w:val="1A1D3A"/>
                <w:sz w:val="20"/>
                <w:szCs w:val="20"/>
              </w:rPr>
              <w:t xml:space="preserve">9% to 61%</w:t>
            </w:r>
            <w:r>
              <w:rPr>
                <w:rFonts w:ascii="Calibri" w:cs="Calibri" w:eastAsia="Calibri" w:hAnsi="Calibri"/>
                <w:color w:val="1A1D3A"/>
                <w:sz w:val="20"/>
                <w:szCs w:val="20"/>
              </w:rPr>
              <w:t xml:space="preserve">, but each number has a different scope.</w:t>
            </w:r>
          </w:p>
          <w:p>
            <w:pPr>
              <w:spacing w:after="50"/>
            </w:pPr>
            <w:r>
              <w:rPr>
                <w:rFonts w:ascii="Calibri" w:cs="Calibri" w:eastAsia="Calibri" w:hAnsi="Calibri"/>
                <w:b/>
                <w:bCs/>
                <w:color w:val="1A1D3A"/>
                <w:sz w:val="20"/>
                <w:szCs w:val="20"/>
              </w:rPr>
              <w:t xml:space="preserve">Demonstrated range is wide, and scope matters.</w:t>
            </w:r>
            <w:r>
              <w:rPr>
                <w:rFonts w:ascii="Calibri" w:cs="Calibri" w:eastAsia="Calibri" w:hAnsi="Calibri"/>
                <w:color w:val="1A1D3A"/>
                <w:sz w:val="20"/>
                <w:szCs w:val="20"/>
              </w:rPr>
              <w:t xml:space="preserve"> Savings of 9–20% come from campus/portfolio programmes and analytics; ~28–34% from end-use or building retrofits; 51–61% from laboratory ventilation redesign, which our system does not do.</w:t>
            </w:r>
          </w:p>
          <w:p>
            <w:pPr>
              <w:spacing w:after="50"/>
            </w:pPr>
            <w:r>
              <w:rPr>
                <w:rFonts w:ascii="Calibri" w:cs="Calibri" w:eastAsia="Calibri" w:hAnsi="Calibri"/>
                <w:b/>
                <w:bCs/>
                <w:color w:val="1A1D3A"/>
                <w:sz w:val="20"/>
                <w:szCs w:val="20"/>
              </w:rPr>
              <w:t xml:space="preserve">AIU baseline (benchmark-based estimate, not measured):</w:t>
            </w:r>
            <w:r>
              <w:rPr>
                <w:rFonts w:ascii="Calibri" w:cs="Calibri" w:eastAsia="Calibri" w:hAnsi="Calibri"/>
                <w:color w:val="1A1D3A"/>
                <w:sz w:val="20"/>
                <w:szCs w:val="20"/>
              </w:rPr>
              <w:t xml:space="preserve"> 263,020 m² of contractor-documented built-up area × 165 kWh/m²·yr ≈ </w:t>
            </w:r>
            <w:r>
              <w:rPr>
                <w:rFonts w:ascii="Calibri" w:cs="Calibri" w:eastAsia="Calibri" w:hAnsi="Calibri"/>
                <w:b/>
                <w:bCs/>
                <w:color w:val="1A1D3A"/>
                <w:sz w:val="20"/>
                <w:szCs w:val="20"/>
              </w:rPr>
              <w:t xml:space="preserve">43.40 GWh/yr</w:t>
            </w:r>
            <w:r>
              <w:rPr>
                <w:rFonts w:ascii="Calibri" w:cs="Calibri" w:eastAsia="Calibri" w:hAnsi="Calibri"/>
                <w:color w:val="1A1D3A"/>
                <w:sz w:val="20"/>
                <w:szCs w:val="20"/>
              </w:rPr>
              <w:t xml:space="preserve"> (range 22.62–93.96 GWh/yr across area and EUI sensitivities).</w:t>
            </w:r>
          </w:p>
          <w:p>
            <w:pPr>
              <w:spacing w:after="50"/>
            </w:pPr>
            <w:r>
              <w:rPr>
                <w:rFonts w:ascii="Calibri" w:cs="Calibri" w:eastAsia="Calibri" w:hAnsi="Calibri"/>
                <w:b/>
                <w:bCs/>
                <w:color w:val="1A1D3A"/>
                <w:sz w:val="20"/>
                <w:szCs w:val="20"/>
              </w:rPr>
              <w:t xml:space="preserve">Controllable energy ≠ total energy.</w:t>
            </w:r>
            <w:r>
              <w:rPr>
                <w:rFonts w:ascii="Calibri" w:cs="Calibri" w:eastAsia="Calibri" w:hAnsi="Calibri"/>
                <w:color w:val="1A1D3A"/>
                <w:sz w:val="20"/>
                <w:szCs w:val="20"/>
              </w:rPr>
              <w:t xml:space="preserve"> Our system acts on lighting, HVAC set-points/shutdown, non-critical plug loads and scheduled devices. We model 50–70% of campus electricity as controllable, and 50–90% of that as covered by the system.</w:t>
            </w:r>
          </w:p>
          <w:p>
            <w:pPr>
              <w:spacing w:after="50"/>
            </w:pPr>
            <w:r>
              <w:rPr>
                <w:rFonts w:ascii="Calibri" w:cs="Calibri" w:eastAsia="Calibri" w:hAnsi="Calibri"/>
                <w:b/>
                <w:bCs/>
                <w:color w:val="1A1D3A"/>
                <w:sz w:val="20"/>
                <w:szCs w:val="20"/>
              </w:rPr>
              <w:t xml:space="preserve">Scenario results (annual):</w:t>
            </w:r>
            <w:r>
              <w:rPr>
                <w:rFonts w:ascii="Calibri" w:cs="Calibri" w:eastAsia="Calibri" w:hAnsi="Calibri"/>
                <w:color w:val="1A1D3A"/>
                <w:sz w:val="20"/>
                <w:szCs w:val="20"/>
              </w:rPr>
              <w:t xml:space="preserve"> Conservative </w:t>
            </w:r>
            <w:r>
              <w:rPr>
                <w:rFonts w:ascii="Calibri" w:cs="Calibri" w:eastAsia="Calibri" w:hAnsi="Calibri"/>
                <w:b/>
                <w:bCs/>
                <w:color w:val="1A1D3A"/>
                <w:sz w:val="20"/>
                <w:szCs w:val="20"/>
              </w:rPr>
              <w:t xml:space="preserve">1.08 GWh</w:t>
            </w:r>
            <w:r>
              <w:rPr>
                <w:rFonts w:ascii="Calibri" w:cs="Calibri" w:eastAsia="Calibri" w:hAnsi="Calibri"/>
                <w:color w:val="1A1D3A"/>
                <w:sz w:val="20"/>
                <w:szCs w:val="20"/>
              </w:rPr>
              <w:t xml:space="preserve"> (2.5% of total); Moderate </w:t>
            </w:r>
            <w:r>
              <w:rPr>
                <w:rFonts w:ascii="Calibri" w:cs="Calibri" w:eastAsia="Calibri" w:hAnsi="Calibri"/>
                <w:b/>
                <w:bCs/>
                <w:color w:val="1A1D3A"/>
                <w:sz w:val="20"/>
                <w:szCs w:val="20"/>
              </w:rPr>
              <w:t xml:space="preserve">3.28 GWh</w:t>
            </w:r>
            <w:r>
              <w:rPr>
                <w:rFonts w:ascii="Calibri" w:cs="Calibri" w:eastAsia="Calibri" w:hAnsi="Calibri"/>
                <w:color w:val="1A1D3A"/>
                <w:sz w:val="20"/>
                <w:szCs w:val="20"/>
              </w:rPr>
              <w:t xml:space="preserve"> (7.6%); High-impact </w:t>
            </w:r>
            <w:r>
              <w:rPr>
                <w:rFonts w:ascii="Calibri" w:cs="Calibri" w:eastAsia="Calibri" w:hAnsi="Calibri"/>
                <w:b/>
                <w:bCs/>
                <w:color w:val="1A1D3A"/>
                <w:sz w:val="20"/>
                <w:szCs w:val="20"/>
              </w:rPr>
              <w:t xml:space="preserve">7.66 GWh</w:t>
            </w:r>
            <w:r>
              <w:rPr>
                <w:rFonts w:ascii="Calibri" w:cs="Calibri" w:eastAsia="Calibri" w:hAnsi="Calibri"/>
                <w:color w:val="1A1D3A"/>
                <w:sz w:val="20"/>
                <w:szCs w:val="20"/>
              </w:rPr>
              <w:t xml:space="preserve"> (17.6%).</w:t>
            </w:r>
          </w:p>
          <w:p>
            <w:pPr>
              <w:spacing w:after="50"/>
            </w:pPr>
            <w:r>
              <w:rPr>
                <w:rFonts w:ascii="Calibri" w:cs="Calibri" w:eastAsia="Calibri" w:hAnsi="Calibri"/>
                <w:b/>
                <w:bCs/>
                <w:color w:val="1A1D3A"/>
                <w:sz w:val="20"/>
                <w:szCs w:val="20"/>
              </w:rPr>
              <w:t xml:space="preserve">Most defensible planning range for AIU:</w:t>
            </w:r>
            <w:r>
              <w:rPr>
                <w:rFonts w:ascii="Calibri" w:cs="Calibri" w:eastAsia="Calibri" w:hAnsi="Calibri"/>
                <w:color w:val="1A1D3A"/>
                <w:sz w:val="20"/>
                <w:szCs w:val="20"/>
              </w:rPr>
              <w:t xml:space="preserve"> Conservative-to-Moderate — roughly </w:t>
            </w:r>
            <w:r>
              <w:rPr>
                <w:rFonts w:ascii="Calibri" w:cs="Calibri" w:eastAsia="Calibri" w:hAnsi="Calibri"/>
                <w:b/>
                <w:bCs/>
                <w:color w:val="1A1D3A"/>
                <w:sz w:val="20"/>
                <w:szCs w:val="20"/>
              </w:rPr>
              <w:t xml:space="preserve">5–13% reduction in controllable energy</w:t>
            </w:r>
            <w:r>
              <w:rPr>
                <w:rFonts w:ascii="Calibri" w:cs="Calibri" w:eastAsia="Calibri" w:hAnsi="Calibri"/>
                <w:color w:val="1A1D3A"/>
                <w:sz w:val="20"/>
                <w:szCs w:val="20"/>
              </w:rPr>
              <w:t xml:space="preserve">, equal to about </w:t>
            </w:r>
            <w:r>
              <w:rPr>
                <w:rFonts w:ascii="Calibri" w:cs="Calibri" w:eastAsia="Calibri" w:hAnsi="Calibri"/>
                <w:b/>
                <w:bCs/>
                <w:color w:val="1A1D3A"/>
                <w:sz w:val="20"/>
                <w:szCs w:val="20"/>
              </w:rPr>
              <w:t xml:space="preserve">2.5–7.6% of total campus electricity</w:t>
            </w:r>
            <w:r>
              <w:rPr>
                <w:rFonts w:ascii="Calibri" w:cs="Calibri" w:eastAsia="Calibri" w:hAnsi="Calibri"/>
                <w:color w:val="1A1D3A"/>
                <w:sz w:val="20"/>
                <w:szCs w:val="20"/>
              </w:rPr>
              <w:t xml:space="preserve"> (1.08–3.28 GWh/yr; ≈ EGP 2.8–8.4 million/yr at EGP 2.55/kWh). The High-impact case is an upper bound that requires near-complete coverage and Korean-study-level results.</w:t>
            </w:r>
          </w:p>
        </w:tc>
      </w:tr>
    </w:tbl>
    <w:p>
      <w:pPr>
        <w:spacing w:after="100"/>
      </w:pPr>
    </w:p>
    <w:p>
      <w:pPr>
        <w:spacing w:after="120" w:line="276"/>
      </w:pPr>
      <w:r>
        <w:rPr>
          <w:rFonts w:ascii="Calibri" w:cs="Calibri" w:eastAsia="Calibri" w:hAnsi="Calibri"/>
          <w:b/>
          <w:bCs/>
          <w:color w:val="1A1D3A"/>
          <w:sz w:val="21"/>
          <w:szCs w:val="21"/>
        </w:rPr>
        <w:t xml:space="preserve">Honest limits.</w:t>
      </w:r>
      <w:r>
        <w:rPr>
          <w:rFonts w:ascii="Calibri" w:cs="Calibri" w:eastAsia="Calibri" w:hAnsi="Calibri"/>
          <w:color w:val="1A1D3A"/>
          <w:sz w:val="21"/>
          <w:szCs w:val="21"/>
        </w:rPr>
        <w:t xml:space="preserve"> AIU's actual consumption, tariff category, current operating area and student numbers are not publicly verified. The 263,020 m² and 174,000 m² figures are contractor-stated BUA of construction packages — they are not the campus total and they are not the same thing (Section 5). The ≈150-acre campus area is stated in acres by the source we could access; it is a land area, not a built area.</w:t>
      </w:r>
    </w:p>
    <w:p>
      <w:r>
        <w:br w:type="page"/>
      </w:r>
    </w:p>
    <w:p>
      <w:pPr>
        <w:pStyle w:val="Heading1"/>
        <w:pBdr>
          <w:bottom w:val="single" w:color="B0202A" w:sz="8" w:space="4"/>
        </w:pBdr>
        <w:spacing w:after="160" w:before="360"/>
      </w:pPr>
      <w:r>
        <w:rPr>
          <w:rFonts w:ascii="Calibri" w:cs="Calibri" w:eastAsia="Calibri" w:hAnsi="Calibri"/>
          <w:b/>
          <w:bCs/>
          <w:color w:val="12163A"/>
          <w:sz w:val="34"/>
          <w:szCs w:val="34"/>
        </w:rPr>
        <w:t xml:space="preserve">1. Problem and approach</w:t>
      </w:r>
    </w:p>
    <w:p>
      <w:pPr>
        <w:spacing w:after="120" w:line="276"/>
      </w:pPr>
      <w:r>
        <w:rPr>
          <w:rFonts w:ascii="Calibri" w:cs="Calibri" w:eastAsia="Calibri" w:hAnsi="Calibri"/>
          <w:color w:val="1A1D3A"/>
          <w:sz w:val="21"/>
          <w:szCs w:val="21"/>
        </w:rPr>
        <w:t xml:space="preserve">Campus buildings are occupied intermittently but are often conditioned and lit on fixed schedules. In hot climates, cooling dominates electricity use, so mismatches between occupancy and operation are costly. Published work shows that occupancy-driven control reduces this waste; what is rarely quantified is how that translates to a specific campus of a specific size.</w:t>
      </w:r>
    </w:p>
    <w:p>
      <w:pPr>
        <w:spacing w:after="120" w:line="276"/>
      </w:pPr>
      <w:r>
        <w:rPr>
          <w:rFonts w:ascii="Calibri" w:cs="Calibri" w:eastAsia="Calibri" w:hAnsi="Calibri"/>
          <w:color w:val="1A1D3A"/>
          <w:sz w:val="21"/>
          <w:szCs w:val="21"/>
        </w:rPr>
        <w:t xml:space="preserve">This report therefore answers the question in three transparent steps, each reproducible from the model file delivered with the report:</w:t>
      </w:r>
    </w:p>
    <w:p>
      <w:pPr>
        <w:pStyle w:val="ListParagraph"/>
        <w:numPr>
          <w:ilvl w:val="0"/>
          <w:numId w:val="2"/>
        </w:numPr>
        <w:spacing w:after="60" w:line="264"/>
      </w:pPr>
      <w:r>
        <w:rPr>
          <w:rFonts w:ascii="Calibri" w:cs="Calibri" w:eastAsia="Calibri" w:hAnsi="Calibri"/>
          <w:b/>
          <w:bCs/>
          <w:color w:val="1A1D3A"/>
          <w:sz w:val="21"/>
          <w:szCs w:val="21"/>
        </w:rPr>
        <w:t xml:space="preserve">Extract measured results</w:t>
      </w:r>
      <w:r>
        <w:rPr>
          <w:rFonts w:ascii="Calibri" w:cs="Calibri" w:eastAsia="Calibri" w:hAnsi="Calibri"/>
          <w:color w:val="1A1D3A"/>
          <w:sz w:val="21"/>
          <w:szCs w:val="21"/>
        </w:rPr>
        <w:t xml:space="preserve"> from the Korean field study and verified university benchmarks, labelling what each number represents.</w:t>
      </w:r>
    </w:p>
    <w:p>
      <w:pPr>
        <w:pStyle w:val="ListParagraph"/>
        <w:numPr>
          <w:ilvl w:val="0"/>
          <w:numId w:val="2"/>
        </w:numPr>
        <w:spacing w:after="60" w:line="264"/>
      </w:pPr>
      <w:r>
        <w:rPr>
          <w:rFonts w:ascii="Calibri" w:cs="Calibri" w:eastAsia="Calibri" w:hAnsi="Calibri"/>
          <w:b/>
          <w:bCs/>
          <w:color w:val="1A1D3A"/>
          <w:sz w:val="21"/>
          <w:szCs w:val="21"/>
        </w:rPr>
        <w:t xml:space="preserve">Establish AIU's scale</w:t>
      </w:r>
      <w:r>
        <w:rPr>
          <w:rFonts w:ascii="Calibri" w:cs="Calibri" w:eastAsia="Calibri" w:hAnsi="Calibri"/>
          <w:color w:val="1A1D3A"/>
          <w:sz w:val="21"/>
          <w:szCs w:val="21"/>
        </w:rPr>
        <w:t xml:space="preserve"> from official and contractor documents, separating current, under-construction and planned areas.</w:t>
      </w:r>
    </w:p>
    <w:p>
      <w:pPr>
        <w:pStyle w:val="ListParagraph"/>
        <w:numPr>
          <w:ilvl w:val="0"/>
          <w:numId w:val="2"/>
        </w:numPr>
        <w:spacing w:after="60" w:line="264"/>
      </w:pPr>
      <w:r>
        <w:rPr>
          <w:rFonts w:ascii="Calibri" w:cs="Calibri" w:eastAsia="Calibri" w:hAnsi="Calibri"/>
          <w:b/>
          <w:bCs/>
          <w:color w:val="1A1D3A"/>
          <w:sz w:val="21"/>
          <w:szCs w:val="21"/>
        </w:rPr>
        <w:t xml:space="preserve">Apply a three-factor scenario model</w:t>
      </w:r>
      <w:r>
        <w:rPr>
          <w:rFonts w:ascii="Calibri" w:cs="Calibri" w:eastAsia="Calibri" w:hAnsi="Calibri"/>
          <w:color w:val="1A1D3A"/>
          <w:sz w:val="21"/>
          <w:szCs w:val="21"/>
        </w:rPr>
        <w:t xml:space="preserve"> — controllable share × automation coverage × saving rate on controlled loads — to a benchmark-based baseline, and present ranges instead of a single figure.</w:t>
      </w:r>
    </w:p>
    <w:p>
      <w:pPr>
        <w:keepNext/>
        <w:spacing w:after="40" w:before="80"/>
        <w:jc w:val="center"/>
      </w:pPr>
      <w:r>
        <w:drawing>
          <wp:inline distT="0" distB="0" distL="0" distR="0">
            <wp:extent cx="5334000" cy="1914525"/>
            <wp:effectExtent t="0" r="0" b="0" l="0"/>
            <wp:docPr id="1" name="c6_pipeline" descr="Chart 6 — AIU Smart Campus control pipeline (SENSE → ANALYZE → VERIFY → DECIDE → ACT → MONITOR)" title="Chart 6 — AIU Smart Campus control pipeline (SENSE → ANALYZE → VERIFY → DECIDE → ACT →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14525"/>
                    </a:xfrm>
                    <a:prstGeom prst="rect">
                      <a:avLst/>
                    </a:prstGeom>
                  </pic:spPr>
                </pic:pic>
              </a:graphicData>
            </a:graphic>
          </wp:inline>
        </w:drawing>
      </w:r>
    </w:p>
    <w:p>
      <w:pPr>
        <w:spacing w:after="160"/>
        <w:jc w:val="center"/>
      </w:pPr>
      <w:r>
        <w:rPr>
          <w:rFonts w:ascii="Calibri" w:cs="Calibri" w:eastAsia="Calibri" w:hAnsi="Calibri"/>
          <w:i/>
          <w:iCs/>
          <w:color w:val="5A6080"/>
          <w:sz w:val="17"/>
          <w:szCs w:val="17"/>
        </w:rPr>
        <w:t xml:space="preserve">Chart 6 — AIU Smart Campus control pipeline (SENSE → ANALYZE → VERIFY → DECIDE → ACT → MONITOR)</w:t>
      </w:r>
    </w:p>
    <w:p>
      <w:pPr>
        <w:pStyle w:val="Heading1"/>
        <w:pBdr>
          <w:bottom w:val="single" w:color="B0202A" w:sz="8" w:space="4"/>
        </w:pBdr>
        <w:spacing w:after="160" w:before="360"/>
      </w:pPr>
      <w:r>
        <w:rPr>
          <w:rFonts w:ascii="Calibri" w:cs="Calibri" w:eastAsia="Calibri" w:hAnsi="Calibri"/>
          <w:b/>
          <w:bCs/>
          <w:color w:val="12163A"/>
          <w:sz w:val="34"/>
          <w:szCs w:val="34"/>
        </w:rPr>
        <w:t xml:space="preserve">2. The Korean university experimental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3F9E" w:sz="24"/>
              <w:bottom w:val="none" w:color="FFFFFF" w:sz="0"/>
              <w:right w:val="none" w:color="FFFFFF" w:sz="0"/>
            </w:tcBorders>
            <w:shd w:fill="E8EAF4" w:color="auto" w:val="clear"/>
            <w:tcMar>
              <w:top w:type="dxa" w:w="110"/>
              <w:left w:type="dxa" w:w="180"/>
              <w:bottom w:type="dxa" w:w="110"/>
              <w:right w:type="dxa" w:w="180"/>
            </w:tcMar>
          </w:tcPr>
          <w:p>
            <w:pPr>
              <w:spacing w:after="60"/>
            </w:pPr>
            <w:r>
              <w:rPr>
                <w:rFonts w:ascii="Calibri" w:cs="Calibri" w:eastAsia="Calibri" w:hAnsi="Calibri"/>
                <w:b/>
                <w:bCs/>
                <w:color w:val="3B3F9E"/>
                <w:sz w:val="21"/>
                <w:szCs w:val="21"/>
              </w:rPr>
              <w:t xml:space="preserve">Source and provenance</w:t>
            </w:r>
          </w:p>
          <w:p>
            <w:pPr>
              <w:spacing w:after="50"/>
            </w:pPr>
            <w:r>
              <w:rPr>
                <w:rFonts w:ascii="Calibri" w:cs="Calibri" w:eastAsia="Calibri" w:hAnsi="Calibri"/>
                <w:color w:val="1A1D3A"/>
                <w:sz w:val="20"/>
                <w:szCs w:val="20"/>
              </w:rPr>
              <w:t xml:space="preserve">Lee, J.-W. &amp; Kim, Y. I. (2020). *Energy Saving of a University Building Using a Motion Detection Sensor and Room Management System.* Sustainability 12(22), 9471. Seoul National University of Science and Technology. </w:t>
            </w:r>
            <w:r>
              <w:rPr>
                <w:rFonts w:ascii="Calibri" w:cs="Calibri" w:eastAsia="Calibri" w:hAnsi="Calibri"/>
                <w:b/>
                <w:bCs/>
                <w:color w:val="1A1D3A"/>
                <w:sz w:val="20"/>
                <w:szCs w:val="20"/>
              </w:rPr>
              <w:t xml:space="preserve">This is a South Korean study at a Seoul campus ("H University"), not an American study.</w:t>
            </w:r>
            <w:r>
              <w:rPr>
                <w:rFonts w:ascii="Calibri" w:cs="Calibri" w:eastAsia="Calibri" w:hAnsi="Calibri"/>
                <w:color w:val="1A1D3A"/>
                <w:sz w:val="20"/>
                <w:szCs w:val="20"/>
              </w:rPr>
              <w:t xml:space="preserve"> The paper cites U.S. universities (e.g. Boston University, via Abidin et al.) only in its literature review, as institutions that had adopted occupancy sensors.</w:t>
            </w:r>
          </w:p>
        </w:tc>
      </w:tr>
    </w:tbl>
    <w:p>
      <w:pPr>
        <w:spacing w:after="100"/>
      </w:pPr>
    </w:p>
    <w:p>
      <w:pPr>
        <w:spacing w:after="120" w:line="276"/>
      </w:pPr>
      <w:r>
        <w:rPr>
          <w:rFonts w:ascii="Calibri" w:cs="Calibri" w:eastAsia="Calibri" w:hAnsi="Calibri"/>
          <w:color w:val="1A1D3A"/>
          <w:sz w:val="21"/>
          <w:szCs w:val="21"/>
        </w:rPr>
        <w:t xml:space="preserve">The authors measured electricity with and without sensors during normal operation rather than relying on simulation. Test objects: the Cyber Building (16,476 m², 27 classrooms and 35 labs, B2–8F, completed Aug 2013) and a female dormitory (5,994.53 m², 195 rooms, completed Mar 2019).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538"/>
        <w:gridCol w:w="1600"/>
      </w:tblGrid>
      <w:tr>
        <w:trPr>
          <w:cantSplit/>
          <w:tblHeader/>
        </w:trPr>
        <w:tc>
          <w:tcPr>
            <w:tcW w:type="dxa" w:w="2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Experiment</w:t>
            </w:r>
          </w:p>
        </w:tc>
        <w:tc>
          <w:tcPr>
            <w:tcW w:type="dxa" w:w="35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Set-up and duration</w:t>
            </w:r>
          </w:p>
        </w:tc>
        <w:tc>
          <w:tcPr>
            <w:tcW w:type="dxa" w:w="2538"/>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Result (sensor OFF → ON)</w:t>
            </w:r>
          </w:p>
        </w:tc>
        <w:tc>
          <w:tcPr>
            <w:tcW w:type="dxa" w:w="16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Saving</w:t>
            </w:r>
          </w:p>
        </w:tc>
      </w:tr>
      <w:tr>
        <w:trPr>
          <w:cantSplit/>
        </w:trPr>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 Underground parking lot (B1 passageway)</w:t>
            </w:r>
          </w:p>
        </w:tc>
        <w:tc>
          <w:tcPr>
            <w:tcW w:type="dxa" w:w="3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918.66 m², 51 lights (2.22 W/m²); RF/Doppler sensors dim to 20% and raise to 100% on detection; ~6 weeks, May–June; three on/off tests</w:t>
            </w:r>
          </w:p>
        </w:tc>
        <w:tc>
          <w:tcPr>
            <w:tcW w:type="dxa" w:w="25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50.9 → 11.4 Wh/m²·day (saved 39.5)</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b/>
                <w:bCs/>
                <w:color w:val="1A1D3A"/>
                <w:sz w:val="17"/>
                <w:szCs w:val="17"/>
              </w:rPr>
              <w:t xml:space="preserve">77.6%</w:t>
            </w:r>
            <w:r>
              <w:rPr>
                <w:rFonts w:ascii="Calibri" w:cs="Calibri" w:eastAsia="Calibri" w:hAnsi="Calibri"/>
                <w:color w:val="1A1D3A"/>
                <w:sz w:val="17"/>
                <w:szCs w:val="17"/>
              </w:rPr>
              <w:t xml:space="preserve"> (tests: 77.7 / 79.3 / 75.7)</w:t>
            </w:r>
          </w:p>
        </w:tc>
      </w:tr>
      <w:tr>
        <w:trPr>
          <w:cantSplit/>
        </w:trPr>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2a. Lecture rooms – lighting</w:t>
            </w:r>
          </w:p>
        </w:tc>
        <w:tc>
          <w:tcPr>
            <w:tcW w:type="dxa" w:w="35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3 classrooms, 27 × 42 W LED; RF motion sensors switched on/off on alternate weeks, 4 weeks (26 May–22 Jun); outdoor temp 22.2–23.8 °C</w:t>
            </w:r>
          </w:p>
        </w:tc>
        <w:tc>
          <w:tcPr>
            <w:tcW w:type="dxa" w:w="25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77.14 → 52.12 Wh/m²·day (saved 25.0)</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b/>
                <w:bCs/>
                <w:color w:val="1A1D3A"/>
                <w:sz w:val="17"/>
                <w:szCs w:val="17"/>
              </w:rPr>
              <w:t xml:space="preserve">32.4%</w:t>
            </w:r>
            <w:r>
              <w:rPr>
                <w:rFonts w:ascii="Calibri" w:cs="Calibri" w:eastAsia="Calibri" w:hAnsi="Calibri"/>
                <w:color w:val="1A1D3A"/>
                <w:sz w:val="17"/>
                <w:szCs w:val="17"/>
              </w:rPr>
              <w:t xml:space="preserve"> (two tests: 37.9 / 27.8)</w:t>
            </w:r>
          </w:p>
        </w:tc>
      </w:tr>
      <w:tr>
        <w:trPr>
          <w:cantSplit/>
        </w:trPr>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2b. Lecture rooms – cooling (EHP)</w:t>
            </w:r>
          </w:p>
        </w:tc>
        <w:tc>
          <w:tcPr>
            <w:tcW w:type="dxa" w:w="3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3 EHP units, 11 kW rated cooling; same weeks</w:t>
            </w:r>
          </w:p>
        </w:tc>
        <w:tc>
          <w:tcPr>
            <w:tcW w:type="dxa" w:w="25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197.11 → 142.06 Wh/m²·day (saved 55.0)</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b/>
                <w:bCs/>
                <w:color w:val="1A1D3A"/>
                <w:sz w:val="17"/>
                <w:szCs w:val="17"/>
              </w:rPr>
              <w:t xml:space="preserve">27.9%</w:t>
            </w:r>
            <w:r>
              <w:rPr>
                <w:rFonts w:ascii="Calibri" w:cs="Calibri" w:eastAsia="Calibri" w:hAnsi="Calibri"/>
                <w:color w:val="1A1D3A"/>
                <w:sz w:val="17"/>
                <w:szCs w:val="17"/>
              </w:rPr>
              <w:t xml:space="preserve"> (two tests: 33.3 / 23.5)</w:t>
            </w:r>
          </w:p>
        </w:tc>
      </w:tr>
      <w:tr>
        <w:trPr>
          <w:cantSplit/>
        </w:trPr>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3. Dormitory (key-card room-management system, RMS)</w:t>
            </w:r>
          </w:p>
        </w:tc>
        <w:tc>
          <w:tcPr>
            <w:tcW w:type="dxa" w:w="35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10 test rooms vs 120 reference rooms (random from 195); 4 weeks baseline with RMS on, then 3 weeks with RMS off in test rooms; reference-group correction, Oct–Nov</w:t>
            </w:r>
          </w:p>
        </w:tc>
        <w:tc>
          <w:tcPr>
            <w:tcW w:type="dxa" w:w="25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Weekly per room: 68.83 kWh (RMS off) vs 49.45 kWh corrected (RMS on); saved 19.38 kWh/week (142.4 Wh/m²·day)</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b/>
                <w:bCs/>
                <w:color w:val="1A1D3A"/>
                <w:sz w:val="17"/>
                <w:szCs w:val="17"/>
              </w:rPr>
              <w:t xml:space="preserve">28.2%</w:t>
            </w:r>
            <w:r>
              <w:rPr>
                <w:rFonts w:ascii="Calibri" w:cs="Calibri" w:eastAsia="Calibri" w:hAnsi="Calibri"/>
                <w:color w:val="1A1D3A"/>
                <w:sz w:val="17"/>
                <w:szCs w:val="17"/>
              </w:rPr>
              <w:t xml:space="preserve"> (weekly: 40.0 / 16.2 / 30.9)</w:t>
            </w:r>
          </w:p>
        </w:tc>
      </w:tr>
    </w:tbl>
    <w:p>
      <w:pPr>
        <w:spacing w:after="60"/>
      </w:pPr>
    </w:p>
    <w:p>
      <w:pPr>
        <w:pStyle w:val="Heading3"/>
        <w:keepNext/>
        <w:spacing w:after="80" w:before="160"/>
      </w:pPr>
      <w:r>
        <w:rPr>
          <w:rFonts w:ascii="Calibri" w:cs="Calibri" w:eastAsia="Calibri" w:hAnsi="Calibri"/>
          <w:b/>
          <w:bCs/>
          <w:color w:val="12163A"/>
          <w:sz w:val="22"/>
          <w:szCs w:val="22"/>
        </w:rPr>
        <w:t xml:space="preserve">What these numbers do and do not mean</w:t>
      </w:r>
    </w:p>
    <w:p>
      <w:pPr>
        <w:pStyle w:val="ListParagraph"/>
        <w:numPr>
          <w:ilvl w:val="0"/>
          <w:numId w:val="3"/>
        </w:numPr>
        <w:spacing w:after="60" w:line="264"/>
      </w:pPr>
      <w:r>
        <w:rPr>
          <w:rFonts w:ascii="Calibri" w:cs="Calibri" w:eastAsia="Calibri" w:hAnsi="Calibri"/>
          <w:b/>
          <w:bCs/>
          <w:color w:val="1A1D3A"/>
          <w:sz w:val="21"/>
          <w:szCs w:val="21"/>
        </w:rPr>
        <w:t xml:space="preserve">Application-specific, not campus-wide.</w:t>
      </w:r>
      <w:r>
        <w:rPr>
          <w:rFonts w:ascii="Calibri" w:cs="Calibri" w:eastAsia="Calibri" w:hAnsi="Calibri"/>
          <w:color w:val="1A1D3A"/>
          <w:sz w:val="21"/>
          <w:szCs w:val="21"/>
        </w:rPr>
        <w:t xml:space="preserve"> 77.6% applies to parking-lot lighting only (an all-night, low-occupancy space with dimmable fixtures). It must not be extrapolated to classrooms or to total campus energy.</w:t>
      </w:r>
    </w:p>
    <w:p>
      <w:pPr>
        <w:pStyle w:val="ListParagraph"/>
        <w:numPr>
          <w:ilvl w:val="0"/>
          <w:numId w:val="3"/>
        </w:numPr>
        <w:spacing w:after="60" w:line="264"/>
      </w:pPr>
      <w:r>
        <w:rPr>
          <w:rFonts w:ascii="Calibri" w:cs="Calibri" w:eastAsia="Calibri" w:hAnsi="Calibri"/>
          <w:b/>
          <w:bCs/>
          <w:color w:val="1A1D3A"/>
          <w:sz w:val="21"/>
          <w:szCs w:val="21"/>
        </w:rPr>
        <w:t xml:space="preserve">Short experiments.</w:t>
      </w:r>
      <w:r>
        <w:rPr>
          <w:rFonts w:ascii="Calibri" w:cs="Calibri" w:eastAsia="Calibri" w:hAnsi="Calibri"/>
          <w:color w:val="1A1D3A"/>
          <w:sz w:val="21"/>
          <w:szCs w:val="21"/>
        </w:rPr>
        <w:t xml:space="preserve"> Four to seven weeks per object, at one campus, in shoulder-season weather (May–June, Oct–Nov). Classroom results rest on two on/off pairs and the authors note that class operation, weather and occupancy could not be held identical week to week.</w:t>
      </w:r>
    </w:p>
    <w:p>
      <w:pPr>
        <w:pStyle w:val="ListParagraph"/>
        <w:numPr>
          <w:ilvl w:val="0"/>
          <w:numId w:val="3"/>
        </w:numPr>
        <w:spacing w:after="60" w:line="264"/>
      </w:pPr>
      <w:r>
        <w:rPr>
          <w:rFonts w:ascii="Calibri" w:cs="Calibri" w:eastAsia="Calibri" w:hAnsi="Calibri"/>
          <w:b/>
          <w:bCs/>
          <w:color w:val="1A1D3A"/>
          <w:sz w:val="21"/>
          <w:szCs w:val="21"/>
        </w:rPr>
        <w:t xml:space="preserve">Dormitory saving is a calibrated estimate.</w:t>
      </w:r>
      <w:r>
        <w:rPr>
          <w:rFonts w:ascii="Calibri" w:cs="Calibri" w:eastAsia="Calibri" w:hAnsi="Calibri"/>
          <w:color w:val="1A1D3A"/>
          <w:sz w:val="21"/>
          <w:szCs w:val="21"/>
        </w:rPr>
        <w:t xml:space="preserve"> It is the avoided increase when the RMS was switched off (test rooms used 32.3% more than the reference group, with 10 rooms and large room-to-room variance). The RMS is key-card-based presence logic, not a PIR motion sensor.</w:t>
      </w:r>
    </w:p>
    <w:p>
      <w:pPr>
        <w:pStyle w:val="ListParagraph"/>
        <w:numPr>
          <w:ilvl w:val="0"/>
          <w:numId w:val="3"/>
        </w:numPr>
        <w:spacing w:after="60" w:line="264"/>
      </w:pPr>
      <w:r>
        <w:rPr>
          <w:rFonts w:ascii="Calibri" w:cs="Calibri" w:eastAsia="Calibri" w:hAnsi="Calibri"/>
          <w:b/>
          <w:bCs/>
          <w:color w:val="1A1D3A"/>
          <w:sz w:val="21"/>
          <w:szCs w:val="21"/>
        </w:rPr>
        <w:t xml:space="preserve">Per-area figures are daily, in Wh/m²·day,</w:t>
      </w:r>
      <w:r>
        <w:rPr>
          <w:rFonts w:ascii="Calibri" w:cs="Calibri" w:eastAsia="Calibri" w:hAnsi="Calibri"/>
          <w:color w:val="1A1D3A"/>
          <w:sz w:val="21"/>
          <w:szCs w:val="21"/>
        </w:rPr>
        <w:t xml:space="preserve"> during the measured weeks; the paper does not provide annualised campus totals, and neither do we.</w:t>
      </w:r>
    </w:p>
    <w:p>
      <w:pPr>
        <w:pStyle w:val="ListParagraph"/>
        <w:numPr>
          <w:ilvl w:val="0"/>
          <w:numId w:val="3"/>
        </w:numPr>
        <w:spacing w:after="60" w:line="264"/>
      </w:pPr>
      <w:r>
        <w:rPr>
          <w:rFonts w:ascii="Calibri" w:cs="Calibri" w:eastAsia="Calibri" w:hAnsi="Calibri"/>
          <w:color w:val="1A1D3A"/>
          <w:sz w:val="21"/>
          <w:szCs w:val="21"/>
        </w:rPr>
        <w:t xml:space="preserve">The paper's own literature review adds context: occupancy sensor + smart plug ≈34% (Jeong &amp; Seo); daylight + occupancy lighting up to 65.2% (Hong et al.); classroom lighting PIR 10% (Nam et al.); campus platform 15–30% (Kolokotsa et al.).</w:t>
      </w:r>
    </w:p>
    <w:p>
      <w:pPr>
        <w:sectPr>
          <w:footerReference w:type="default" r:id="rId6"/>
          <w:pgSz w:w="11906" w:h="16838" w:orient="portrait"/>
          <w:pgMar w:top="1134" w:right="1134" w:bottom="1134" w:left="1134" w:header="708" w:footer="708" w:gutter="0"/>
          <w:pgNumType/>
          <w:docGrid w:linePitch="360"/>
        </w:sectPr>
      </w:pPr>
    </w:p>
    <w:p>
      <w:pPr>
        <w:pStyle w:val="Heading1"/>
        <w:pBdr>
          <w:bottom w:val="single" w:color="B0202A" w:sz="8" w:space="4"/>
        </w:pBdr>
        <w:spacing w:after="160" w:before="360"/>
      </w:pPr>
      <w:r>
        <w:rPr>
          <w:rFonts w:ascii="Calibri" w:cs="Calibri" w:eastAsia="Calibri" w:hAnsi="Calibri"/>
          <w:b/>
          <w:bCs/>
          <w:color w:val="12163A"/>
          <w:sz w:val="34"/>
          <w:szCs w:val="34"/>
        </w:rPr>
        <w:t xml:space="preserve">3. Comparable university implementations</w:t>
      </w:r>
    </w:p>
    <w:p>
      <w:pPr>
        <w:spacing w:after="120" w:line="276"/>
      </w:pPr>
      <w:r>
        <w:rPr>
          <w:rFonts w:ascii="Calibri" w:cs="Calibri" w:eastAsia="Calibri" w:hAnsi="Calibri"/>
          <w:color w:val="1A1D3A"/>
          <w:sz w:val="21"/>
          <w:szCs w:val="21"/>
        </w:rPr>
        <w:t xml:space="preserve">Each row states what the saving actually measures. </w:t>
      </w:r>
      <w:r>
        <w:rPr>
          <w:rFonts w:ascii="Calibri" w:cs="Calibri" w:eastAsia="Calibri" w:hAnsi="Calibri"/>
          <w:b/>
          <w:bCs/>
          <w:color w:val="1A1D3A"/>
          <w:sz w:val="21"/>
          <w:szCs w:val="21"/>
        </w:rPr>
        <w:t xml:space="preserve">Do not average these numbers</w:t>
      </w:r>
      <w:r>
        <w:rPr>
          <w:rFonts w:ascii="Calibri" w:cs="Calibri" w:eastAsia="Calibri" w:hAnsi="Calibri"/>
          <w:color w:val="1A1D3A"/>
          <w:sz w:val="21"/>
          <w:szCs w:val="21"/>
        </w:rPr>
        <w:t xml:space="preserve">: they mix lighting-only, HVAC-only, whole-building, laboratory-specific and campus-programme results, and some are targets or estimates rather than measured outcomes.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1750"/>
        <w:gridCol w:w="2200"/>
        <w:gridCol w:w="2300"/>
        <w:gridCol w:w="1800"/>
        <w:gridCol w:w="2200"/>
        <w:gridCol w:w="1370"/>
      </w:tblGrid>
      <w:tr>
        <w:trPr>
          <w:cantSplit/>
          <w:tblHeader/>
        </w:trPr>
        <w:tc>
          <w:tcPr>
            <w:tcW w:type="dxa" w:w="2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University / project</w:t>
            </w:r>
          </w:p>
        </w:tc>
        <w:tc>
          <w:tcPr>
            <w:tcW w:type="dxa" w:w="95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Country</w:t>
            </w:r>
          </w:p>
        </w:tc>
        <w:tc>
          <w:tcPr>
            <w:tcW w:type="dxa" w:w="175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Scale</w:t>
            </w:r>
          </w:p>
        </w:tc>
        <w:tc>
          <w:tcPr>
            <w:tcW w:type="dxa" w:w="22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Technology</w:t>
            </w:r>
          </w:p>
        </w:tc>
        <w:tc>
          <w:tcPr>
            <w:tcW w:type="dxa" w:w="23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Application &amp; scope</w:t>
            </w:r>
          </w:p>
        </w:tc>
        <w:tc>
          <w:tcPr>
            <w:tcW w:type="dxa" w:w="18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Saving</w:t>
            </w:r>
          </w:p>
        </w:tc>
        <w:tc>
          <w:tcPr>
            <w:tcW w:type="dxa" w:w="22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Energy / cost saved</w:t>
            </w:r>
          </w:p>
        </w:tc>
        <w:tc>
          <w:tcPr>
            <w:tcW w:type="dxa" w:w="137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Source</w:t>
            </w:r>
          </w:p>
        </w:tc>
      </w:tr>
      <w:tr>
        <w:trPr>
          <w:cantSplit/>
        </w:trPr>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H University (Lee &amp; Kim)</w:t>
            </w:r>
          </w:p>
        </w:tc>
        <w:tc>
          <w:tcPr>
            <w:tcW w:type="dxa" w:w="9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South Korea</w:t>
            </w:r>
          </w:p>
        </w:tc>
        <w:tc>
          <w:tcPr>
            <w:tcW w:type="dxa" w:w="17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Lecture bldg 16,476 m²; dorm 5,994.53 m²; parking 918.66 m² test area</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RF/Doppler motion sensors; key-card RMS</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END-USE, measured before/after: lighting, EHP cooling, dormitory</w:t>
            </w:r>
          </w:p>
        </w:tc>
        <w:tc>
          <w:tcPr>
            <w:tcW w:type="dxa" w:w="1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77.6% (parking light); 32.4% (class light); 27.9% (class cooling); 28.2% (dorm)</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39.5 / 25.0 / 55.0 / 142.4 Wh/m²·day; cost not reported</w:t>
            </w:r>
          </w:p>
        </w:tc>
        <w:tc>
          <w:tcPr>
            <w:tcW w:type="dxa" w:w="1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S1</w:t>
            </w:r>
          </w:p>
        </w:tc>
      </w:tr>
      <w:tr>
        <w:trPr>
          <w:cantSplit/>
        </w:trPr>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Michigan State Univ. — Anthony Hall</w:t>
            </w:r>
          </w:p>
        </w:tc>
        <w:tc>
          <w:tcPr>
            <w:tcW w:type="dxa" w:w="9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USA</w:t>
            </w:r>
          </w:p>
        </w:tc>
        <w:tc>
          <w:tcPr>
            <w:tcW w:type="dxa" w:w="17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1 building, 317,200 sq ft (≈29,470 m²)</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Airflow monitoring, economizer repair, VFDs, demand ventilation, heat recovery, lighting controls</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BUILDING-LEVEL multi-measure retrofit (partner-reported)</w:t>
            </w:r>
          </w:p>
        </w:tc>
        <w:tc>
          <w:tcPr>
            <w:tcW w:type="dxa" w:w="1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34% (source EUI)</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$536,000/yr; kWh not stated</w:t>
            </w:r>
          </w:p>
        </w:tc>
        <w:tc>
          <w:tcPr>
            <w:tcW w:type="dxa" w:w="1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S2</w:t>
            </w:r>
          </w:p>
        </w:tc>
      </w:tr>
      <w:tr>
        <w:trPr>
          <w:cantSplit/>
        </w:trPr>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UC Irvine — Smart Labs</w:t>
            </w:r>
          </w:p>
        </w:tc>
        <w:tc>
          <w:tcPr>
            <w:tcW w:type="dxa" w:w="9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USA</w:t>
            </w:r>
          </w:p>
        </w:tc>
        <w:tc>
          <w:tcPr>
            <w:tcW w:type="dxa" w:w="17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10 retrofitted labs; Natural Sciences II &gt;100,000 sq ft</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Variable ventilation + air-quality + occupancy sensors + digital controls</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LABORATORY-specific; NS-II figure excludes lab process loads</w:t>
            </w:r>
          </w:p>
        </w:tc>
        <w:tc>
          <w:tcPr>
            <w:tcW w:type="dxa" w:w="1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61% avg (10 labs); 60% headline; 51% NS-II</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NS-II $180,000/yr</w:t>
            </w:r>
          </w:p>
        </w:tc>
        <w:tc>
          <w:tcPr>
            <w:tcW w:type="dxa" w:w="1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S3–S5</w:t>
            </w:r>
          </w:p>
        </w:tc>
      </w:tr>
      <w:tr>
        <w:trPr>
          <w:cantSplit/>
        </w:trPr>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Pace University</w:t>
            </w:r>
          </w:p>
        </w:tc>
        <w:tc>
          <w:tcPr>
            <w:tcW w:type="dxa" w:w="9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USA</w:t>
            </w:r>
          </w:p>
        </w:tc>
        <w:tc>
          <w:tcPr>
            <w:tcW w:type="dxa" w:w="17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Portfolio 1–5 million sq ft</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BMS scheduling, set-point policy, occupancy-matched HVAC, 2 energy specialists</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CAMPUS-WIDE management programme (not a sensor product)</w:t>
            </w:r>
          </w:p>
        </w:tc>
        <w:tc>
          <w:tcPr>
            <w:tcW w:type="dxa" w:w="1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≈18% avg annual (secondary); GHG −24%</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26M kWh + ~1M therms; $6.8M (thru Oct 2022)</w:t>
            </w:r>
          </w:p>
        </w:tc>
        <w:tc>
          <w:tcPr>
            <w:tcW w:type="dxa" w:w="1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S6, S7</w:t>
            </w:r>
          </w:p>
        </w:tc>
      </w:tr>
      <w:tr>
        <w:trPr>
          <w:cantSplit/>
        </w:trPr>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Colorado Mesa University</w:t>
            </w:r>
          </w:p>
        </w:tc>
        <w:tc>
          <w:tcPr>
            <w:tcW w:type="dxa" w:w="9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USA</w:t>
            </w:r>
          </w:p>
        </w:tc>
        <w:tc>
          <w:tcPr>
            <w:tcW w:type="dxa" w:w="17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16 buildings, 1.2 million sq ft</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District geothermal heat pumps (450 boreholes)</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HVAC PLANT technology — not sensing/automation</w:t>
            </w:r>
          </w:p>
        </w:tc>
        <w:tc>
          <w:tcPr>
            <w:tcW w:type="dxa" w:w="1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 half of conventional HVAC energy (DOE)</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14.86M kWh/yr; $1.5M/yr; 10 kWh/sq ft·yr</w:t>
            </w:r>
          </w:p>
        </w:tc>
        <w:tc>
          <w:tcPr>
            <w:tcW w:type="dxa" w:w="1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S8</w:t>
            </w:r>
          </w:p>
        </w:tc>
      </w:tr>
      <w:tr>
        <w:trPr>
          <w:cantSplit/>
        </w:trPr>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Univ. of Utah — Eyring buildings</w:t>
            </w:r>
          </w:p>
        </w:tc>
        <w:tc>
          <w:tcPr>
            <w:tcW w:type="dxa" w:w="9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USA</w:t>
            </w:r>
          </w:p>
        </w:tc>
        <w:tc>
          <w:tcPr>
            <w:tcW w:type="dxa" w:w="17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5 buildings, 370,000 sq ft</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CAV→VAV + sensors/controls</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LAB/CLASSROOM retrofit — ESTIMATED</w:t>
            </w:r>
          </w:p>
        </w:tc>
        <w:tc>
          <w:tcPr>
            <w:tcW w:type="dxa" w:w="1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44% EUI (est.)</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$456,000/yr (est.)</w:t>
            </w:r>
          </w:p>
        </w:tc>
        <w:tc>
          <w:tcPr>
            <w:tcW w:type="dxa" w:w="1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S9</w:t>
            </w:r>
          </w:p>
        </w:tc>
      </w:tr>
      <w:tr>
        <w:trPr>
          <w:cantSplit/>
        </w:trPr>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Carnegie Mellon Univ. (DOE BENEFIT)</w:t>
            </w:r>
          </w:p>
        </w:tc>
        <w:tc>
          <w:tcPr>
            <w:tcW w:type="dxa" w:w="9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USA</w:t>
            </w:r>
          </w:p>
        </w:tc>
        <w:tc>
          <w:tcPr>
            <w:tcW w:type="dxa" w:w="17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Research buildings</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Depth-sensing occupancy + model-predictive control</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Research TARGET — not a result</w:t>
            </w:r>
          </w:p>
        </w:tc>
        <w:tc>
          <w:tcPr>
            <w:tcW w:type="dxa" w:w="1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20% target</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w:t>
            </w:r>
          </w:p>
        </w:tc>
        <w:tc>
          <w:tcPr>
            <w:tcW w:type="dxa" w:w="1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S10</w:t>
            </w:r>
          </w:p>
        </w:tc>
      </w:tr>
      <w:tr>
        <w:trPr>
          <w:cantSplit/>
        </w:trPr>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LBNL Smart Energy Analytics Campaign</w:t>
            </w:r>
          </w:p>
        </w:tc>
        <w:tc>
          <w:tcPr>
            <w:tcW w:type="dxa" w:w="9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USA (portfolio)</w:t>
            </w:r>
          </w:p>
        </w:tc>
        <w:tc>
          <w:tcPr>
            <w:tcW w:type="dxa" w:w="17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104 orgs; 6,500 bldgs; &gt;0.5 bn sq ft</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Fault detection &amp; diagnostics; energy information systems</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PORTFOLIO medians (office + higher-ed = 80%)</w:t>
            </w:r>
          </w:p>
        </w:tc>
        <w:tc>
          <w:tcPr>
            <w:tcW w:type="dxa" w:w="1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9% (FDD); 3% (EIS) median</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w:t>
            </w:r>
          </w:p>
        </w:tc>
        <w:tc>
          <w:tcPr>
            <w:tcW w:type="dxa" w:w="1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S12</w:t>
            </w:r>
          </w:p>
        </w:tc>
      </w:tr>
      <w:tr>
        <w:trPr>
          <w:cantSplit/>
        </w:trPr>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ACEEE smart-buildings review</w:t>
            </w:r>
          </w:p>
        </w:tc>
        <w:tc>
          <w:tcPr>
            <w:tcW w:type="dxa" w:w="9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USA (model)</w:t>
            </w:r>
          </w:p>
        </w:tc>
        <w:tc>
          <w:tcPr>
            <w:tcW w:type="dxa" w:w="17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Typical 100,000 sq ft education; 70,000 sq ft lab</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Occupancy sensors + web lighting control; lab air-quality + occupancy + real-time ventilation</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TECHNOLOGY-REVIEW model values</w:t>
            </w:r>
          </w:p>
        </w:tc>
        <w:tc>
          <w:tcPr>
            <w:tcW w:type="dxa" w:w="1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11% (education); 40% (lab)</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20,900 and 390,000 kWh/yr per model building</w:t>
            </w:r>
          </w:p>
        </w:tc>
        <w:tc>
          <w:tcPr>
            <w:tcW w:type="dxa" w:w="1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S11</w:t>
            </w:r>
          </w:p>
        </w:tc>
      </w:tr>
      <w:tr>
        <w:trPr>
          <w:cantSplit/>
        </w:trPr>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Technical Univ. of Crete (via S1)</w:t>
            </w:r>
          </w:p>
        </w:tc>
        <w:tc>
          <w:tcPr>
            <w:tcW w:type="dxa" w:w="9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Greece</w:t>
            </w:r>
          </w:p>
        </w:tc>
        <w:tc>
          <w:tcPr>
            <w:tcW w:type="dxa" w:w="17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Campus platform (CAMP-IT)</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Web-based campus energy-management / control</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CAMPUS platform (reported in S1's review)</w:t>
            </w:r>
          </w:p>
        </w:tc>
        <w:tc>
          <w:tcPr>
            <w:tcW w:type="dxa" w:w="1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15–30% (as cited)</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w:t>
            </w:r>
          </w:p>
        </w:tc>
        <w:tc>
          <w:tcPr>
            <w:tcW w:type="dxa" w:w="1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S13</w:t>
            </w:r>
          </w:p>
        </w:tc>
      </w:tr>
    </w:tbl>
    <w:p>
      <w:pPr>
        <w:spacing w:after="10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none" w:color="FFFFFF" w:sz="0"/>
              <w:left w:val="single" w:color="3B3F9E" w:sz="24"/>
              <w:bottom w:val="none" w:color="FFFFFF" w:sz="0"/>
              <w:right w:val="none" w:color="FFFFFF" w:sz="0"/>
            </w:tcBorders>
            <w:shd w:fill="E8EAF4" w:color="auto" w:val="clear"/>
            <w:tcMar>
              <w:top w:type="dxa" w:w="110"/>
              <w:left w:type="dxa" w:w="180"/>
              <w:bottom w:type="dxa" w:w="110"/>
              <w:right w:type="dxa" w:w="180"/>
            </w:tcMar>
          </w:tcPr>
          <w:p>
            <w:pPr>
              <w:spacing w:after="60"/>
            </w:pPr>
            <w:r>
              <w:rPr>
                <w:rFonts w:ascii="Calibri" w:cs="Calibri" w:eastAsia="Calibri" w:hAnsi="Calibri"/>
                <w:b/>
                <w:bCs/>
                <w:color w:val="3B3F9E"/>
                <w:sz w:val="21"/>
                <w:szCs w:val="21"/>
              </w:rPr>
              <w:t xml:space="preserve">Scope taxonomy used in this report</w:t>
            </w:r>
          </w:p>
          <w:p>
            <w:pPr>
              <w:spacing w:after="50"/>
            </w:pPr>
            <w:r>
              <w:rPr>
                <w:rFonts w:ascii="Calibri" w:cs="Calibri" w:eastAsia="Calibri" w:hAnsi="Calibri"/>
                <w:b/>
                <w:bCs/>
                <w:color w:val="1A1D3A"/>
                <w:sz w:val="20"/>
                <w:szCs w:val="20"/>
              </w:rPr>
              <w:t xml:space="preserve">Lighting-only / end-use:</w:t>
            </w:r>
            <w:r>
              <w:rPr>
                <w:rFonts w:ascii="Calibri" w:cs="Calibri" w:eastAsia="Calibri" w:hAnsi="Calibri"/>
                <w:color w:val="1A1D3A"/>
                <w:sz w:val="20"/>
                <w:szCs w:val="20"/>
              </w:rPr>
              <w:t xml:space="preserve"> Korean parking and classroom lighting.  </w:t>
            </w:r>
            <w:r>
              <w:rPr>
                <w:rFonts w:ascii="Calibri" w:cs="Calibri" w:eastAsia="Calibri" w:hAnsi="Calibri"/>
                <w:b/>
                <w:bCs/>
                <w:color w:val="1A1D3A"/>
                <w:sz w:val="20"/>
                <w:szCs w:val="20"/>
              </w:rPr>
              <w:t xml:space="preserve">HVAC-only:</w:t>
            </w:r>
            <w:r>
              <w:rPr>
                <w:rFonts w:ascii="Calibri" w:cs="Calibri" w:eastAsia="Calibri" w:hAnsi="Calibri"/>
                <w:color w:val="1A1D3A"/>
                <w:sz w:val="20"/>
                <w:szCs w:val="20"/>
              </w:rPr>
              <w:t xml:space="preserve"> Korean classroom EHP cooling.  </w:t>
            </w:r>
            <w:r>
              <w:rPr>
                <w:rFonts w:ascii="Calibri" w:cs="Calibri" w:eastAsia="Calibri" w:hAnsi="Calibri"/>
                <w:b/>
                <w:bCs/>
                <w:color w:val="1A1D3A"/>
                <w:sz w:val="20"/>
                <w:szCs w:val="20"/>
              </w:rPr>
              <w:t xml:space="preserve">Building-level:</w:t>
            </w:r>
            <w:r>
              <w:rPr>
                <w:rFonts w:ascii="Calibri" w:cs="Calibri" w:eastAsia="Calibri" w:hAnsi="Calibri"/>
                <w:color w:val="1A1D3A"/>
                <w:sz w:val="20"/>
                <w:szCs w:val="20"/>
              </w:rPr>
              <w:t xml:space="preserve"> MSU Anthony Hall, Utah.  </w:t>
            </w:r>
            <w:r>
              <w:rPr>
                <w:rFonts w:ascii="Calibri" w:cs="Calibri" w:eastAsia="Calibri" w:hAnsi="Calibri"/>
                <w:b/>
                <w:bCs/>
                <w:color w:val="1A1D3A"/>
                <w:sz w:val="20"/>
                <w:szCs w:val="20"/>
              </w:rPr>
              <w:t xml:space="preserve">Laboratory-specific:</w:t>
            </w:r>
            <w:r>
              <w:rPr>
                <w:rFonts w:ascii="Calibri" w:cs="Calibri" w:eastAsia="Calibri" w:hAnsi="Calibri"/>
                <w:color w:val="1A1D3A"/>
                <w:sz w:val="20"/>
                <w:szCs w:val="20"/>
              </w:rPr>
              <w:t xml:space="preserve"> UC Irvine, ACEEE lab.  </w:t>
            </w:r>
            <w:r>
              <w:rPr>
                <w:rFonts w:ascii="Calibri" w:cs="Calibri" w:eastAsia="Calibri" w:hAnsi="Calibri"/>
                <w:b/>
                <w:bCs/>
                <w:color w:val="1A1D3A"/>
                <w:sz w:val="20"/>
                <w:szCs w:val="20"/>
              </w:rPr>
              <w:t xml:space="preserve">Campus-/portfolio-level programme:</w:t>
            </w:r>
            <w:r>
              <w:rPr>
                <w:rFonts w:ascii="Calibri" w:cs="Calibri" w:eastAsia="Calibri" w:hAnsi="Calibri"/>
                <w:color w:val="1A1D3A"/>
                <w:sz w:val="20"/>
                <w:szCs w:val="20"/>
              </w:rPr>
              <w:t xml:space="preserve"> Pace, LBNL, Crete.  </w:t>
            </w:r>
            <w:r>
              <w:rPr>
                <w:rFonts w:ascii="Calibri" w:cs="Calibri" w:eastAsia="Calibri" w:hAnsi="Calibri"/>
                <w:b/>
                <w:bCs/>
                <w:color w:val="1A1D3A"/>
                <w:sz w:val="20"/>
                <w:szCs w:val="20"/>
              </w:rPr>
              <w:t xml:space="preserve">Different mechanism (excluded from rate selection):</w:t>
            </w:r>
            <w:r>
              <w:rPr>
                <w:rFonts w:ascii="Calibri" w:cs="Calibri" w:eastAsia="Calibri" w:hAnsi="Calibri"/>
                <w:color w:val="1A1D3A"/>
                <w:sz w:val="20"/>
                <w:szCs w:val="20"/>
              </w:rPr>
              <w:t xml:space="preserve"> Colorado Mesa geothermal.  </w:t>
            </w:r>
            <w:r>
              <w:rPr>
                <w:rFonts w:ascii="Calibri" w:cs="Calibri" w:eastAsia="Calibri" w:hAnsi="Calibri"/>
                <w:b/>
                <w:bCs/>
                <w:color w:val="1A1D3A"/>
                <w:sz w:val="20"/>
                <w:szCs w:val="20"/>
              </w:rPr>
              <w:t xml:space="preserve">Target / estimate (not measured):</w:t>
            </w:r>
            <w:r>
              <w:rPr>
                <w:rFonts w:ascii="Calibri" w:cs="Calibri" w:eastAsia="Calibri" w:hAnsi="Calibri"/>
                <w:color w:val="1A1D3A"/>
                <w:sz w:val="20"/>
                <w:szCs w:val="20"/>
              </w:rPr>
              <w:t xml:space="preserve"> CMU, Utah.</w:t>
            </w:r>
          </w:p>
          <w:p>
            <w:pPr>
              <w:spacing w:after="50"/>
            </w:pPr>
            <w:r>
              <w:rPr>
                <w:rFonts w:ascii="Calibri" w:cs="Calibri" w:eastAsia="Calibri" w:hAnsi="Calibri"/>
                <w:color w:val="1A1D3A"/>
                <w:sz w:val="20"/>
                <w:szCs w:val="20"/>
              </w:rPr>
              <w:t xml:space="preserve">Observation: the more narrowly an end-use is controlled (lighting in a low-occupancy space), the higher the saving; the more broadly the metric is defined (whole campus or portfolio), the lower and more stable it becomes (≈9–20%).</w:t>
            </w:r>
          </w:p>
        </w:tc>
      </w:tr>
    </w:tbl>
    <w:p>
      <w:pPr>
        <w:spacing w:after="60"/>
      </w:pPr>
    </w:p>
    <w:p>
      <w:pPr>
        <w:keepNext/>
        <w:spacing w:after="40" w:before="80"/>
        <w:jc w:val="center"/>
      </w:pPr>
      <w:r>
        <w:drawing>
          <wp:inline distT="0" distB="0" distL="0" distR="0">
            <wp:extent cx="5905500" cy="3200400"/>
            <wp:effectExtent t="0" r="0" b="0" l="0"/>
            <wp:docPr id="2" name="c1_benchmarks" descr="Chart 1 — Reported savings by benchmark (scopes differ; bars must not be averaged)" title="Chart 1 — Reported savings by benchmark (scopes differ; bars must not be avera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00400"/>
                    </a:xfrm>
                    <a:prstGeom prst="rect">
                      <a:avLst/>
                    </a:prstGeom>
                  </pic:spPr>
                </pic:pic>
              </a:graphicData>
            </a:graphic>
          </wp:inline>
        </w:drawing>
      </w:r>
    </w:p>
    <w:p>
      <w:pPr>
        <w:spacing w:after="160"/>
        <w:jc w:val="center"/>
      </w:pPr>
      <w:r>
        <w:rPr>
          <w:rFonts w:ascii="Calibri" w:cs="Calibri" w:eastAsia="Calibri" w:hAnsi="Calibri"/>
          <w:i/>
          <w:iCs/>
          <w:color w:val="5A6080"/>
          <w:sz w:val="17"/>
          <w:szCs w:val="17"/>
        </w:rPr>
        <w:t xml:space="preserve">Chart 1 — Reported savings by benchmark (scopes differ; bars must not be averaged)</w:t>
      </w:r>
    </w:p>
    <w:p>
      <w:pPr>
        <w:sectPr>
          <w:footerReference w:type="default" r:id="rId7"/>
          <w:pgSz w:w="16838" w:h="11906" w:orient="landscape"/>
          <w:pgMar w:top="1134" w:right="1134" w:bottom="1134" w:left="1134" w:header="708" w:footer="708" w:gutter="0"/>
          <w:pgNumType/>
          <w:docGrid w:linePitch="360"/>
        </w:sectPr>
      </w:pPr>
    </w:p>
    <w:p>
      <w:pPr>
        <w:pStyle w:val="Heading1"/>
        <w:pBdr>
          <w:bottom w:val="single" w:color="B0202A" w:sz="8" w:space="4"/>
        </w:pBdr>
        <w:spacing w:after="160" w:before="360"/>
      </w:pPr>
      <w:r>
        <w:rPr>
          <w:rFonts w:ascii="Calibri" w:cs="Calibri" w:eastAsia="Calibri" w:hAnsi="Calibri"/>
          <w:b/>
          <w:bCs/>
          <w:color w:val="12163A"/>
          <w:sz w:val="34"/>
          <w:szCs w:val="34"/>
        </w:rPr>
        <w:t xml:space="preserve">4. Classrooms versus laboratories</w:t>
      </w:r>
    </w:p>
    <w:p>
      <w:pPr>
        <w:spacing w:after="120" w:line="276"/>
      </w:pPr>
      <w:r>
        <w:rPr>
          <w:rFonts w:ascii="Calibri" w:cs="Calibri" w:eastAsia="Calibri" w:hAnsi="Calibri"/>
          <w:color w:val="1A1D3A"/>
          <w:sz w:val="21"/>
          <w:szCs w:val="21"/>
        </w:rPr>
        <w:t xml:space="preserve">Laboratories behave very differently from classrooms, and Smart Lab 301 is the scenario our project demonstrates, so the two must be modelled separately.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9"/>
        <w:gridCol w:w="3969"/>
      </w:tblGrid>
      <w:tr>
        <w:trPr>
          <w:cantSplit/>
          <w:tblHeader/>
        </w:trPr>
        <w:tc>
          <w:tcPr>
            <w:tcW w:type="dxa" w:w="17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p>
        </w:tc>
        <w:tc>
          <w:tcPr>
            <w:tcW w:type="dxa" w:w="3969"/>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General classrooms / lecture rooms</w:t>
            </w:r>
          </w:p>
        </w:tc>
        <w:tc>
          <w:tcPr>
            <w:tcW w:type="dxa" w:w="3969"/>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Laboratories</w:t>
            </w:r>
          </w:p>
        </w:tc>
      </w:tr>
      <w:tr>
        <w:trPr>
          <w:cantSplit/>
        </w:trPr>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Dominant load</w:t>
            </w:r>
          </w:p>
        </w:tc>
        <w:tc>
          <w:tcPr>
            <w:tcW w:type="dxa" w:w="396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Lighting and cooling driven by occupancy hours</w:t>
            </w:r>
          </w:p>
        </w:tc>
        <w:tc>
          <w:tcPr>
            <w:tcW w:type="dxa" w:w="396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Ventilation (often 100% outside air), exhaust, fume hoods and process equipment, frequently critical</w:t>
            </w:r>
          </w:p>
        </w:tc>
      </w:tr>
      <w:tr>
        <w:trPr>
          <w:cantSplit/>
        </w:trPr>
        <w:tc>
          <w:tcPr>
            <w:tcW w:type="dxa" w:w="1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What occupancy control can do</w:t>
            </w:r>
          </w:p>
        </w:tc>
        <w:tc>
          <w:tcPr>
            <w:tcW w:type="dxa" w:w="3969"/>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Switch/setback lights and HVAC in confirmed-empty rooms. Korea: 32.4% lighting, 27.9% cooling in 3 classrooms</w:t>
            </w:r>
          </w:p>
        </w:tc>
        <w:tc>
          <w:tcPr>
            <w:tcW w:type="dxa" w:w="3969"/>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Reduce non-critical loads (lights, projector, charging, comfort AC). Deep savings require ventilation redesign</w:t>
            </w:r>
          </w:p>
        </w:tc>
      </w:tr>
      <w:tr>
        <w:trPr>
          <w:cantSplit/>
        </w:trPr>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Demonstrated savings</w:t>
            </w:r>
          </w:p>
        </w:tc>
        <w:tc>
          <w:tcPr>
            <w:tcW w:type="dxa" w:w="396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27.9–32.4% end-use (S1); 11% education model (S11)</w:t>
            </w:r>
          </w:p>
        </w:tc>
        <w:tc>
          <w:tcPr>
            <w:tcW w:type="dxa" w:w="396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UC Irvine 61% avg / 51% NS-II (S3, S4); ACEEE lab 40% (S11) — </w:t>
            </w:r>
            <w:r>
              <w:rPr>
                <w:rFonts w:ascii="Calibri" w:cs="Calibri" w:eastAsia="Calibri" w:hAnsi="Calibri"/>
                <w:b/>
                <w:bCs/>
                <w:color w:val="1A1D3A"/>
                <w:sz w:val="17"/>
                <w:szCs w:val="17"/>
              </w:rPr>
              <w:t xml:space="preserve">achieved by variable air-change-rate control with air-quality and occupancy sensors</w:t>
            </w:r>
          </w:p>
        </w:tc>
      </w:tr>
      <w:tr>
        <w:trPr>
          <w:cantSplit/>
        </w:trPr>
        <w:tc>
          <w:tcPr>
            <w:tcW w:type="dxa" w:w="1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Does AIU Smart Campus do this?</w:t>
            </w:r>
          </w:p>
        </w:tc>
        <w:tc>
          <w:tcPr>
            <w:tcW w:type="dxa" w:w="3969"/>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Yes — occupancy-confirmed shutdown of non-critical loads under rules</w:t>
            </w:r>
          </w:p>
        </w:tc>
        <w:tc>
          <w:tcPr>
            <w:tcW w:type="dxa" w:w="3969"/>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b/>
                <w:bCs/>
                <w:color w:val="1A1D3A"/>
                <w:sz w:val="17"/>
                <w:szCs w:val="17"/>
              </w:rPr>
              <w:t xml:space="preserve">Partly.</w:t>
            </w:r>
            <w:r>
              <w:rPr>
                <w:rFonts w:ascii="Calibri" w:cs="Calibri" w:eastAsia="Calibri" w:hAnsi="Calibri"/>
                <w:color w:val="1A1D3A"/>
                <w:sz w:val="17"/>
                <w:szCs w:val="17"/>
              </w:rPr>
              <w:t xml:space="preserve"> It shuts down non-critical loads and guards CRITICAL devices; it does not control fume-hood or air-change rates</w:t>
            </w:r>
          </w:p>
        </w:tc>
      </w:tr>
      <w:tr>
        <w:trPr>
          <w:cantSplit/>
        </w:trPr>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Planning rate used here</w:t>
            </w:r>
          </w:p>
        </w:tc>
        <w:tc>
          <w:tcPr>
            <w:tcW w:type="dxa" w:w="396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Cons 10% / Mod 18% / High 28% on controlled loads</w:t>
            </w:r>
          </w:p>
        </w:tc>
        <w:tc>
          <w:tcPr>
            <w:tcW w:type="dxa" w:w="396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Cons 5% / Mod 10% / High 20% on a smaller controllable share (40%)</w:t>
            </w:r>
          </w:p>
        </w:tc>
      </w:tr>
    </w:tbl>
    <w:p>
      <w:pPr>
        <w:spacing w:after="60"/>
      </w:pPr>
    </w:p>
    <w:p>
      <w:pPr>
        <w:spacing w:after="120" w:line="276"/>
      </w:pPr>
      <w:r>
        <w:rPr>
          <w:rFonts w:ascii="Calibri" w:cs="Calibri" w:eastAsia="Calibri" w:hAnsi="Calibri"/>
          <w:color w:val="1A1D3A"/>
          <w:sz w:val="21"/>
          <w:szCs w:val="21"/>
        </w:rPr>
        <w:t xml:space="preserve">UC Irvine's result is real but comes from reducing laboratory air changes (from roughly one every 5–8 minutes, 24/7, to 2 per hour unoccupied and 4 per hour occupied, per UCI News) using air-quality and occupancy sensing. </w:t>
      </w:r>
      <w:r>
        <w:rPr>
          <w:rFonts w:ascii="Calibri" w:cs="Calibri" w:eastAsia="Calibri" w:hAnsi="Calibri"/>
          <w:b/>
          <w:bCs/>
          <w:color w:val="1A1D3A"/>
          <w:sz w:val="21"/>
          <w:szCs w:val="21"/>
        </w:rPr>
        <w:t xml:space="preserve">We therefore treat 51–61% as evidence that occupancy-aware laboratory ventilation control is powerful — not as a rate our current non-critical-load automation can claim.</w:t>
      </w:r>
      <w:r>
        <w:rPr>
          <w:rFonts w:ascii="Calibri" w:cs="Calibri" w:eastAsia="Calibri" w:hAnsi="Calibri"/>
          <w:color w:val="1A1D3A"/>
          <w:sz w:val="21"/>
          <w:szCs w:val="21"/>
        </w:rPr>
        <w:t xml:space="preserve"> If AIU later integrates HVAC/ventilation control for labs, the laboratory rows of the model can be revisited.</w:t>
      </w:r>
    </w:p>
    <w:p>
      <w:pPr>
        <w:pStyle w:val="Heading1"/>
        <w:pBdr>
          <w:bottom w:val="single" w:color="B0202A" w:sz="8" w:space="4"/>
        </w:pBdr>
        <w:spacing w:after="160" w:before="360"/>
      </w:pPr>
      <w:r>
        <w:rPr>
          <w:rFonts w:ascii="Calibri" w:cs="Calibri" w:eastAsia="Calibri" w:hAnsi="Calibri"/>
          <w:b/>
          <w:bCs/>
          <w:color w:val="12163A"/>
          <w:sz w:val="34"/>
          <w:szCs w:val="34"/>
        </w:rPr>
        <w:t xml:space="preserve">5. AIU campus scale</w:t>
      </w:r>
    </w:p>
    <w:p>
      <w:pPr>
        <w:spacing w:after="120" w:line="276"/>
      </w:pPr>
      <w:r>
        <w:rPr>
          <w:rFonts w:ascii="Calibri" w:cs="Calibri" w:eastAsia="Calibri" w:hAnsi="Calibri"/>
          <w:color w:val="1A1D3A"/>
          <w:sz w:val="21"/>
          <w:szCs w:val="21"/>
        </w:rPr>
        <w:t xml:space="preserve">Alamein International University is a national non-profit university in New Alamein City, Matrouh Governorate (inaugurated 2020, presidential decree 435 of 2020). The sources below give three different numbers that are easy to conflate; they refer to different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638"/>
        <w:gridCol w:w="1400"/>
        <w:gridCol w:w="1400"/>
      </w:tblGrid>
      <w:tr>
        <w:trPr>
          <w:cantSplit/>
          <w:tblHeader/>
        </w:trPr>
        <w:tc>
          <w:tcPr>
            <w:tcW w:type="dxa" w:w="15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Item</w:t>
            </w:r>
          </w:p>
        </w:tc>
        <w:tc>
          <w:tcPr>
            <w:tcW w:type="dxa" w:w="17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Value</w:t>
            </w:r>
          </w:p>
        </w:tc>
        <w:tc>
          <w:tcPr>
            <w:tcW w:type="dxa" w:w="3638"/>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What it actually is</w:t>
            </w:r>
          </w:p>
        </w:tc>
        <w:tc>
          <w:tcPr>
            <w:tcW w:type="dxa" w:w="14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Status</w:t>
            </w:r>
          </w:p>
        </w:tc>
        <w:tc>
          <w:tcPr>
            <w:tcW w:type="dxa" w:w="14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Source</w:t>
            </w:r>
          </w:p>
        </w:tc>
      </w:tr>
      <w:tr>
        <w:trPr>
          <w:cantSplit/>
        </w:trPr>
        <w:tc>
          <w:tcPr>
            <w:tcW w:type="dxa" w:w="1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Campus land area</w:t>
            </w:r>
          </w:p>
        </w:tc>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≈150 acres (reported); user-cited '≈150 feddan'</w:t>
            </w:r>
          </w:p>
        </w:tc>
        <w:tc>
          <w:tcPr>
            <w:tcW w:type="dxa" w:w="36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b/>
                <w:bCs/>
                <w:color w:val="1A1D3A"/>
                <w:sz w:val="16"/>
                <w:szCs w:val="16"/>
              </w:rPr>
              <w:t xml:space="preserve">Land area.</w:t>
            </w:r>
            <w:r>
              <w:rPr>
                <w:rFonts w:ascii="Calibri" w:cs="Calibri" w:eastAsia="Calibri" w:hAnsi="Calibri"/>
                <w:color w:val="1A1D3A"/>
                <w:sz w:val="16"/>
                <w:szCs w:val="16"/>
              </w:rPr>
              <w:t xml:space="preserve"> The sources we accessed say acres; 1 feddan ≈ 4,200 m² (≈1.04 acre), so 150 acres ≈ 60.7 ha and 150 feddans ≈ 63 ha. Unit to be confirmed with AIU</w:t>
            </w:r>
          </w:p>
        </w:tc>
        <w:tc>
          <w:tcPr>
            <w:tcW w:type="dxa" w:w="1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Not publicly verified (unit)</w:t>
            </w:r>
          </w:p>
        </w:tc>
        <w:tc>
          <w:tcPr>
            <w:tcW w:type="dxa" w:w="1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A1</w:t>
            </w:r>
          </w:p>
        </w:tc>
      </w:tr>
      <w:tr>
        <w:trPr>
          <w:cantSplit/>
        </w:trPr>
        <w:tc>
          <w:tcPr>
            <w:tcW w:type="dxa" w:w="15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BUA 263,020 m²</w:t>
            </w:r>
          </w:p>
        </w:tc>
        <w:tc>
          <w:tcPr>
            <w:tcW w:type="dxa" w:w="1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263,020 m²</w:t>
            </w:r>
          </w:p>
        </w:tc>
        <w:tc>
          <w:tcPr>
            <w:tcW w:type="dxa" w:w="36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Built-up area of </w:t>
            </w:r>
            <w:r>
              <w:rPr>
                <w:rFonts w:ascii="Calibri" w:cs="Calibri" w:eastAsia="Calibri" w:hAnsi="Calibri"/>
                <w:b/>
                <w:bCs/>
                <w:color w:val="1A1D3A"/>
                <w:sz w:val="16"/>
                <w:szCs w:val="16"/>
              </w:rPr>
              <w:t xml:space="preserve">REDCON's contract scope</w:t>
            </w:r>
            <w:r>
              <w:rPr>
                <w:rFonts w:ascii="Calibri" w:cs="Calibri" w:eastAsia="Calibri" w:hAnsi="Calibri"/>
                <w:color w:val="1A1D3A"/>
                <w:sz w:val="16"/>
                <w:szCs w:val="16"/>
              </w:rPr>
              <w:t xml:space="preserve">: construction &amp; finishes (Arch &amp; MEP) of 4 educational + 2 housing buildings. Listed 'on-going' on REDCON's site (page © 2023)</w:t>
            </w:r>
          </w:p>
        </w:tc>
        <w:tc>
          <w:tcPr>
            <w:tcW w:type="dxa" w:w="1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Contractor-stated; operational share not verified</w:t>
            </w:r>
          </w:p>
        </w:tc>
        <w:tc>
          <w:tcPr>
            <w:tcW w:type="dxa" w:w="1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A3</w:t>
            </w:r>
          </w:p>
        </w:tc>
      </w:tr>
      <w:tr>
        <w:trPr>
          <w:cantSplit/>
        </w:trPr>
        <w:tc>
          <w:tcPr>
            <w:tcW w:type="dxa" w:w="1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BUA 174,000 m²</w:t>
            </w:r>
          </w:p>
        </w:tc>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174,000 m²</w:t>
            </w:r>
          </w:p>
        </w:tc>
        <w:tc>
          <w:tcPr>
            <w:tcW w:type="dxa" w:w="36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BUA of </w:t>
            </w:r>
            <w:r>
              <w:rPr>
                <w:rFonts w:ascii="Calibri" w:cs="Calibri" w:eastAsia="Calibri" w:hAnsi="Calibri"/>
                <w:b/>
                <w:bCs/>
                <w:color w:val="1A1D3A"/>
                <w:sz w:val="16"/>
                <w:szCs w:val="16"/>
              </w:rPr>
              <w:t xml:space="preserve">SIAC's package</w:t>
            </w:r>
            <w:r>
              <w:rPr>
                <w:rFonts w:ascii="Calibri" w:cs="Calibri" w:eastAsia="Calibri" w:hAnsi="Calibri"/>
                <w:color w:val="1A1D3A"/>
                <w:sz w:val="16"/>
                <w:szCs w:val="16"/>
              </w:rPr>
              <w:t xml:space="preserve"> ('first stage of the second sector'): Faculty of Arts &amp; Design, Central Library, Student Services, Postgraduate, Administration, Conference Hall, Services + basement</w:t>
            </w:r>
          </w:p>
        </w:tc>
        <w:tc>
          <w:tcPr>
            <w:tcW w:type="dxa" w:w="1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Contractor-stated; one package</w:t>
            </w:r>
          </w:p>
        </w:tc>
        <w:tc>
          <w:tcPr>
            <w:tcW w:type="dxa" w:w="1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A2</w:t>
            </w:r>
          </w:p>
        </w:tc>
      </w:tr>
      <w:tr>
        <w:trPr>
          <w:cantSplit/>
        </w:trPr>
        <w:tc>
          <w:tcPr>
            <w:tcW w:type="dxa" w:w="15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BUA 100,390 m²</w:t>
            </w:r>
          </w:p>
        </w:tc>
        <w:tc>
          <w:tcPr>
            <w:tcW w:type="dxa" w:w="1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100,390 m²</w:t>
            </w:r>
          </w:p>
        </w:tc>
        <w:tc>
          <w:tcPr>
            <w:tcW w:type="dxa" w:w="36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REC Consultants gives this for the </w:t>
            </w:r>
            <w:r>
              <w:rPr>
                <w:rFonts w:ascii="Calibri" w:cs="Calibri" w:eastAsia="Calibri" w:hAnsi="Calibri"/>
                <w:b/>
                <w:bCs/>
                <w:color w:val="1A1D3A"/>
                <w:sz w:val="16"/>
                <w:szCs w:val="16"/>
              </w:rPr>
              <w:t xml:space="preserve">same building list as SIAC</w:t>
            </w:r>
            <w:r>
              <w:rPr>
                <w:rFonts w:ascii="Calibri" w:cs="Calibri" w:eastAsia="Calibri" w:hAnsi="Calibri"/>
                <w:color w:val="1A1D3A"/>
                <w:sz w:val="16"/>
                <w:szCs w:val="16"/>
              </w:rPr>
              <w:t xml:space="preserve">. Conflicts with 174,000 m² — unreconciled</w:t>
            </w:r>
          </w:p>
        </w:tc>
        <w:tc>
          <w:tcPr>
            <w:tcW w:type="dxa" w:w="1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Discrepancy</w:t>
            </w:r>
          </w:p>
        </w:tc>
        <w:tc>
          <w:tcPr>
            <w:tcW w:type="dxa" w:w="1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A4</w:t>
            </w:r>
          </w:p>
        </w:tc>
      </w:tr>
      <w:tr>
        <w:trPr>
          <w:cantSplit/>
        </w:trPr>
        <w:tc>
          <w:tcPr>
            <w:tcW w:type="dxa" w:w="1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Phases</w:t>
            </w:r>
          </w:p>
        </w:tc>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3 phases</w:t>
            </w:r>
          </w:p>
        </w:tc>
        <w:tc>
          <w:tcPr>
            <w:tcW w:type="dxa" w:w="36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Redcon phase 1; SIAC phase 2; planned phase 3 = 3 buildings + a major hospital (2018 report)</w:t>
            </w:r>
          </w:p>
        </w:tc>
        <w:tc>
          <w:tcPr>
            <w:tcW w:type="dxa" w:w="1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Phase 3 not quantified</w:t>
            </w:r>
          </w:p>
        </w:tc>
        <w:tc>
          <w:tcPr>
            <w:tcW w:type="dxa" w:w="1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A5</w:t>
            </w:r>
          </w:p>
        </w:tc>
      </w:tr>
      <w:tr>
        <w:trPr>
          <w:cantSplit/>
        </w:trPr>
        <w:tc>
          <w:tcPr>
            <w:tcW w:type="dxa" w:w="15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Facilities listed</w:t>
            </w:r>
          </w:p>
        </w:tc>
        <w:tc>
          <w:tcPr>
            <w:tcW w:type="dxa" w:w="1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10 faculty buildings; 4 accommodation towers; central library; administration; university + dentistry hospitals; sports/entertainment area; outdoor theatre; 9 residential buildings outside the campus</w:t>
            </w:r>
          </w:p>
        </w:tc>
        <w:tc>
          <w:tcPr>
            <w:tcW w:type="dxa" w:w="36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Programme description of the campus</w:t>
            </w:r>
          </w:p>
        </w:tc>
        <w:tc>
          <w:tcPr>
            <w:tcW w:type="dxa" w:w="1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Reported (secondary)</w:t>
            </w:r>
          </w:p>
        </w:tc>
        <w:tc>
          <w:tcPr>
            <w:tcW w:type="dxa" w:w="1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A1</w:t>
            </w:r>
          </w:p>
        </w:tc>
      </w:tr>
      <w:tr>
        <w:trPr>
          <w:cantSplit/>
        </w:trPr>
        <w:tc>
          <w:tcPr>
            <w:tcW w:type="dxa" w:w="1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Current students</w:t>
            </w:r>
          </w:p>
        </w:tc>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w:t>
            </w:r>
          </w:p>
        </w:tc>
        <w:tc>
          <w:tcPr>
            <w:tcW w:type="dxa" w:w="36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w:t>
            </w:r>
          </w:p>
        </w:tc>
        <w:tc>
          <w:tcPr>
            <w:tcW w:type="dxa" w:w="1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b/>
                <w:bCs/>
                <w:color w:val="1A1D3A"/>
                <w:sz w:val="16"/>
                <w:szCs w:val="16"/>
              </w:rPr>
              <w:t xml:space="preserve">Not publicly verified</w:t>
            </w:r>
          </w:p>
        </w:tc>
        <w:tc>
          <w:tcPr>
            <w:tcW w:type="dxa" w:w="1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w:t>
            </w:r>
          </w:p>
        </w:tc>
      </w:tr>
      <w:tr>
        <w:trPr>
          <w:cantSplit/>
        </w:trPr>
        <w:tc>
          <w:tcPr>
            <w:tcW w:type="dxa" w:w="15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Planned capacity</w:t>
            </w:r>
          </w:p>
        </w:tc>
        <w:tc>
          <w:tcPr>
            <w:tcW w:type="dxa" w:w="1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≈15,000 students at full build-out</w:t>
            </w:r>
          </w:p>
        </w:tc>
        <w:tc>
          <w:tcPr>
            <w:tcW w:type="dxa" w:w="36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Master-plan designer statement (30-year plan)</w:t>
            </w:r>
          </w:p>
        </w:tc>
        <w:tc>
          <w:tcPr>
            <w:tcW w:type="dxa" w:w="1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PLANNED</w:t>
            </w:r>
          </w:p>
        </w:tc>
        <w:tc>
          <w:tcPr>
            <w:tcW w:type="dxa" w:w="1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A6</w:t>
            </w:r>
          </w:p>
        </w:tc>
      </w:tr>
    </w:tbl>
    <w:p>
      <w:pPr>
        <w:spacing w:after="60"/>
      </w:pPr>
    </w:p>
    <w:p>
      <w:pPr>
        <w:pStyle w:val="Heading3"/>
        <w:keepNext/>
        <w:spacing w:after="80" w:before="160"/>
      </w:pPr>
      <w:r>
        <w:rPr>
          <w:rFonts w:ascii="Calibri" w:cs="Calibri" w:eastAsia="Calibri" w:hAnsi="Calibri"/>
          <w:b/>
          <w:bCs/>
          <w:color w:val="12163A"/>
          <w:sz w:val="22"/>
          <w:szCs w:val="22"/>
        </w:rPr>
        <w:t xml:space="preserve">Current / under construction / planned</w:t>
      </w:r>
    </w:p>
    <w:p>
      <w:pPr>
        <w:pStyle w:val="ListParagraph"/>
        <w:numPr>
          <w:ilvl w:val="0"/>
          <w:numId w:val="3"/>
        </w:numPr>
        <w:spacing w:after="60" w:line="264"/>
      </w:pPr>
      <w:r>
        <w:rPr>
          <w:rFonts w:ascii="Calibri" w:cs="Calibri" w:eastAsia="Calibri" w:hAnsi="Calibri"/>
          <w:b/>
          <w:bCs/>
          <w:color w:val="1A1D3A"/>
          <w:sz w:val="21"/>
          <w:szCs w:val="21"/>
        </w:rPr>
        <w:t xml:space="preserve">CURRENT (operating):</w:t>
      </w:r>
      <w:r>
        <w:rPr>
          <w:rFonts w:ascii="Calibri" w:cs="Calibri" w:eastAsia="Calibri" w:hAnsi="Calibri"/>
          <w:color w:val="1A1D3A"/>
          <w:sz w:val="21"/>
          <w:szCs w:val="21"/>
        </w:rPr>
        <w:t xml:space="preserve"> AIU is open and teaching (faculties launched 2020–2024 per its public profile). The operating built-up area is </w:t>
      </w:r>
      <w:r>
        <w:rPr>
          <w:rFonts w:ascii="Calibri" w:cs="Calibri" w:eastAsia="Calibri" w:hAnsi="Calibri"/>
          <w:b/>
          <w:bCs/>
          <w:color w:val="1A1D3A"/>
          <w:sz w:val="21"/>
          <w:szCs w:val="21"/>
        </w:rPr>
        <w:t xml:space="preserve">not publicly verified</w:t>
      </w:r>
      <w:r>
        <w:rPr>
          <w:rFonts w:ascii="Calibri" w:cs="Calibri" w:eastAsia="Calibri" w:hAnsi="Calibri"/>
          <w:color w:val="1A1D3A"/>
          <w:sz w:val="21"/>
          <w:szCs w:val="21"/>
        </w:rPr>
        <w:t xml:space="preserve">; the contract packages above overlap the operating buildings but cannot be proven to equal them.</w:t>
      </w:r>
    </w:p>
    <w:p>
      <w:pPr>
        <w:pStyle w:val="ListParagraph"/>
        <w:numPr>
          <w:ilvl w:val="0"/>
          <w:numId w:val="3"/>
        </w:numPr>
        <w:spacing w:after="60" w:line="264"/>
      </w:pPr>
      <w:r>
        <w:rPr>
          <w:rFonts w:ascii="Calibri" w:cs="Calibri" w:eastAsia="Calibri" w:hAnsi="Calibri"/>
          <w:b/>
          <w:bCs/>
          <w:color w:val="1A1D3A"/>
          <w:sz w:val="21"/>
          <w:szCs w:val="21"/>
        </w:rPr>
        <w:t xml:space="preserve">UNDER CONSTRUCTION:</w:t>
      </w:r>
      <w:r>
        <w:rPr>
          <w:rFonts w:ascii="Calibri" w:cs="Calibri" w:eastAsia="Calibri" w:hAnsi="Calibri"/>
          <w:color w:val="1A1D3A"/>
          <w:sz w:val="21"/>
          <w:szCs w:val="21"/>
        </w:rPr>
        <w:t xml:space="preserve"> REDCON lists its project as 'on-going'; the planned third phase (three buildings + hospital) is not quantified.</w:t>
      </w:r>
    </w:p>
    <w:p>
      <w:pPr>
        <w:pStyle w:val="ListParagraph"/>
        <w:numPr>
          <w:ilvl w:val="0"/>
          <w:numId w:val="3"/>
        </w:numPr>
        <w:spacing w:after="60" w:line="264"/>
      </w:pPr>
      <w:r>
        <w:rPr>
          <w:rFonts w:ascii="Calibri" w:cs="Calibri" w:eastAsia="Calibri" w:hAnsi="Calibri"/>
          <w:b/>
          <w:bCs/>
          <w:color w:val="1A1D3A"/>
          <w:sz w:val="21"/>
          <w:szCs w:val="21"/>
        </w:rPr>
        <w:t xml:space="preserve">PLANNED / MASTER PLAN:</w:t>
      </w:r>
      <w:r>
        <w:rPr>
          <w:rFonts w:ascii="Calibri" w:cs="Calibri" w:eastAsia="Calibri" w:hAnsi="Calibri"/>
          <w:color w:val="1A1D3A"/>
          <w:sz w:val="21"/>
          <w:szCs w:val="21"/>
        </w:rPr>
        <w:t xml:space="preserve"> full build-out for ≈15,000 students; ≈150-acre land. These are never used as built-up area in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77700" w:sz="24"/>
              <w:bottom w:val="none" w:color="FFFFFF" w:sz="0"/>
              <w:right w:val="none" w:color="FFFFFF" w:sz="0"/>
            </w:tcBorders>
            <w:shd w:fill="FFF4E5" w:color="auto" w:val="clear"/>
            <w:tcMar>
              <w:top w:type="dxa" w:w="110"/>
              <w:left w:type="dxa" w:w="180"/>
              <w:bottom w:type="dxa" w:w="110"/>
              <w:right w:type="dxa" w:w="180"/>
            </w:tcMar>
          </w:tcPr>
          <w:p>
            <w:pPr>
              <w:spacing w:after="60"/>
            </w:pPr>
            <w:r>
              <w:rPr>
                <w:rFonts w:ascii="Calibri" w:cs="Calibri" w:eastAsia="Calibri" w:hAnsi="Calibri"/>
                <w:b/>
                <w:bCs/>
                <w:color w:val="C77700"/>
                <w:sz w:val="21"/>
                <w:szCs w:val="21"/>
              </w:rPr>
              <w:t xml:space="preserve">Modelling decision</w:t>
            </w:r>
          </w:p>
          <w:p>
            <w:pPr>
              <w:spacing w:after="50"/>
            </w:pPr>
            <w:r>
              <w:rPr>
                <w:rFonts w:ascii="Calibri" w:cs="Calibri" w:eastAsia="Calibri" w:hAnsi="Calibri"/>
                <w:color w:val="1A1D3A"/>
                <w:sz w:val="20"/>
                <w:szCs w:val="20"/>
              </w:rPr>
              <w:t xml:space="preserve">We use </w:t>
            </w:r>
            <w:r>
              <w:rPr>
                <w:rFonts w:ascii="Calibri" w:cs="Calibri" w:eastAsia="Calibri" w:hAnsi="Calibri"/>
                <w:b/>
                <w:bCs/>
                <w:color w:val="1A1D3A"/>
                <w:sz w:val="20"/>
                <w:szCs w:val="20"/>
              </w:rPr>
              <w:t xml:space="preserve">263,020 m²</w:t>
            </w:r>
            <w:r>
              <w:rPr>
                <w:rFonts w:ascii="Calibri" w:cs="Calibri" w:eastAsia="Calibri" w:hAnsi="Calibri"/>
                <w:color w:val="1A1D3A"/>
                <w:sz w:val="20"/>
                <w:szCs w:val="20"/>
              </w:rPr>
              <w:t xml:space="preserve"> (the larger single contractor-documented BUA) as the </w:t>
            </w:r>
            <w:r>
              <w:rPr>
                <w:rFonts w:ascii="Calibri" w:cs="Calibri" w:eastAsia="Calibri" w:hAnsi="Calibri"/>
                <w:b/>
                <w:bCs/>
                <w:color w:val="1A1D3A"/>
                <w:sz w:val="20"/>
                <w:szCs w:val="20"/>
              </w:rPr>
              <w:t xml:space="preserve">central reference area</w:t>
            </w:r>
            <w:r>
              <w:rPr>
                <w:rFonts w:ascii="Calibri" w:cs="Calibri" w:eastAsia="Calibri" w:hAnsi="Calibri"/>
                <w:color w:val="1A1D3A"/>
                <w:sz w:val="20"/>
                <w:szCs w:val="20"/>
              </w:rPr>
              <w:t xml:space="preserve">, with </w:t>
            </w:r>
            <w:r>
              <w:rPr>
                <w:rFonts w:ascii="Calibri" w:cs="Calibri" w:eastAsia="Calibri" w:hAnsi="Calibri"/>
                <w:b/>
                <w:bCs/>
                <w:color w:val="1A1D3A"/>
                <w:sz w:val="20"/>
                <w:szCs w:val="20"/>
              </w:rPr>
              <w:t xml:space="preserve">174,000 m²</w:t>
            </w:r>
            <w:r>
              <w:rPr>
                <w:rFonts w:ascii="Calibri" w:cs="Calibri" w:eastAsia="Calibri" w:hAnsi="Calibri"/>
                <w:color w:val="1A1D3A"/>
                <w:sz w:val="20"/>
                <w:szCs w:val="20"/>
              </w:rPr>
              <w:t xml:space="preserve"> as a lower sensitivity and </w:t>
            </w:r>
            <w:r>
              <w:rPr>
                <w:rFonts w:ascii="Calibri" w:cs="Calibri" w:eastAsia="Calibri" w:hAnsi="Calibri"/>
                <w:b/>
                <w:bCs/>
                <w:color w:val="1A1D3A"/>
                <w:sz w:val="20"/>
                <w:szCs w:val="20"/>
              </w:rPr>
              <w:t xml:space="preserve">437,020 m²</w:t>
            </w:r>
            <w:r>
              <w:rPr>
                <w:rFonts w:ascii="Calibri" w:cs="Calibri" w:eastAsia="Calibri" w:hAnsi="Calibri"/>
                <w:color w:val="1A1D3A"/>
                <w:sz w:val="20"/>
                <w:szCs w:val="20"/>
              </w:rPr>
              <w:t xml:space="preserve"> (263,020 + 174,000, assuming the two packages are additive — unverified) as an upper sensitivity. The first two are never added together in the central case. Replace with AIU's real metered/operational area as soon as it is available.</w:t>
            </w:r>
          </w:p>
        </w:tc>
      </w:tr>
    </w:tbl>
    <w:p>
      <w:pPr>
        <w:pStyle w:val="Heading1"/>
        <w:pBdr>
          <w:bottom w:val="single" w:color="B0202A" w:sz="8" w:space="4"/>
        </w:pBdr>
        <w:spacing w:after="160" w:before="360"/>
      </w:pPr>
      <w:r>
        <w:rPr>
          <w:rFonts w:ascii="Calibri" w:cs="Calibri" w:eastAsia="Calibri" w:hAnsi="Calibri"/>
          <w:b/>
          <w:bCs/>
          <w:color w:val="12163A"/>
          <w:sz w:val="34"/>
          <w:szCs w:val="34"/>
        </w:rPr>
        <w:t xml:space="preserve">6. Estimated AIU baseline energy (Method A — energy-use intensity)</w:t>
      </w:r>
    </w:p>
    <w:p>
      <w:pPr>
        <w:spacing w:after="120" w:line="276"/>
      </w:pPr>
      <w:r>
        <w:rPr>
          <w:rFonts w:ascii="Calibri" w:cs="Calibri" w:eastAsia="Calibri" w:hAnsi="Calibri"/>
          <w:b/>
          <w:bCs/>
          <w:color w:val="1A1D3A"/>
          <w:sz w:val="21"/>
          <w:szCs w:val="21"/>
        </w:rPr>
        <w:t xml:space="preserve">Annual energy = built-up area × EUI.</w:t>
      </w:r>
      <w:r>
        <w:rPr>
          <w:rFonts w:ascii="Calibri" w:cs="Calibri" w:eastAsia="Calibri" w:hAnsi="Calibri"/>
          <w:color w:val="1A1D3A"/>
          <w:sz w:val="21"/>
          <w:szCs w:val="21"/>
        </w:rPr>
        <w:t xml:space="preserve">  Conversion: 1 GWh = 1,000 MWh = 1,000,000 kWh. This is a </w:t>
      </w:r>
      <w:r>
        <w:rPr>
          <w:rFonts w:ascii="Calibri" w:cs="Calibri" w:eastAsia="Calibri" w:hAnsi="Calibri"/>
          <w:b/>
          <w:bCs/>
          <w:color w:val="1A1D3A"/>
          <w:sz w:val="21"/>
          <w:szCs w:val="21"/>
        </w:rPr>
        <w:t xml:space="preserve">benchmark-based estimated baseline, not actual AIU consumption.</w:t>
      </w:r>
    </w:p>
    <w:p>
      <w:pPr>
        <w:pStyle w:val="Heading3"/>
        <w:keepNext/>
        <w:spacing w:after="80" w:before="160"/>
      </w:pPr>
      <w:r>
        <w:rPr>
          <w:rFonts w:ascii="Calibri" w:cs="Calibri" w:eastAsia="Calibri" w:hAnsi="Calibri"/>
          <w:b/>
          <w:bCs/>
          <w:color w:val="12163A"/>
          <w:sz w:val="22"/>
          <w:szCs w:val="22"/>
        </w:rPr>
        <w:t xml:space="preserve">EUI selection (electricity, hot-climate educational buildings)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5338"/>
        <w:gridCol w:w="1200"/>
      </w:tblGrid>
      <w:tr>
        <w:trPr>
          <w:cantSplit/>
          <w:tblHeader/>
        </w:trPr>
        <w:tc>
          <w:tcPr>
            <w:tcW w:type="dxa" w:w="15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Case</w:t>
            </w:r>
          </w:p>
        </w:tc>
        <w:tc>
          <w:tcPr>
            <w:tcW w:type="dxa" w:w="16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EUI (kWh/m²·yr)</w:t>
            </w:r>
          </w:p>
        </w:tc>
        <w:tc>
          <w:tcPr>
            <w:tcW w:type="dxa" w:w="5338"/>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Anchors (from S14 unless noted)</w:t>
            </w:r>
          </w:p>
        </w:tc>
        <w:tc>
          <w:tcPr>
            <w:tcW w:type="dxa" w:w="12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Confidence</w:t>
            </w:r>
          </w:p>
        </w:tc>
      </w:tr>
      <w:tr>
        <w:trPr>
          <w:cantSplit/>
        </w:trPr>
        <w:tc>
          <w:tcPr>
            <w:tcW w:type="dxa" w:w="1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Low</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130</w:t>
            </w:r>
          </w:p>
        </w:tc>
        <w:tc>
          <w:tcPr>
            <w:tcW w:type="dxa" w:w="53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Roraima Univ. (Brazil, CDD≈3,316) administrative 132; Al-Rajhi 145–155 would be above this</w:t>
            </w:r>
          </w:p>
        </w:tc>
        <w:tc>
          <w:tcPr>
            <w:tcW w:type="dxa" w:w="1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MEDIUM</w:t>
            </w:r>
          </w:p>
        </w:tc>
      </w:tr>
      <w:tr>
        <w:trPr>
          <w:cantSplit/>
        </w:trPr>
        <w:tc>
          <w:tcPr>
            <w:tcW w:type="dxa" w:w="15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Mid (central)</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165</w:t>
            </w:r>
          </w:p>
        </w:tc>
        <w:tc>
          <w:tcPr>
            <w:tcW w:type="dxa" w:w="53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University of Sharjah ≈165; Dammam 167–217; Al-Rajhi (Saudi) 145–155</w:t>
            </w:r>
          </w:p>
        </w:tc>
        <w:tc>
          <w:tcPr>
            <w:tcW w:type="dxa" w:w="1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MEDIUM</w:t>
            </w:r>
          </w:p>
        </w:tc>
      </w:tr>
      <w:tr>
        <w:trPr>
          <w:cantSplit/>
        </w:trPr>
        <w:tc>
          <w:tcPr>
            <w:tcW w:type="dxa" w:w="1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High</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215</w:t>
            </w:r>
          </w:p>
        </w:tc>
        <w:tc>
          <w:tcPr>
            <w:tcW w:type="dxa" w:w="53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Dammam upper bound 217; US college median ≈266 kWh/m² incl. heating fuels (S15) is a cross-check</w:t>
            </w:r>
          </w:p>
        </w:tc>
        <w:tc>
          <w:tcPr>
            <w:tcW w:type="dxa" w:w="1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LOW–MEDIUM</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279"/>
        <w:gridCol w:w="2280"/>
        <w:gridCol w:w="2279"/>
      </w:tblGrid>
      <w:tr>
        <w:trPr>
          <w:cantSplit/>
          <w:tblHeader/>
        </w:trPr>
        <w:tc>
          <w:tcPr>
            <w:tcW w:type="dxa" w:w="28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BUA case</w:t>
            </w:r>
          </w:p>
        </w:tc>
        <w:tc>
          <w:tcPr>
            <w:tcW w:type="dxa" w:w="2279"/>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Low 130</w:t>
            </w:r>
          </w:p>
        </w:tc>
        <w:tc>
          <w:tcPr>
            <w:tcW w:type="dxa" w:w="228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Mid 165</w:t>
            </w:r>
          </w:p>
        </w:tc>
        <w:tc>
          <w:tcPr>
            <w:tcW w:type="dxa" w:w="2279"/>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High 215</w:t>
            </w:r>
          </w:p>
        </w:tc>
      </w:tr>
      <w:tr>
        <w:trPr>
          <w:cantSplit/>
        </w:trPr>
        <w:tc>
          <w:tcPr>
            <w:tcW w:type="dxa" w:w="2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174,000 m² (SIAC package)</w:t>
            </w:r>
          </w:p>
        </w:tc>
        <w:tc>
          <w:tcPr>
            <w:tcW w:type="dxa" w:w="227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22,620,000 kWh = 22.62 GWh</w:t>
            </w:r>
          </w:p>
        </w:tc>
        <w:tc>
          <w:tcPr>
            <w:tcW w:type="dxa" w:w="228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28,710,000 kWh = 28.71 GWh</w:t>
            </w:r>
          </w:p>
        </w:tc>
        <w:tc>
          <w:tcPr>
            <w:tcW w:type="dxa" w:w="227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37,410,000 kWh = 37.41 GWh</w:t>
            </w:r>
          </w:p>
        </w:tc>
      </w:tr>
      <w:tr>
        <w:trPr>
          <w:cantSplit/>
        </w:trPr>
        <w:tc>
          <w:tcPr>
            <w:tcW w:type="dxa" w:w="2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b/>
                <w:bCs/>
                <w:color w:val="1A1D3A"/>
                <w:sz w:val="17"/>
                <w:szCs w:val="17"/>
              </w:rPr>
              <w:t xml:space="preserve">263,020 m² (REDCON; central)</w:t>
            </w:r>
          </w:p>
        </w:tc>
        <w:tc>
          <w:tcPr>
            <w:tcW w:type="dxa" w:w="2279"/>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34,192,600 kWh = 34.19 GWh</w:t>
            </w:r>
          </w:p>
        </w:tc>
        <w:tc>
          <w:tcPr>
            <w:tcW w:type="dxa" w:w="228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b/>
                <w:bCs/>
                <w:color w:val="1A1D3A"/>
                <w:sz w:val="17"/>
                <w:szCs w:val="17"/>
              </w:rPr>
              <w:t xml:space="preserve">43,398,300 kWh = 43,398 MWh = 43.40 GWh</w:t>
            </w:r>
          </w:p>
        </w:tc>
        <w:tc>
          <w:tcPr>
            <w:tcW w:type="dxa" w:w="2279"/>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56,549,300 kWh = 56.55 GWh</w:t>
            </w:r>
          </w:p>
        </w:tc>
      </w:tr>
      <w:tr>
        <w:trPr>
          <w:cantSplit/>
        </w:trPr>
        <w:tc>
          <w:tcPr>
            <w:tcW w:type="dxa" w:w="2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437,020 m² (sum, unverified)</w:t>
            </w:r>
          </w:p>
        </w:tc>
        <w:tc>
          <w:tcPr>
            <w:tcW w:type="dxa" w:w="227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56,812,600 kWh = 56.81 GWh</w:t>
            </w:r>
          </w:p>
        </w:tc>
        <w:tc>
          <w:tcPr>
            <w:tcW w:type="dxa" w:w="228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72,108,300 kWh = 72.11 GWh</w:t>
            </w:r>
          </w:p>
        </w:tc>
        <w:tc>
          <w:tcPr>
            <w:tcW w:type="dxa" w:w="227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93,959,300 kWh = 93.96 GWh</w:t>
            </w:r>
          </w:p>
        </w:tc>
      </w:tr>
    </w:tbl>
    <w:p>
      <w:pPr>
        <w:spacing w:after="60"/>
      </w:pPr>
    </w:p>
    <w:p>
      <w:pPr>
        <w:spacing w:after="120" w:line="276"/>
      </w:pPr>
      <w:r>
        <w:rPr>
          <w:rFonts w:ascii="Calibri" w:cs="Calibri" w:eastAsia="Calibri" w:hAnsi="Calibri"/>
          <w:color w:val="1A1D3A"/>
          <w:sz w:val="21"/>
          <w:szCs w:val="21"/>
        </w:rPr>
        <w:t xml:space="preserve">The central baseline of </w:t>
      </w:r>
      <w:r>
        <w:rPr>
          <w:rFonts w:ascii="Calibri" w:cs="Calibri" w:eastAsia="Calibri" w:hAnsi="Calibri"/>
          <w:b/>
          <w:bCs/>
          <w:color w:val="1A1D3A"/>
          <w:sz w:val="21"/>
          <w:szCs w:val="21"/>
        </w:rPr>
        <w:t xml:space="preserve">43.4 GWh/yr</w:t>
      </w:r>
      <w:r>
        <w:rPr>
          <w:rFonts w:ascii="Calibri" w:cs="Calibri" w:eastAsia="Calibri" w:hAnsi="Calibri"/>
          <w:color w:val="1A1D3A"/>
          <w:sz w:val="21"/>
          <w:szCs w:val="21"/>
        </w:rPr>
        <w:t xml:space="preserve"> is an order-of-magnitude planning figure. AIU's real consumption may differ materially (hospital loads, central plant, partial occupancy, New Alamein's Mediterranean coastal climate versus Gulf climates).</w:t>
      </w:r>
    </w:p>
    <w:p>
      <w:pPr>
        <w:pStyle w:val="Heading1"/>
        <w:pBdr>
          <w:bottom w:val="single" w:color="B0202A" w:sz="8" w:space="4"/>
        </w:pBdr>
        <w:spacing w:after="160" w:before="360"/>
      </w:pPr>
      <w:r>
        <w:rPr>
          <w:rFonts w:ascii="Calibri" w:cs="Calibri" w:eastAsia="Calibri" w:hAnsi="Calibri"/>
          <w:b/>
          <w:bCs/>
          <w:color w:val="12163A"/>
          <w:sz w:val="34"/>
          <w:szCs w:val="34"/>
        </w:rPr>
        <w:t xml:space="preserve">7. Scenario model</w:t>
      </w:r>
    </w:p>
    <w:p>
      <w:pPr>
        <w:spacing w:after="120" w:line="276"/>
      </w:pPr>
      <w:r>
        <w:rPr>
          <w:rFonts w:ascii="Calibri" w:cs="Calibri" w:eastAsia="Calibri" w:hAnsi="Calibri"/>
          <w:color w:val="1A1D3A"/>
          <w:sz w:val="21"/>
          <w:szCs w:val="21"/>
        </w:rPr>
        <w:t xml:space="preserve">Rather than one number, three scenarios combine three factors. </w:t>
      </w:r>
      <w:r>
        <w:rPr>
          <w:rFonts w:ascii="Calibri" w:cs="Calibri" w:eastAsia="Calibri" w:hAnsi="Calibri"/>
          <w:b/>
          <w:bCs/>
          <w:color w:val="1A1D3A"/>
          <w:sz w:val="21"/>
          <w:szCs w:val="21"/>
        </w:rPr>
        <w:t xml:space="preserve">Annual saved = Baseline × Controllable share × Automation coverage × Saving rate on controlled loads.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3638"/>
        <w:gridCol w:w="1000"/>
      </w:tblGrid>
      <w:tr>
        <w:trPr>
          <w:cantSplit/>
          <w:tblHeader/>
        </w:trPr>
        <w:tc>
          <w:tcPr>
            <w:tcW w:type="dxa" w:w="2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Factor</w:t>
            </w:r>
          </w:p>
        </w:tc>
        <w:tc>
          <w:tcPr>
            <w:tcW w:type="dxa" w:w="1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Conservative</w:t>
            </w:r>
          </w:p>
        </w:tc>
        <w:tc>
          <w:tcPr>
            <w:tcW w:type="dxa" w:w="1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Moderate</w:t>
            </w:r>
          </w:p>
        </w:tc>
        <w:tc>
          <w:tcPr>
            <w:tcW w:type="dxa" w:w="1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High-impact</w:t>
            </w:r>
          </w:p>
        </w:tc>
        <w:tc>
          <w:tcPr>
            <w:tcW w:type="dxa" w:w="3638"/>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Evidence / reasoning</w:t>
            </w:r>
          </w:p>
        </w:tc>
        <w:tc>
          <w:tcPr>
            <w:tcW w:type="dxa" w:w="1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Confidence</w:t>
            </w:r>
          </w:p>
        </w:tc>
      </w:tr>
      <w:tr>
        <w:trPr>
          <w:cantSplit/>
        </w:trPr>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Controllable share of total electricity</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50%</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60%</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70%</w:t>
            </w:r>
          </w:p>
        </w:tc>
        <w:tc>
          <w:tcPr>
            <w:tcW w:type="dxa" w:w="36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Lighting, HVAC and plug loads that follow occupancy/schedule; excludes lifts, pumps, labs' critical loads, IT, hospital equipment. Cooling ≈70% of electricity in hot-climate campuses (search extract) supports a majority share</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LOW</w:t>
            </w:r>
          </w:p>
        </w:tc>
      </w:tr>
      <w:tr>
        <w:trPr>
          <w:cantSplit/>
        </w:trPr>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Automation coverage (share of controllable load actually under the system)</w:t>
            </w:r>
          </w:p>
        </w:tc>
        <w:tc>
          <w:tcPr>
            <w:tcW w:type="dxa" w:w="1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50%</w:t>
            </w:r>
          </w:p>
        </w:tc>
        <w:tc>
          <w:tcPr>
            <w:tcW w:type="dxa" w:w="1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70%</w:t>
            </w:r>
          </w:p>
        </w:tc>
        <w:tc>
          <w:tcPr>
            <w:tcW w:type="dxa" w:w="1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90%</w:t>
            </w:r>
          </w:p>
        </w:tc>
        <w:tc>
          <w:tcPr>
            <w:tcW w:type="dxa" w:w="36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A </w:t>
            </w:r>
            <w:r>
              <w:rPr>
                <w:rFonts w:ascii="Calibri" w:cs="Calibri" w:eastAsia="Calibri" w:hAnsi="Calibri"/>
                <w:b/>
                <w:bCs/>
                <w:color w:val="1A1D3A"/>
                <w:sz w:val="16"/>
                <w:szCs w:val="16"/>
              </w:rPr>
              <w:t xml:space="preserve">deployment/design target</w:t>
            </w:r>
            <w:r>
              <w:rPr>
                <w:rFonts w:ascii="Calibri" w:cs="Calibri" w:eastAsia="Calibri" w:hAnsi="Calibri"/>
                <w:color w:val="1A1D3A"/>
                <w:sz w:val="16"/>
                <w:szCs w:val="16"/>
              </w:rPr>
              <w:t xml:space="preserve">, not evidence. Depends on sensor, actuator and metering rollout</w:t>
            </w:r>
          </w:p>
        </w:tc>
        <w:tc>
          <w:tcPr>
            <w:tcW w:type="dxa" w:w="1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LOW (target)</w:t>
            </w:r>
          </w:p>
        </w:tc>
      </w:tr>
      <w:tr>
        <w:trPr>
          <w:cantSplit/>
        </w:trPr>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Saving rate on controlled loads</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10%</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18%</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28%</w:t>
            </w:r>
          </w:p>
        </w:tc>
        <w:tc>
          <w:tcPr>
            <w:tcW w:type="dxa" w:w="36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b/>
                <w:bCs/>
                <w:color w:val="1A1D3A"/>
                <w:sz w:val="16"/>
                <w:szCs w:val="16"/>
              </w:rPr>
              <w:t xml:space="preserve">10%:</w:t>
            </w:r>
            <w:r>
              <w:rPr>
                <w:rFonts w:ascii="Calibri" w:cs="Calibri" w:eastAsia="Calibri" w:hAnsi="Calibri"/>
                <w:color w:val="1A1D3A"/>
                <w:sz w:val="16"/>
                <w:szCs w:val="16"/>
              </w:rPr>
              <w:t xml:space="preserve"> LBNL median 9% (FDD), ACEEE education 11%.  </w:t>
            </w:r>
            <w:r>
              <w:rPr>
                <w:rFonts w:ascii="Calibri" w:cs="Calibri" w:eastAsia="Calibri" w:hAnsi="Calibri"/>
                <w:b/>
                <w:bCs/>
                <w:color w:val="1A1D3A"/>
                <w:sz w:val="16"/>
                <w:szCs w:val="16"/>
              </w:rPr>
              <w:t xml:space="preserve">18%:</w:t>
            </w:r>
            <w:r>
              <w:rPr>
                <w:rFonts w:ascii="Calibri" w:cs="Calibri" w:eastAsia="Calibri" w:hAnsi="Calibri"/>
                <w:color w:val="1A1D3A"/>
                <w:sz w:val="16"/>
                <w:szCs w:val="16"/>
              </w:rPr>
              <w:t xml:space="preserve"> Pace ≈18%, CMU/DOE target 20%, Crete &gt;20%.  </w:t>
            </w:r>
            <w:r>
              <w:rPr>
                <w:rFonts w:ascii="Calibri" w:cs="Calibri" w:eastAsia="Calibri" w:hAnsi="Calibri"/>
                <w:b/>
                <w:bCs/>
                <w:color w:val="1A1D3A"/>
                <w:sz w:val="16"/>
                <w:szCs w:val="16"/>
              </w:rPr>
              <w:t xml:space="preserve">28%:</w:t>
            </w:r>
            <w:r>
              <w:rPr>
                <w:rFonts w:ascii="Calibri" w:cs="Calibri" w:eastAsia="Calibri" w:hAnsi="Calibri"/>
                <w:color w:val="1A1D3A"/>
                <w:sz w:val="16"/>
                <w:szCs w:val="16"/>
              </w:rPr>
              <w:t xml:space="preserve"> Korea measured 27.9% (cooling) – 32.4% (lighting) and dorm 28.2%</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MEDIUM</w:t>
            </w:r>
          </w:p>
        </w:tc>
      </w:tr>
    </w:tbl>
    <w:p>
      <w:pPr>
        <w:spacing w:after="60"/>
      </w:pPr>
    </w:p>
    <w:p>
      <w:pPr>
        <w:pStyle w:val="Heading3"/>
        <w:keepNext/>
        <w:spacing w:after="80" w:before="160"/>
      </w:pPr>
      <w:r>
        <w:rPr>
          <w:rFonts w:ascii="Calibri" w:cs="Calibri" w:eastAsia="Calibri" w:hAnsi="Calibri"/>
          <w:b/>
          <w:bCs/>
          <w:color w:val="12163A"/>
          <w:sz w:val="22"/>
          <w:szCs w:val="22"/>
        </w:rPr>
        <w:t xml:space="preserve">Why not 30% (or more)?</w:t>
      </w:r>
    </w:p>
    <w:p>
      <w:pPr>
        <w:pStyle w:val="ListParagraph"/>
        <w:numPr>
          <w:ilvl w:val="0"/>
          <w:numId w:val="3"/>
        </w:numPr>
        <w:spacing w:after="60" w:line="264"/>
      </w:pPr>
      <w:r>
        <w:rPr>
          <w:rFonts w:ascii="Calibri" w:cs="Calibri" w:eastAsia="Calibri" w:hAnsi="Calibri"/>
          <w:color w:val="1A1D3A"/>
          <w:sz w:val="21"/>
          <w:szCs w:val="21"/>
        </w:rPr>
        <w:t xml:space="preserve">30%+ end-use savings were measured for </w:t>
      </w:r>
      <w:r>
        <w:rPr>
          <w:rFonts w:ascii="Calibri" w:cs="Calibri" w:eastAsia="Calibri" w:hAnsi="Calibri"/>
          <w:b/>
          <w:bCs/>
          <w:color w:val="1A1D3A"/>
          <w:sz w:val="21"/>
          <w:szCs w:val="21"/>
        </w:rPr>
        <w:t xml:space="preserve">specific end-uses over weeks</w:t>
      </w:r>
      <w:r>
        <w:rPr>
          <w:rFonts w:ascii="Calibri" w:cs="Calibri" w:eastAsia="Calibri" w:hAnsi="Calibri"/>
          <w:color w:val="1A1D3A"/>
          <w:sz w:val="21"/>
          <w:szCs w:val="21"/>
        </w:rPr>
        <w:t xml:space="preserve"> (S1) or in </w:t>
      </w:r>
      <w:r>
        <w:rPr>
          <w:rFonts w:ascii="Calibri" w:cs="Calibri" w:eastAsia="Calibri" w:hAnsi="Calibri"/>
          <w:b/>
          <w:bCs/>
          <w:color w:val="1A1D3A"/>
          <w:sz w:val="21"/>
          <w:szCs w:val="21"/>
        </w:rPr>
        <w:t xml:space="preserve">whole-building retrofits including HVAC plant/controls changes</w:t>
      </w:r>
      <w:r>
        <w:rPr>
          <w:rFonts w:ascii="Calibri" w:cs="Calibri" w:eastAsia="Calibri" w:hAnsi="Calibri"/>
          <w:color w:val="1A1D3A"/>
          <w:sz w:val="21"/>
          <w:szCs w:val="21"/>
        </w:rPr>
        <w:t xml:space="preserve"> (S2: 34%), and 51–61% for lab ventilation redesign. None is a sustained campus-wide result from non-critical-load automation.</w:t>
      </w:r>
    </w:p>
    <w:p>
      <w:pPr>
        <w:pStyle w:val="ListParagraph"/>
        <w:numPr>
          <w:ilvl w:val="0"/>
          <w:numId w:val="3"/>
        </w:numPr>
        <w:spacing w:after="60" w:line="264"/>
      </w:pPr>
      <w:r>
        <w:rPr>
          <w:rFonts w:ascii="Calibri" w:cs="Calibri" w:eastAsia="Calibri" w:hAnsi="Calibri"/>
          <w:color w:val="1A1D3A"/>
          <w:sz w:val="21"/>
          <w:szCs w:val="21"/>
        </w:rPr>
        <w:t xml:space="preserve">Campus-/portfolio-level evidence clusters at </w:t>
      </w:r>
      <w:r>
        <w:rPr>
          <w:rFonts w:ascii="Calibri" w:cs="Calibri" w:eastAsia="Calibri" w:hAnsi="Calibri"/>
          <w:b/>
          <w:bCs/>
          <w:color w:val="1A1D3A"/>
          <w:sz w:val="21"/>
          <w:szCs w:val="21"/>
        </w:rPr>
        <w:t xml:space="preserve">≈9–20%</w:t>
      </w:r>
      <w:r>
        <w:rPr>
          <w:rFonts w:ascii="Calibri" w:cs="Calibri" w:eastAsia="Calibri" w:hAnsi="Calibri"/>
          <w:color w:val="1A1D3A"/>
          <w:sz w:val="21"/>
          <w:szCs w:val="21"/>
        </w:rPr>
        <w:t xml:space="preserve"> (S6, S12, S13). The High-impact case therefore applies 28% only to </w:t>
      </w:r>
      <w:r>
        <w:rPr>
          <w:rFonts w:ascii="Calibri" w:cs="Calibri" w:eastAsia="Calibri" w:hAnsi="Calibri"/>
          <w:b/>
          <w:bCs/>
          <w:color w:val="1A1D3A"/>
          <w:sz w:val="21"/>
          <w:szCs w:val="21"/>
        </w:rPr>
        <w:t xml:space="preserve">controlled</w:t>
      </w:r>
      <w:r>
        <w:rPr>
          <w:rFonts w:ascii="Calibri" w:cs="Calibri" w:eastAsia="Calibri" w:hAnsi="Calibri"/>
          <w:color w:val="1A1D3A"/>
          <w:sz w:val="21"/>
          <w:szCs w:val="21"/>
        </w:rPr>
        <w:t xml:space="preserve"> loads and only with 90% coverage.</w:t>
      </w:r>
    </w:p>
    <w:p>
      <w:pPr>
        <w:pStyle w:val="ListParagraph"/>
        <w:numPr>
          <w:ilvl w:val="0"/>
          <w:numId w:val="3"/>
        </w:numPr>
        <w:spacing w:after="60" w:line="264"/>
      </w:pPr>
      <w:r>
        <w:rPr>
          <w:rFonts w:ascii="Calibri" w:cs="Calibri" w:eastAsia="Calibri" w:hAnsi="Calibri"/>
          <w:b/>
          <w:bCs/>
          <w:color w:val="1A1D3A"/>
          <w:sz w:val="21"/>
          <w:szCs w:val="21"/>
        </w:rPr>
        <w:t xml:space="preserve">Most defensible range for AIU:</w:t>
      </w:r>
      <w:r>
        <w:rPr>
          <w:rFonts w:ascii="Calibri" w:cs="Calibri" w:eastAsia="Calibri" w:hAnsi="Calibri"/>
          <w:color w:val="1A1D3A"/>
          <w:sz w:val="21"/>
          <w:szCs w:val="21"/>
        </w:rPr>
        <w:t xml:space="preserve"> Conservative to Moderate, i.e. </w:t>
      </w:r>
      <w:r>
        <w:rPr>
          <w:rFonts w:ascii="Calibri" w:cs="Calibri" w:eastAsia="Calibri" w:hAnsi="Calibri"/>
          <w:b/>
          <w:bCs/>
          <w:color w:val="1A1D3A"/>
          <w:sz w:val="21"/>
          <w:szCs w:val="21"/>
        </w:rPr>
        <w:t xml:space="preserve">≈5–13% of controllable energy</w:t>
      </w:r>
      <w:r>
        <w:rPr>
          <w:rFonts w:ascii="Calibri" w:cs="Calibri" w:eastAsia="Calibri" w:hAnsi="Calibri"/>
          <w:color w:val="1A1D3A"/>
          <w:sz w:val="21"/>
          <w:szCs w:val="21"/>
        </w:rPr>
        <w:t xml:space="preserve"> (≈2.5–7.6% of total). High-impact is a stretch target contingent on real baseline data.</w:t>
      </w:r>
    </w:p>
    <w:p>
      <w:pPr>
        <w:pStyle w:val="Heading1"/>
        <w:pBdr>
          <w:bottom w:val="single" w:color="B0202A" w:sz="8" w:space="4"/>
        </w:pBdr>
        <w:spacing w:after="160" w:before="360"/>
      </w:pPr>
      <w:r>
        <w:rPr>
          <w:rFonts w:ascii="Calibri" w:cs="Calibri" w:eastAsia="Calibri" w:hAnsi="Calibri"/>
          <w:b/>
          <w:bCs/>
          <w:color w:val="12163A"/>
          <w:sz w:val="34"/>
          <w:szCs w:val="34"/>
        </w:rPr>
        <w:t xml:space="preserve">8. AIU savings results</w:t>
      </w:r>
    </w:p>
    <w:p>
      <w:pPr>
        <w:spacing w:after="120" w:line="276"/>
      </w:pPr>
      <w:r>
        <w:rPr>
          <w:rFonts w:ascii="Calibri" w:cs="Calibri" w:eastAsia="Calibri" w:hAnsi="Calibri"/>
          <w:color w:val="1A1D3A"/>
          <w:sz w:val="21"/>
          <w:szCs w:val="21"/>
        </w:rPr>
        <w:t xml:space="preserve">Reference case: 263,020 m² × 165 kWh/m²·yr = 43,398,300 kWh/yr. Five-year values assume flat annual savings from first full year (no ramp-up, degradation, area growth or tariff escalation).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2133"/>
        <w:gridCol w:w="2134"/>
        <w:gridCol w:w="2133"/>
      </w:tblGrid>
      <w:tr>
        <w:trPr>
          <w:cantSplit/>
          <w:tblHeader/>
        </w:trPr>
        <w:tc>
          <w:tcPr>
            <w:tcW w:type="dxa" w:w="3238"/>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p>
        </w:tc>
        <w:tc>
          <w:tcPr>
            <w:tcW w:type="dxa" w:w="2133"/>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Conservative</w:t>
            </w:r>
          </w:p>
        </w:tc>
        <w:tc>
          <w:tcPr>
            <w:tcW w:type="dxa" w:w="2134"/>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Moderate</w:t>
            </w:r>
          </w:p>
        </w:tc>
        <w:tc>
          <w:tcPr>
            <w:tcW w:type="dxa" w:w="2133"/>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High-impact</w:t>
            </w:r>
          </w:p>
        </w:tc>
      </w:tr>
      <w:tr>
        <w:trPr>
          <w:cantSplit/>
        </w:trPr>
        <w:tc>
          <w:tcPr>
            <w:tcW w:type="dxa" w:w="32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Controllable energy (kWh/yr)</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21,699,150</w:t>
            </w:r>
          </w:p>
        </w:tc>
        <w:tc>
          <w:tcPr>
            <w:tcW w:type="dxa" w:w="2134"/>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26,038,980</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30,378,810</w:t>
            </w:r>
          </w:p>
        </w:tc>
      </w:tr>
      <w:tr>
        <w:trPr>
          <w:cantSplit/>
        </w:trPr>
        <w:tc>
          <w:tcPr>
            <w:tcW w:type="dxa" w:w="32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Under system control (kWh/yr)</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10,849,575</w:t>
            </w:r>
          </w:p>
        </w:tc>
        <w:tc>
          <w:tcPr>
            <w:tcW w:type="dxa" w:w="2134"/>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18,227,286</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27,340,929</w:t>
            </w:r>
          </w:p>
        </w:tc>
      </w:tr>
      <w:tr>
        <w:trPr>
          <w:cantSplit/>
        </w:trPr>
        <w:tc>
          <w:tcPr>
            <w:tcW w:type="dxa" w:w="32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Saving rate on controlled loads</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10%</w:t>
            </w:r>
          </w:p>
        </w:tc>
        <w:tc>
          <w:tcPr>
            <w:tcW w:type="dxa" w:w="2134"/>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18%</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28%</w:t>
            </w:r>
          </w:p>
        </w:tc>
      </w:tr>
      <w:tr>
        <w:trPr>
          <w:cantSplit/>
        </w:trPr>
        <w:tc>
          <w:tcPr>
            <w:tcW w:type="dxa" w:w="32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b/>
                <w:bCs/>
                <w:color w:val="1A1D3A"/>
                <w:sz w:val="17"/>
                <w:szCs w:val="17"/>
              </w:rPr>
              <w:t xml:space="preserve">Annual energy saved (kWh)</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b/>
                <w:bCs/>
                <w:color w:val="1A1D3A"/>
                <w:sz w:val="17"/>
                <w:szCs w:val="17"/>
              </w:rPr>
              <w:t xml:space="preserve">1,084,958</w:t>
            </w:r>
          </w:p>
        </w:tc>
        <w:tc>
          <w:tcPr>
            <w:tcW w:type="dxa" w:w="2134"/>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b/>
                <w:bCs/>
                <w:color w:val="1A1D3A"/>
                <w:sz w:val="17"/>
                <w:szCs w:val="17"/>
              </w:rPr>
              <w:t xml:space="preserve">3,280,911</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b/>
                <w:bCs/>
                <w:color w:val="1A1D3A"/>
                <w:sz w:val="17"/>
                <w:szCs w:val="17"/>
              </w:rPr>
              <w:t xml:space="preserve">7,655,460</w:t>
            </w:r>
          </w:p>
        </w:tc>
      </w:tr>
      <w:tr>
        <w:trPr>
          <w:cantSplit/>
        </w:trPr>
        <w:tc>
          <w:tcPr>
            <w:tcW w:type="dxa" w:w="32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Annual energy saved (MWh / GWh)</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1,085 MWh / 1.08 GWh</w:t>
            </w:r>
          </w:p>
        </w:tc>
        <w:tc>
          <w:tcPr>
            <w:tcW w:type="dxa" w:w="2134"/>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3,281 MWh / 3.28 GWh</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7,655 MWh / 7.66 GWh</w:t>
            </w:r>
          </w:p>
        </w:tc>
      </w:tr>
      <w:tr>
        <w:trPr>
          <w:cantSplit/>
        </w:trPr>
        <w:tc>
          <w:tcPr>
            <w:tcW w:type="dxa" w:w="32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Monthly energy saved (kWh)</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90,413</w:t>
            </w:r>
          </w:p>
        </w:tc>
        <w:tc>
          <w:tcPr>
            <w:tcW w:type="dxa" w:w="2134"/>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273,409</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637,955</w:t>
            </w:r>
          </w:p>
        </w:tc>
      </w:tr>
      <w:tr>
        <w:trPr>
          <w:cantSplit/>
        </w:trPr>
        <w:tc>
          <w:tcPr>
            <w:tcW w:type="dxa" w:w="32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5-year energy saved (kWh)</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5,424,788</w:t>
            </w:r>
          </w:p>
        </w:tc>
        <w:tc>
          <w:tcPr>
            <w:tcW w:type="dxa" w:w="2134"/>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16,404,557</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38,277,301</w:t>
            </w:r>
          </w:p>
        </w:tc>
      </w:tr>
      <w:tr>
        <w:trPr>
          <w:cantSplit/>
        </w:trPr>
        <w:tc>
          <w:tcPr>
            <w:tcW w:type="dxa" w:w="32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 of total campus electricity</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2.5%</w:t>
            </w:r>
          </w:p>
        </w:tc>
        <w:tc>
          <w:tcPr>
            <w:tcW w:type="dxa" w:w="2134"/>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7.6%</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17.6%</w:t>
            </w:r>
          </w:p>
        </w:tc>
      </w:tr>
      <w:tr>
        <w:trPr>
          <w:cantSplit/>
        </w:trPr>
        <w:tc>
          <w:tcPr>
            <w:tcW w:type="dxa" w:w="32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 of controllable energy</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5.0%</w:t>
            </w:r>
          </w:p>
        </w:tc>
        <w:tc>
          <w:tcPr>
            <w:tcW w:type="dxa" w:w="2134"/>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12.6%</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25.2%</w:t>
            </w:r>
          </w:p>
        </w:tc>
      </w:tr>
      <w:tr>
        <w:trPr>
          <w:cantSplit/>
        </w:trPr>
        <w:tc>
          <w:tcPr>
            <w:tcW w:type="dxa" w:w="32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Projected annual consumption (GWh)</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42.31</w:t>
            </w:r>
          </w:p>
        </w:tc>
        <w:tc>
          <w:tcPr>
            <w:tcW w:type="dxa" w:w="2134"/>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40.12</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35.74</w:t>
            </w:r>
          </w:p>
        </w:tc>
      </w:tr>
    </w:tbl>
    <w:p>
      <w:pPr>
        <w:spacing w:after="80"/>
      </w:pPr>
    </w:p>
    <w:p>
      <w:pPr>
        <w:pStyle w:val="Heading2"/>
        <w:keepNext/>
        <w:spacing w:after="100" w:before="240"/>
      </w:pPr>
      <w:r>
        <w:rPr>
          <w:rFonts w:ascii="Calibri" w:cs="Calibri" w:eastAsia="Calibri" w:hAnsi="Calibri"/>
          <w:b/>
          <w:bCs/>
          <w:color w:val="3B3F9E"/>
          <w:sz w:val="26"/>
          <w:szCs w:val="26"/>
        </w:rPr>
        <w:t xml:space="preserve">Financial impact (tariff scenario)</w:t>
      </w:r>
    </w:p>
    <w:p>
      <w:pPr>
        <w:spacing w:after="120" w:line="276"/>
      </w:pPr>
      <w:r>
        <w:rPr>
          <w:rFonts w:ascii="Calibri" w:cs="Calibri" w:eastAsia="Calibri" w:hAnsi="Calibri"/>
          <w:color w:val="1A1D3A"/>
          <w:sz w:val="21"/>
          <w:szCs w:val="21"/>
        </w:rPr>
        <w:t xml:space="preserve">Tariff: </w:t>
      </w:r>
      <w:r>
        <w:rPr>
          <w:rFonts w:ascii="Calibri" w:cs="Calibri" w:eastAsia="Calibri" w:hAnsi="Calibri"/>
          <w:b/>
          <w:bCs/>
          <w:color w:val="1A1D3A"/>
          <w:sz w:val="21"/>
          <w:szCs w:val="21"/>
        </w:rPr>
        <w:t xml:space="preserve">EGP 2.55/kWh</w:t>
      </w:r>
      <w:r>
        <w:rPr>
          <w:rFonts w:ascii="Calibri" w:cs="Calibri" w:eastAsia="Calibri" w:hAnsi="Calibri"/>
          <w:color w:val="1A1D3A"/>
          <w:sz w:val="21"/>
          <w:szCs w:val="21"/>
        </w:rPr>
        <w:t xml:space="preserve"> — EgyptERA official schedule from April 2026, medium-voltage (22–11 kV) 'other users', excluding the 3 Pt/kWh consumption stamp and service fees. A campus of this size would plausibly be medium-voltage, but </w:t>
      </w:r>
      <w:r>
        <w:rPr>
          <w:rFonts w:ascii="Calibri" w:cs="Calibri" w:eastAsia="Calibri" w:hAnsi="Calibri"/>
          <w:b/>
          <w:bCs/>
          <w:color w:val="1A1D3A"/>
          <w:sz w:val="21"/>
          <w:szCs w:val="21"/>
        </w:rPr>
        <w:t xml:space="preserve">AIU's billing category is not publicly verified</w:t>
      </w:r>
      <w:r>
        <w:rPr>
          <w:rFonts w:ascii="Calibri" w:cs="Calibri" w:eastAsia="Calibri" w:hAnsi="Calibri"/>
          <w:color w:val="1A1D3A"/>
          <w:sz w:val="21"/>
          <w:szCs w:val="21"/>
        </w:rPr>
        <w:t xml:space="preserve">; at low-voltage EGP 2.74/kWh values rise ≈7%. Constant tariff, no escalation.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2133"/>
        <w:gridCol w:w="2134"/>
        <w:gridCol w:w="2133"/>
      </w:tblGrid>
      <w:tr>
        <w:trPr>
          <w:cantSplit/>
          <w:tblHeader/>
        </w:trPr>
        <w:tc>
          <w:tcPr>
            <w:tcW w:type="dxa" w:w="3238"/>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p>
        </w:tc>
        <w:tc>
          <w:tcPr>
            <w:tcW w:type="dxa" w:w="2133"/>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Conservative</w:t>
            </w:r>
          </w:p>
        </w:tc>
        <w:tc>
          <w:tcPr>
            <w:tcW w:type="dxa" w:w="2134"/>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Moderate</w:t>
            </w:r>
          </w:p>
        </w:tc>
        <w:tc>
          <w:tcPr>
            <w:tcW w:type="dxa" w:w="2133"/>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High-impact</w:t>
            </w:r>
          </w:p>
        </w:tc>
      </w:tr>
      <w:tr>
        <w:trPr>
          <w:cantSplit/>
        </w:trPr>
        <w:tc>
          <w:tcPr>
            <w:tcW w:type="dxa" w:w="32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Annual saving (EGP million) @2.55</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2.8</w:t>
            </w:r>
          </w:p>
        </w:tc>
        <w:tc>
          <w:tcPr>
            <w:tcW w:type="dxa" w:w="2134"/>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8.4</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19.5</w:t>
            </w:r>
          </w:p>
        </w:tc>
      </w:tr>
      <w:tr>
        <w:trPr>
          <w:cantSplit/>
        </w:trPr>
        <w:tc>
          <w:tcPr>
            <w:tcW w:type="dxa" w:w="32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5-year saving (EGP million) @2.55</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13.8</w:t>
            </w:r>
          </w:p>
        </w:tc>
        <w:tc>
          <w:tcPr>
            <w:tcW w:type="dxa" w:w="2134"/>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41.8</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97.6</w:t>
            </w:r>
          </w:p>
        </w:tc>
      </w:tr>
      <w:tr>
        <w:trPr>
          <w:cantSplit/>
        </w:trPr>
        <w:tc>
          <w:tcPr>
            <w:tcW w:type="dxa" w:w="32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Annual saving (EGP million) @2.74 (LV)</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3.0</w:t>
            </w:r>
          </w:p>
        </w:tc>
        <w:tc>
          <w:tcPr>
            <w:tcW w:type="dxa" w:w="2134"/>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9.0</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21.0</w:t>
            </w:r>
          </w:p>
        </w:tc>
      </w:tr>
    </w:tbl>
    <w:p>
      <w:pPr>
        <w:spacing w:after="80"/>
      </w:pPr>
    </w:p>
    <w:p>
      <w:pPr>
        <w:pStyle w:val="Heading2"/>
        <w:keepNext/>
        <w:spacing w:after="100" w:before="240"/>
      </w:pPr>
      <w:r>
        <w:rPr>
          <w:rFonts w:ascii="Calibri" w:cs="Calibri" w:eastAsia="Calibri" w:hAnsi="Calibri"/>
          <w:b/>
          <w:bCs/>
          <w:color w:val="3B3F9E"/>
          <w:sz w:val="26"/>
          <w:szCs w:val="26"/>
        </w:rPr>
        <w:t xml:space="preserve">CO₂ impact (indicative)</w:t>
      </w:r>
    </w:p>
    <w:p>
      <w:pPr>
        <w:spacing w:after="120" w:line="276"/>
      </w:pPr>
      <w:r>
        <w:rPr>
          <w:rFonts w:ascii="Calibri" w:cs="Calibri" w:eastAsia="Calibri" w:hAnsi="Calibri"/>
          <w:color w:val="1A1D3A"/>
          <w:sz w:val="21"/>
          <w:szCs w:val="21"/>
        </w:rPr>
        <w:t xml:space="preserve">Using Egypt's grid intensity of </w:t>
      </w:r>
      <w:r>
        <w:rPr>
          <w:rFonts w:ascii="Calibri" w:cs="Calibri" w:eastAsia="Calibri" w:hAnsi="Calibri"/>
          <w:b/>
          <w:bCs/>
          <w:color w:val="1A1D3A"/>
          <w:sz w:val="21"/>
          <w:szCs w:val="21"/>
        </w:rPr>
        <w:t xml:space="preserve">0.563 kgCO₂/kWh</w:t>
      </w:r>
      <w:r>
        <w:rPr>
          <w:rFonts w:ascii="Calibri" w:cs="Calibri" w:eastAsia="Calibri" w:hAnsi="Calibri"/>
          <w:color w:val="1A1D3A"/>
          <w:sz w:val="21"/>
          <w:szCs w:val="21"/>
        </w:rPr>
        <w:t xml:space="preserve"> (Ember data, lifecycle basis; obtained through a secondary data aggregator — </w:t>
      </w:r>
      <w:r>
        <w:rPr>
          <w:rFonts w:ascii="Calibri" w:cs="Calibri" w:eastAsia="Calibri" w:hAnsi="Calibri"/>
          <w:b/>
          <w:bCs/>
          <w:color w:val="1A1D3A"/>
          <w:sz w:val="21"/>
          <w:szCs w:val="21"/>
        </w:rPr>
        <w:t xml:space="preserve">re-confirm on ember-energy.org before formal citation</w:t>
      </w:r>
      <w:r>
        <w:rPr>
          <w:rFonts w:ascii="Calibri" w:cs="Calibri" w:eastAsia="Calibri" w:hAnsi="Calibri"/>
          <w:color w:val="1A1D3A"/>
          <w:sz w:val="21"/>
          <w:szCs w:val="21"/>
        </w:rPr>
        <w:t xml:space="preserve">; confidence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2133"/>
        <w:gridCol w:w="2134"/>
        <w:gridCol w:w="2133"/>
      </w:tblGrid>
      <w:tr>
        <w:trPr>
          <w:cantSplit/>
          <w:tblHeader/>
        </w:trPr>
        <w:tc>
          <w:tcPr>
            <w:tcW w:type="dxa" w:w="3238"/>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p>
        </w:tc>
        <w:tc>
          <w:tcPr>
            <w:tcW w:type="dxa" w:w="2133"/>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Conservative</w:t>
            </w:r>
          </w:p>
        </w:tc>
        <w:tc>
          <w:tcPr>
            <w:tcW w:type="dxa" w:w="2134"/>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Moderate</w:t>
            </w:r>
          </w:p>
        </w:tc>
        <w:tc>
          <w:tcPr>
            <w:tcW w:type="dxa" w:w="2133"/>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High-impact</w:t>
            </w:r>
          </w:p>
        </w:tc>
      </w:tr>
      <w:tr>
        <w:trPr>
          <w:cantSplit/>
        </w:trPr>
        <w:tc>
          <w:tcPr>
            <w:tcW w:type="dxa" w:w="32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Annual CO₂ avoided (tCO₂)</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611</w:t>
            </w:r>
          </w:p>
        </w:tc>
        <w:tc>
          <w:tcPr>
            <w:tcW w:type="dxa" w:w="2134"/>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1,847</w:t>
            </w:r>
          </w:p>
        </w:tc>
        <w:tc>
          <w:tcPr>
            <w:tcW w:type="dxa" w:w="2133"/>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4,310</w:t>
            </w:r>
          </w:p>
        </w:tc>
      </w:tr>
      <w:tr>
        <w:trPr>
          <w:cantSplit/>
        </w:trPr>
        <w:tc>
          <w:tcPr>
            <w:tcW w:type="dxa" w:w="32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5-year CO₂ avoided (tCO₂)</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3,054</w:t>
            </w:r>
          </w:p>
        </w:tc>
        <w:tc>
          <w:tcPr>
            <w:tcW w:type="dxa" w:w="2134"/>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9,236</w:t>
            </w:r>
          </w:p>
        </w:tc>
        <w:tc>
          <w:tcPr>
            <w:tcW w:type="dxa" w:w="2133"/>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21,550</w:t>
            </w:r>
          </w:p>
        </w:tc>
      </w:tr>
    </w:tbl>
    <w:p>
      <w:pPr>
        <w:spacing w:after="60"/>
      </w:pPr>
    </w:p>
    <w:p>
      <w:pPr>
        <w:keepNext/>
        <w:spacing w:after="40" w:before="80"/>
        <w:jc w:val="center"/>
      </w:pPr>
      <w:r>
        <w:drawing>
          <wp:inline distT="0" distB="0" distL="0" distR="0">
            <wp:extent cx="4000500" cy="2790825"/>
            <wp:effectExtent t="0" r="0" b="0" l="0"/>
            <wp:docPr id="3" name="c2_baseline_projected" descr="Chart 2 — Baseline vs projected consumption (benchmark-based baseline; axis truncated)" title="Chart 2 — Baseline vs projected consumption (benchmark-based baseline; axis trun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790825"/>
                    </a:xfrm>
                    <a:prstGeom prst="rect">
                      <a:avLst/>
                    </a:prstGeom>
                  </pic:spPr>
                </pic:pic>
              </a:graphicData>
            </a:graphic>
          </wp:inline>
        </w:drawing>
      </w:r>
    </w:p>
    <w:p>
      <w:pPr>
        <w:spacing w:after="160"/>
        <w:jc w:val="center"/>
      </w:pPr>
      <w:r>
        <w:rPr>
          <w:rFonts w:ascii="Calibri" w:cs="Calibri" w:eastAsia="Calibri" w:hAnsi="Calibri"/>
          <w:i/>
          <w:iCs/>
          <w:color w:val="5A6080"/>
          <w:sz w:val="17"/>
          <w:szCs w:val="17"/>
        </w:rPr>
        <w:t xml:space="preserve">Chart 2 — Baseline vs projected consumption (benchmark-based baseline; axis truncated)</w:t>
      </w:r>
    </w:p>
    <w:p>
      <w:pPr>
        <w:keepNext/>
        <w:spacing w:after="40" w:before="80"/>
        <w:jc w:val="center"/>
      </w:pPr>
      <w:r>
        <w:drawing>
          <wp:inline distT="0" distB="0" distL="0" distR="0">
            <wp:extent cx="4000500" cy="2647950"/>
            <wp:effectExtent t="0" r="0" b="0" l="0"/>
            <wp:docPr id="4" name="c3_annual_saved" descr="Chart 3 — Annual energy saved by scenario" title="Chart 3 — Annual energy saved by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647950"/>
                    </a:xfrm>
                    <a:prstGeom prst="rect">
                      <a:avLst/>
                    </a:prstGeom>
                  </pic:spPr>
                </pic:pic>
              </a:graphicData>
            </a:graphic>
          </wp:inline>
        </w:drawing>
      </w:r>
    </w:p>
    <w:p>
      <w:pPr>
        <w:spacing w:after="160"/>
        <w:jc w:val="center"/>
      </w:pPr>
      <w:r>
        <w:rPr>
          <w:rFonts w:ascii="Calibri" w:cs="Calibri" w:eastAsia="Calibri" w:hAnsi="Calibri"/>
          <w:i/>
          <w:iCs/>
          <w:color w:val="5A6080"/>
          <w:sz w:val="17"/>
          <w:szCs w:val="17"/>
        </w:rPr>
        <w:t xml:space="preserve">Chart 3 — Annual energy saved by scenario</w:t>
      </w:r>
    </w:p>
    <w:p>
      <w:pPr>
        <w:keepNext/>
        <w:spacing w:after="40" w:before="80"/>
        <w:jc w:val="center"/>
      </w:pPr>
      <w:r>
        <w:drawing>
          <wp:inline distT="0" distB="0" distL="0" distR="0">
            <wp:extent cx="4000500" cy="2800350"/>
            <wp:effectExtent t="0" r="0" b="0" l="0"/>
            <wp:docPr id="5" name="c4_cumulative" descr="Chart 4 — Five-year cumulative energy saved" title="Chart 4 — Five-year cumulative energy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00350"/>
                    </a:xfrm>
                    <a:prstGeom prst="rect">
                      <a:avLst/>
                    </a:prstGeom>
                  </pic:spPr>
                </pic:pic>
              </a:graphicData>
            </a:graphic>
          </wp:inline>
        </w:drawing>
      </w:r>
    </w:p>
    <w:p>
      <w:pPr>
        <w:spacing w:after="160"/>
        <w:jc w:val="center"/>
      </w:pPr>
      <w:r>
        <w:rPr>
          <w:rFonts w:ascii="Calibri" w:cs="Calibri" w:eastAsia="Calibri" w:hAnsi="Calibri"/>
          <w:i/>
          <w:iCs/>
          <w:color w:val="5A6080"/>
          <w:sz w:val="17"/>
          <w:szCs w:val="17"/>
        </w:rPr>
        <w:t xml:space="preserve">Chart 4 — Five-year cumulative energy saved</w:t>
      </w:r>
    </w:p>
    <w:p>
      <w:pPr>
        <w:pStyle w:val="Heading3"/>
        <w:keepNext/>
        <w:spacing w:after="80" w:before="160"/>
      </w:pPr>
      <w:r>
        <w:rPr>
          <w:rFonts w:ascii="Calibri" w:cs="Calibri" w:eastAsia="Calibri" w:hAnsi="Calibri"/>
          <w:b/>
          <w:bCs/>
          <w:color w:val="12163A"/>
          <w:sz w:val="22"/>
          <w:szCs w:val="22"/>
        </w:rPr>
        <w:t xml:space="preserve">Sensitivity: annual savings (MWh) across area and EUI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46"/>
        <w:gridCol w:w="2346"/>
        <w:gridCol w:w="2346"/>
      </w:tblGrid>
      <w:tr>
        <w:trPr>
          <w:cantSplit/>
          <w:tblHeader/>
        </w:trPr>
        <w:tc>
          <w:tcPr>
            <w:tcW w:type="dxa" w:w="26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Area case</w:t>
            </w:r>
          </w:p>
        </w:tc>
        <w:tc>
          <w:tcPr>
            <w:tcW w:type="dxa" w:w="2346"/>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EUI 130</w:t>
            </w:r>
          </w:p>
        </w:tc>
        <w:tc>
          <w:tcPr>
            <w:tcW w:type="dxa" w:w="2346"/>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EUI 165</w:t>
            </w:r>
          </w:p>
        </w:tc>
        <w:tc>
          <w:tcPr>
            <w:tcW w:type="dxa" w:w="2346"/>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EUI 215</w:t>
            </w:r>
          </w:p>
        </w:tc>
      </w:tr>
      <w:tr>
        <w:trPr>
          <w:cantSplit/>
        </w:trPr>
        <w:tc>
          <w:tcPr>
            <w:tcW w:type="dxa" w:w="2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174,000 m²</w:t>
            </w:r>
          </w:p>
        </w:tc>
        <w:tc>
          <w:tcPr>
            <w:tcW w:type="dxa" w:w="2346"/>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566 / 1,710 / 3,990</w:t>
            </w:r>
          </w:p>
        </w:tc>
        <w:tc>
          <w:tcPr>
            <w:tcW w:type="dxa" w:w="2346"/>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718 / 2,170 / 5,064</w:t>
            </w:r>
          </w:p>
        </w:tc>
        <w:tc>
          <w:tcPr>
            <w:tcW w:type="dxa" w:w="2346"/>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935 / 2,828 / 6,599</w:t>
            </w:r>
          </w:p>
        </w:tc>
      </w:tr>
      <w:tr>
        <w:trPr>
          <w:cantSplit/>
        </w:trPr>
        <w:tc>
          <w:tcPr>
            <w:tcW w:type="dxa" w:w="2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263,020 m² (central)</w:t>
            </w:r>
          </w:p>
        </w:tc>
        <w:tc>
          <w:tcPr>
            <w:tcW w:type="dxa" w:w="2346"/>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855 / 2,585 / 6,032</w:t>
            </w:r>
          </w:p>
        </w:tc>
        <w:tc>
          <w:tcPr>
            <w:tcW w:type="dxa" w:w="2346"/>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1,085 / 3,281 / 7,655</w:t>
            </w:r>
          </w:p>
        </w:tc>
        <w:tc>
          <w:tcPr>
            <w:tcW w:type="dxa" w:w="2346"/>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1,414 / 4,275 / 9,975</w:t>
            </w:r>
          </w:p>
        </w:tc>
      </w:tr>
      <w:tr>
        <w:trPr>
          <w:cantSplit/>
        </w:trPr>
        <w:tc>
          <w:tcPr>
            <w:tcW w:type="dxa" w:w="2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437,020 m²</w:t>
            </w:r>
          </w:p>
        </w:tc>
        <w:tc>
          <w:tcPr>
            <w:tcW w:type="dxa" w:w="2346"/>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1,420 / 4,295 / 10,022</w:t>
            </w:r>
          </w:p>
        </w:tc>
        <w:tc>
          <w:tcPr>
            <w:tcW w:type="dxa" w:w="2346"/>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1,803 / 5,451 / 12,720</w:t>
            </w:r>
          </w:p>
        </w:tc>
        <w:tc>
          <w:tcPr>
            <w:tcW w:type="dxa" w:w="2346"/>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2,349 / 7,103 / 16,574</w:t>
            </w:r>
          </w:p>
        </w:tc>
      </w:tr>
    </w:tbl>
    <w:p>
      <w:pPr>
        <w:spacing w:after="120" w:line="276"/>
      </w:pPr>
      <w:r>
        <w:rPr>
          <w:rFonts w:ascii="Calibri" w:cs="Calibri" w:eastAsia="Calibri" w:hAnsi="Calibri"/>
          <w:i/>
          <w:iCs/>
          <w:color w:val="1A1D3A"/>
          <w:sz w:val="19"/>
          <w:szCs w:val="19"/>
        </w:rPr>
        <w:t xml:space="preserve">Cells show Conservative / Moderate / High-impact annual savings in MWh. The full range across the sensitivity grid is roughly 0.6 to 16.6 GWh/yr, dominated by area and EUI uncertainty — which is why validation with AIU meter data is the first priority.</w:t>
      </w:r>
    </w:p>
    <w:p>
      <w:pPr>
        <w:pStyle w:val="Heading1"/>
        <w:pBdr>
          <w:bottom w:val="single" w:color="B0202A" w:sz="8" w:space="4"/>
        </w:pBdr>
        <w:spacing w:after="160" w:before="360"/>
      </w:pPr>
      <w:r>
        <w:rPr>
          <w:rFonts w:ascii="Calibri" w:cs="Calibri" w:eastAsia="Calibri" w:hAnsi="Calibri"/>
          <w:b/>
          <w:bCs/>
          <w:color w:val="12163A"/>
          <w:sz w:val="34"/>
          <w:szCs w:val="34"/>
        </w:rPr>
        <w:t xml:space="preserve">9. Building-category estimate</w:t>
      </w:r>
    </w:p>
    <w:p>
      <w:pPr>
        <w:spacing w:after="120" w:line="276"/>
      </w:pPr>
      <w:r>
        <w:rPr>
          <w:rFonts w:ascii="Calibri" w:cs="Calibri" w:eastAsia="Calibri" w:hAnsi="Calibri"/>
          <w:color w:val="1A1D3A"/>
          <w:sz w:val="21"/>
          <w:szCs w:val="21"/>
        </w:rPr>
        <w:t xml:space="preserve">AIU has not published a building-category area breakdown, so shares below are a </w:t>
      </w:r>
      <w:r>
        <w:rPr>
          <w:rFonts w:ascii="Calibri" w:cs="Calibri" w:eastAsia="Calibri" w:hAnsi="Calibri"/>
          <w:b/>
          <w:bCs/>
          <w:color w:val="1A1D3A"/>
          <w:sz w:val="21"/>
          <w:szCs w:val="21"/>
        </w:rPr>
        <w:t xml:space="preserve">clearly labelled scenario assumption (LOW confidence)</w:t>
      </w:r>
      <w:r>
        <w:rPr>
          <w:rFonts w:ascii="Calibri" w:cs="Calibri" w:eastAsia="Calibri" w:hAnsi="Calibri"/>
          <w:color w:val="1A1D3A"/>
          <w:sz w:val="21"/>
          <w:szCs w:val="21"/>
        </w:rPr>
        <w:t xml:space="preserve"> applied to the central 263,020 m². Category EUI is held equal (165) to avoid inventing category intensities; categories differ only in controllable share and saving rate (Section 4, Korean results, ACEEE). Hospital and sports facilities are grouped as 'other' with low coverage.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100"/>
        <w:gridCol w:w="1000"/>
        <w:gridCol w:w="2538"/>
        <w:gridCol w:w="1600"/>
      </w:tblGrid>
      <w:tr>
        <w:trPr>
          <w:cantSplit/>
          <w:tblHeader/>
        </w:trPr>
        <w:tc>
          <w:tcPr>
            <w:tcW w:type="dxa" w:w="17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Category</w:t>
            </w:r>
          </w:p>
        </w:tc>
        <w:tc>
          <w:tcPr>
            <w:tcW w:type="dxa" w:w="17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Assumed area share</w:t>
            </w:r>
          </w:p>
        </w:tc>
        <w:tc>
          <w:tcPr>
            <w:tcW w:type="dxa" w:w="11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Baseline (MWh)</w:t>
            </w:r>
          </w:p>
        </w:tc>
        <w:tc>
          <w:tcPr>
            <w:tcW w:type="dxa" w:w="1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Controllable</w:t>
            </w:r>
          </w:p>
        </w:tc>
        <w:tc>
          <w:tcPr>
            <w:tcW w:type="dxa" w:w="2538"/>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Control strategy</w:t>
            </w:r>
          </w:p>
        </w:tc>
        <w:tc>
          <w:tcPr>
            <w:tcW w:type="dxa" w:w="16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Saved MWh/yr (C / M / H)</w:t>
            </w:r>
          </w:p>
        </w:tc>
      </w:tr>
      <w:tr>
        <w:trPr>
          <w:cantSplit/>
        </w:trPr>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Academic / classrooms</w:t>
            </w:r>
          </w:p>
        </w:tc>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40% (105,208 m²)</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17,359</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65%</w:t>
            </w:r>
          </w:p>
        </w:tc>
        <w:tc>
          <w:tcPr>
            <w:tcW w:type="dxa" w:w="25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Occupancy-confirmed lighting/HVAC/plug shutdown</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564 / 1,422 / 2,843</w:t>
            </w:r>
          </w:p>
        </w:tc>
      </w:tr>
      <w:tr>
        <w:trPr>
          <w:cantSplit/>
        </w:trPr>
        <w:tc>
          <w:tcPr>
            <w:tcW w:type="dxa" w:w="1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Laboratories (teaching)</w:t>
            </w:r>
          </w:p>
        </w:tc>
        <w:tc>
          <w:tcPr>
            <w:tcW w:type="dxa" w:w="1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10% (26,302 m²)</w:t>
            </w:r>
          </w:p>
        </w:tc>
        <w:tc>
          <w:tcPr>
            <w:tcW w:type="dxa" w:w="11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4,340</w:t>
            </w:r>
          </w:p>
        </w:tc>
        <w:tc>
          <w:tcPr>
            <w:tcW w:type="dxa" w:w="1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40%</w:t>
            </w:r>
          </w:p>
        </w:tc>
        <w:tc>
          <w:tcPr>
            <w:tcW w:type="dxa" w:w="25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Non-critical loads only; critical ventilation guarded</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43 / 122 / 312</w:t>
            </w:r>
          </w:p>
        </w:tc>
      </w:tr>
      <w:tr>
        <w:trPr>
          <w:cantSplit/>
        </w:trPr>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Admin / library / services</w:t>
            </w:r>
          </w:p>
        </w:tc>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15% (39,453 m²)</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6,510</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65%</w:t>
            </w:r>
          </w:p>
        </w:tc>
        <w:tc>
          <w:tcPr>
            <w:tcW w:type="dxa" w:w="25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Schedules + occupancy; plug loads</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169 / 444 / 876</w:t>
            </w:r>
          </w:p>
        </w:tc>
      </w:tr>
      <w:tr>
        <w:trPr>
          <w:cantSplit/>
        </w:trPr>
        <w:tc>
          <w:tcPr>
            <w:tcW w:type="dxa" w:w="1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Dormitories / housing</w:t>
            </w:r>
          </w:p>
        </w:tc>
        <w:tc>
          <w:tcPr>
            <w:tcW w:type="dxa" w:w="1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25% (65,755 m²)</w:t>
            </w:r>
          </w:p>
        </w:tc>
        <w:tc>
          <w:tcPr>
            <w:tcW w:type="dxa" w:w="11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10,850</w:t>
            </w:r>
          </w:p>
        </w:tc>
        <w:tc>
          <w:tcPr>
            <w:tcW w:type="dxa" w:w="1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60%</w:t>
            </w:r>
          </w:p>
        </w:tc>
        <w:tc>
          <w:tcPr>
            <w:tcW w:type="dxa" w:w="25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Presence-based room shutdown (cf. Korean RMS)</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325 / 820 / 1,640</w:t>
            </w:r>
          </w:p>
        </w:tc>
      </w:tr>
      <w:tr>
        <w:trPr>
          <w:cantSplit/>
        </w:trPr>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Sports / hospital / other</w:t>
            </w:r>
          </w:p>
        </w:tc>
        <w:tc>
          <w:tcPr>
            <w:tcW w:type="dxa" w:w="1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10% (26,302 m²)</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4,340</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40%</w:t>
            </w:r>
          </w:p>
        </w:tc>
        <w:tc>
          <w:tcPr>
            <w:tcW w:type="dxa" w:w="25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Schedules; limited scope</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43 / 122 / 234</w:t>
            </w:r>
          </w:p>
        </w:tc>
      </w:tr>
    </w:tbl>
    <w:p>
      <w:pPr>
        <w:spacing w:after="60"/>
      </w:pPr>
    </w:p>
    <w:p>
      <w:pPr>
        <w:spacing w:after="120" w:line="276"/>
      </w:pPr>
      <w:r>
        <w:rPr>
          <w:rFonts w:ascii="Calibri" w:cs="Calibri" w:eastAsia="Calibri" w:hAnsi="Calibri"/>
          <w:b/>
          <w:bCs/>
          <w:color w:val="1A1D3A"/>
          <w:sz w:val="21"/>
          <w:szCs w:val="21"/>
        </w:rPr>
        <w:t xml:space="preserve">Bottom-up cross-check:</w:t>
      </w:r>
      <w:r>
        <w:rPr>
          <w:rFonts w:ascii="Calibri" w:cs="Calibri" w:eastAsia="Calibri" w:hAnsi="Calibri"/>
          <w:color w:val="1A1D3A"/>
          <w:sz w:val="21"/>
          <w:szCs w:val="21"/>
        </w:rPr>
        <w:t xml:space="preserve"> summing categories gives 1,146 / 2,929 / 5,907 MWh/yr (2.6% / 6.7% / 13.6% of total), against the top-down 1,085 / 3,281 / 7,655 MWh. The two approaches agree within about 6%, 11% and 23% (Conservative, Moderate, High-impact), which supports the planning range but does not validate it. </w:t>
      </w:r>
      <w:r>
        <w:rPr>
          <w:rFonts w:ascii="Calibri" w:cs="Calibri" w:eastAsia="Calibri" w:hAnsi="Calibri"/>
          <w:b/>
          <w:bCs/>
          <w:color w:val="1A1D3A"/>
          <w:sz w:val="21"/>
          <w:szCs w:val="21"/>
        </w:rPr>
        <w:t xml:space="preserve">Academic buildings and dormitories carry the greatest potential</w:t>
      </w:r>
      <w:r>
        <w:rPr>
          <w:rFonts w:ascii="Calibri" w:cs="Calibri" w:eastAsia="Calibri" w:hAnsi="Calibri"/>
          <w:color w:val="1A1D3A"/>
          <w:sz w:val="21"/>
          <w:szCs w:val="21"/>
        </w:rPr>
        <w:t xml:space="preserve"> because they combine large area, occupancy-driven loads and the strongest published evidence; laboratories contribute little under non-critical-load control.</w:t>
      </w:r>
    </w:p>
    <w:p>
      <w:pPr>
        <w:keepNext/>
        <w:spacing w:after="40" w:before="80"/>
        <w:jc w:val="center"/>
      </w:pPr>
      <w:r>
        <w:drawing>
          <wp:inline distT="0" distB="0" distL="0" distR="0">
            <wp:extent cx="4476750" cy="2676525"/>
            <wp:effectExtent t="0" r="0" b="0" l="0"/>
            <wp:docPr id="6" name="c5_categories" descr="Chart 5 — Potential impact by building category (area shares are assumptions)" title="Chart 5 — Potential impact by building category (area shares are assum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676525"/>
                    </a:xfrm>
                    <a:prstGeom prst="rect">
                      <a:avLst/>
                    </a:prstGeom>
                  </pic:spPr>
                </pic:pic>
              </a:graphicData>
            </a:graphic>
          </wp:inline>
        </w:drawing>
      </w:r>
    </w:p>
    <w:p>
      <w:pPr>
        <w:spacing w:after="160"/>
        <w:jc w:val="center"/>
      </w:pPr>
      <w:r>
        <w:rPr>
          <w:rFonts w:ascii="Calibri" w:cs="Calibri" w:eastAsia="Calibri" w:hAnsi="Calibri"/>
          <w:i/>
          <w:iCs/>
          <w:color w:val="5A6080"/>
          <w:sz w:val="17"/>
          <w:szCs w:val="17"/>
        </w:rPr>
        <w:t xml:space="preserve">Chart 5 — Potential impact by building category (area shares are assumptions)</w:t>
      </w:r>
    </w:p>
    <w:p>
      <w:pPr>
        <w:pStyle w:val="Heading1"/>
        <w:pBdr>
          <w:bottom w:val="single" w:color="B0202A" w:sz="8" w:space="4"/>
        </w:pBdr>
        <w:spacing w:after="160" w:before="360"/>
      </w:pPr>
      <w:r>
        <w:rPr>
          <w:rFonts w:ascii="Calibri" w:cs="Calibri" w:eastAsia="Calibri" w:hAnsi="Calibri"/>
          <w:b/>
          <w:bCs/>
          <w:color w:val="12163A"/>
          <w:sz w:val="34"/>
          <w:szCs w:val="34"/>
        </w:rPr>
        <w:t xml:space="preserve">10. Mapping the evidence to our system</w:t>
      </w:r>
    </w:p>
    <w:p>
      <w:pPr>
        <w:spacing w:after="120" w:line="276"/>
      </w:pPr>
      <w:r>
        <w:rPr>
          <w:rFonts w:ascii="Calibri" w:cs="Calibri" w:eastAsia="Calibri" w:hAnsi="Calibri"/>
          <w:color w:val="1A1D3A"/>
          <w:sz w:val="21"/>
          <w:szCs w:val="21"/>
        </w:rPr>
        <w:t xml:space="preserve">AIU Smart Campus implements the cycle </w:t>
      </w:r>
      <w:r>
        <w:rPr>
          <w:rFonts w:ascii="Calibri" w:cs="Calibri" w:eastAsia="Calibri" w:hAnsi="Calibri"/>
          <w:b/>
          <w:bCs/>
          <w:color w:val="1A1D3A"/>
          <w:sz w:val="21"/>
          <w:szCs w:val="21"/>
        </w:rPr>
        <w:t xml:space="preserve">SENSE → ANALYZE → VERIFY → DECIDE → ACT → MONITOR</w:t>
      </w:r>
      <w:r>
        <w:rPr>
          <w:rFonts w:ascii="Calibri" w:cs="Calibri" w:eastAsia="Calibri" w:hAnsi="Calibri"/>
          <w:color w:val="1A1D3A"/>
          <w:sz w:val="21"/>
          <w:szCs w:val="21"/>
        </w:rPr>
        <w:t xml:space="preserve"> on top of Smart Building, Zones, Sensors, Devices, Automation Rules and Logs, Energy Readings, Access Control, Evidence, Investigation, auditability and a Command Center.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438"/>
        <w:gridCol w:w="4000"/>
      </w:tblGrid>
      <w:tr>
        <w:trPr>
          <w:cantSplit/>
          <w:tblHeader/>
        </w:trPr>
        <w:tc>
          <w:tcPr>
            <w:tcW w:type="dxa" w:w="12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Stage</w:t>
            </w:r>
          </w:p>
        </w:tc>
        <w:tc>
          <w:tcPr>
            <w:tcW w:type="dxa" w:w="4438"/>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What our system does</w:t>
            </w:r>
          </w:p>
        </w:tc>
        <w:tc>
          <w:tcPr>
            <w:tcW w:type="dxa" w:w="4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Evidence it relates to</w:t>
            </w:r>
          </w:p>
        </w:tc>
      </w:tr>
      <w:tr>
        <w:trPr>
          <w:cantSplit/>
        </w:trPr>
        <w:tc>
          <w:tcPr>
            <w:tcW w:type="dxa" w:w="1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SENSE</w:t>
            </w:r>
          </w:p>
        </w:tc>
        <w:tc>
          <w:tcPr>
            <w:tcW w:type="dxa" w:w="44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PIR occupancy sensing and telemetry feed zone state</w:t>
            </w:r>
          </w:p>
        </w:tc>
        <w:tc>
          <w:tcPr>
            <w:tcW w:type="dxa" w:w="4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Korean sensors (S1); occupancy sensing in S10–S11</w:t>
            </w:r>
          </w:p>
        </w:tc>
      </w:tr>
      <w:tr>
        <w:trPr>
          <w:cantSplit/>
        </w:trPr>
        <w:tc>
          <w:tcPr>
            <w:tcW w:type="dxa" w:w="1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ANALYZE</w:t>
            </w:r>
          </w:p>
        </w:tc>
        <w:tc>
          <w:tcPr>
            <w:tcW w:type="dxa" w:w="44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Combines occupancy with the zone schedule (open/closed) and device state</w:t>
            </w:r>
          </w:p>
        </w:tc>
        <w:tc>
          <w:tcPr>
            <w:tcW w:type="dxa" w:w="4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Schedule-aware control; campus platforms (S13)</w:t>
            </w:r>
          </w:p>
        </w:tc>
      </w:tr>
      <w:tr>
        <w:trPr>
          <w:cantSplit/>
        </w:trPr>
        <w:tc>
          <w:tcPr>
            <w:tcW w:type="dxa" w:w="1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VERIFY</w:t>
            </w:r>
          </w:p>
        </w:tc>
        <w:tc>
          <w:tcPr>
            <w:tcW w:type="dxa" w:w="44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Confirms a zone is empty for a grace period before acting; avoids shutting down occupied rooms</w:t>
            </w:r>
          </w:p>
        </w:tc>
        <w:tc>
          <w:tcPr>
            <w:tcW w:type="dxa" w:w="4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Addresses false-trigger risk noted in occupancy literature; Korean study had no verification layer</w:t>
            </w:r>
          </w:p>
        </w:tc>
      </w:tr>
      <w:tr>
        <w:trPr>
          <w:cantSplit/>
        </w:trPr>
        <w:tc>
          <w:tcPr>
            <w:tcW w:type="dxa" w:w="1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DECIDE</w:t>
            </w:r>
          </w:p>
        </w:tc>
        <w:tc>
          <w:tcPr>
            <w:tcW w:type="dxa" w:w="44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Deterministic rule + confidence; CRITICAL-device protection; fail-safe</w:t>
            </w:r>
          </w:p>
        </w:tc>
        <w:tc>
          <w:tcPr>
            <w:tcW w:type="dxa" w:w="4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Rule-based (not AI/ML)</w:t>
            </w:r>
          </w:p>
        </w:tc>
      </w:tr>
      <w:tr>
        <w:trPr>
          <w:cantSplit/>
        </w:trPr>
        <w:tc>
          <w:tcPr>
            <w:tcW w:type="dxa" w:w="1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ACT</w:t>
            </w:r>
          </w:p>
        </w:tc>
        <w:tc>
          <w:tcPr>
            <w:tcW w:type="dxa" w:w="44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Issues commands to non-critical loads; command outcome tracked (success / failed / queued)</w:t>
            </w:r>
          </w:p>
        </w:tc>
        <w:tc>
          <w:tcPr>
            <w:tcW w:type="dxa" w:w="4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End-use control (S1 lighting, EHP)</w:t>
            </w:r>
          </w:p>
        </w:tc>
      </w:tr>
      <w:tr>
        <w:trPr>
          <w:cantSplit/>
        </w:trPr>
        <w:tc>
          <w:tcPr>
            <w:tcW w:type="dxa" w:w="1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MONITOR</w:t>
            </w:r>
          </w:p>
        </w:tc>
        <w:tc>
          <w:tcPr>
            <w:tcW w:type="dxa" w:w="44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Energy readings, automation log, honest failure states</w:t>
            </w:r>
          </w:p>
        </w:tc>
        <w:tc>
          <w:tcPr>
            <w:tcW w:type="dxa" w:w="4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Needed for measured, not assumed, savings</w:t>
            </w:r>
          </w:p>
        </w:tc>
      </w:tr>
    </w:tbl>
    <w:p>
      <w:pPr>
        <w:spacing w:after="60"/>
      </w:pPr>
    </w:p>
    <w:p>
      <w:pPr>
        <w:pStyle w:val="Heading3"/>
        <w:keepNext/>
        <w:spacing w:after="80" w:before="160"/>
      </w:pPr>
      <w:r>
        <w:rPr>
          <w:rFonts w:ascii="Calibri" w:cs="Calibri" w:eastAsia="Calibri" w:hAnsi="Calibri"/>
          <w:b/>
          <w:bCs/>
          <w:color w:val="12163A"/>
          <w:sz w:val="22"/>
          <w:szCs w:val="22"/>
        </w:rPr>
        <w:t xml:space="preserve">Why the architecture can improve on simple occupancy ON/OFF</w:t>
      </w:r>
    </w:p>
    <w:p>
      <w:pPr>
        <w:pStyle w:val="ListParagraph"/>
        <w:numPr>
          <w:ilvl w:val="0"/>
          <w:numId w:val="3"/>
        </w:numPr>
        <w:spacing w:after="60" w:line="264"/>
      </w:pPr>
      <w:r>
        <w:rPr>
          <w:rFonts w:ascii="Calibri" w:cs="Calibri" w:eastAsia="Calibri" w:hAnsi="Calibri"/>
          <w:b/>
          <w:bCs/>
          <w:color w:val="1A1D3A"/>
          <w:sz w:val="21"/>
          <w:szCs w:val="21"/>
        </w:rPr>
        <w:t xml:space="preserve">Verification before action</w:t>
      </w:r>
      <w:r>
        <w:rPr>
          <w:rFonts w:ascii="Calibri" w:cs="Calibri" w:eastAsia="Calibri" w:hAnsi="Calibri"/>
          <w:color w:val="1A1D3A"/>
          <w:sz w:val="21"/>
          <w:szCs w:val="21"/>
        </w:rPr>
        <w:t xml:space="preserve"> reduces nuisance shutdowns, which is the main reason occupancy control gets disabled by users in practice.</w:t>
      </w:r>
    </w:p>
    <w:p>
      <w:pPr>
        <w:pStyle w:val="ListParagraph"/>
        <w:numPr>
          <w:ilvl w:val="0"/>
          <w:numId w:val="3"/>
        </w:numPr>
        <w:spacing w:after="60" w:line="264"/>
      </w:pPr>
      <w:r>
        <w:rPr>
          <w:rFonts w:ascii="Calibri" w:cs="Calibri" w:eastAsia="Calibri" w:hAnsi="Calibri"/>
          <w:b/>
          <w:bCs/>
          <w:color w:val="1A1D3A"/>
          <w:sz w:val="21"/>
          <w:szCs w:val="21"/>
        </w:rPr>
        <w:t xml:space="preserve">Context</w:t>
      </w:r>
      <w:r>
        <w:rPr>
          <w:rFonts w:ascii="Calibri" w:cs="Calibri" w:eastAsia="Calibri" w:hAnsi="Calibri"/>
          <w:color w:val="1A1D3A"/>
          <w:sz w:val="21"/>
          <w:szCs w:val="21"/>
        </w:rPr>
        <w:t xml:space="preserve"> (schedule, zone type, critical-load guard) lets the same sensor drive different, safer actions in classrooms, labs and dormitories.</w:t>
      </w:r>
    </w:p>
    <w:p>
      <w:pPr>
        <w:pStyle w:val="ListParagraph"/>
        <w:numPr>
          <w:ilvl w:val="0"/>
          <w:numId w:val="3"/>
        </w:numPr>
        <w:spacing w:after="60" w:line="264"/>
      </w:pPr>
      <w:r>
        <w:rPr>
          <w:rFonts w:ascii="Calibri" w:cs="Calibri" w:eastAsia="Calibri" w:hAnsi="Calibri"/>
          <w:b/>
          <w:bCs/>
          <w:color w:val="1A1D3A"/>
          <w:sz w:val="21"/>
          <w:szCs w:val="21"/>
        </w:rPr>
        <w:t xml:space="preserve">Energy readings + automation logs</w:t>
      </w:r>
      <w:r>
        <w:rPr>
          <w:rFonts w:ascii="Calibri" w:cs="Calibri" w:eastAsia="Calibri" w:hAnsi="Calibri"/>
          <w:color w:val="1A1D3A"/>
          <w:sz w:val="21"/>
          <w:szCs w:val="21"/>
        </w:rPr>
        <w:t xml:space="preserve"> turn savings from an assumption into a measurable before/after quantity — the validation gap in most published results.</w:t>
      </w:r>
    </w:p>
    <w:p>
      <w:pPr>
        <w:pStyle w:val="ListParagraph"/>
        <w:numPr>
          <w:ilvl w:val="0"/>
          <w:numId w:val="3"/>
        </w:numPr>
        <w:spacing w:after="60" w:line="264"/>
      </w:pPr>
      <w:r>
        <w:rPr>
          <w:rFonts w:ascii="Calibri" w:cs="Calibri" w:eastAsia="Calibri" w:hAnsi="Calibri"/>
          <w:b/>
          <w:bCs/>
          <w:color w:val="1A1D3A"/>
          <w:sz w:val="21"/>
          <w:szCs w:val="21"/>
        </w:rPr>
        <w:t xml:space="preserve">Security, evidence and investigation</w:t>
      </w:r>
      <w:r>
        <w:rPr>
          <w:rFonts w:ascii="Calibri" w:cs="Calibri" w:eastAsia="Calibri" w:hAnsi="Calibri"/>
          <w:color w:val="1A1D3A"/>
          <w:sz w:val="21"/>
          <w:szCs w:val="21"/>
        </w:rPr>
        <w:t xml:space="preserve"> are not energy features, but they make automated physical actions auditable, which matters for adoption on a real campus.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77700" w:sz="24"/>
              <w:bottom w:val="none" w:color="FFFFFF" w:sz="0"/>
              <w:right w:val="none" w:color="FFFFFF" w:sz="0"/>
            </w:tcBorders>
            <w:shd w:fill="FFF4E5" w:color="auto" w:val="clear"/>
            <w:tcMar>
              <w:top w:type="dxa" w:w="110"/>
              <w:left w:type="dxa" w:w="180"/>
              <w:bottom w:type="dxa" w:w="110"/>
              <w:right w:type="dxa" w:w="180"/>
            </w:tcMar>
          </w:tcPr>
          <w:p>
            <w:pPr>
              <w:spacing w:after="60"/>
            </w:pPr>
            <w:r>
              <w:rPr>
                <w:rFonts w:ascii="Calibri" w:cs="Calibri" w:eastAsia="Calibri" w:hAnsi="Calibri"/>
                <w:b/>
                <w:bCs/>
                <w:color w:val="C77700"/>
                <w:sz w:val="21"/>
                <w:szCs w:val="21"/>
              </w:rPr>
              <w:t xml:space="preserve">What the prototype does not yet prove</w:t>
            </w:r>
          </w:p>
          <w:p>
            <w:pPr>
              <w:spacing w:after="50"/>
            </w:pPr>
            <w:r>
              <w:rPr>
                <w:rFonts w:ascii="Calibri" w:cs="Calibri" w:eastAsia="Calibri" w:hAnsi="Calibri"/>
                <w:color w:val="1A1D3A"/>
                <w:sz w:val="20"/>
                <w:szCs w:val="20"/>
              </w:rPr>
              <w:t xml:space="preserve">Our demonstration environment is a software + bench prototype. The current system has </w:t>
            </w:r>
            <w:r>
              <w:rPr>
                <w:rFonts w:ascii="Calibri" w:cs="Calibri" w:eastAsia="Calibri" w:hAnsi="Calibri"/>
                <w:b/>
                <w:bCs/>
                <w:color w:val="1A1D3A"/>
                <w:sz w:val="20"/>
                <w:szCs w:val="20"/>
              </w:rPr>
              <w:t xml:space="preserve">not</w:t>
            </w:r>
            <w:r>
              <w:rPr>
                <w:rFonts w:ascii="Calibri" w:cs="Calibri" w:eastAsia="Calibri" w:hAnsi="Calibri"/>
                <w:color w:val="1A1D3A"/>
                <w:sz w:val="20"/>
                <w:szCs w:val="20"/>
              </w:rPr>
              <w:t xml:space="preserve"> measured kWh savings at AIU, has not been deployed campus-wide, and its device commands in the demo environment may report states such as `queued_no_broker` or `COMMAND_FAILED` when no physical broker/hardware responds — we present those honestly. The savings in this report are therefore projections from external evidence.</w:t>
            </w:r>
          </w:p>
        </w:tc>
      </w:tr>
    </w:tbl>
    <w:p>
      <w:pPr>
        <w:pStyle w:val="Heading1"/>
        <w:pBdr>
          <w:bottom w:val="single" w:color="B0202A" w:sz="8" w:space="4"/>
        </w:pBdr>
        <w:spacing w:after="160" w:before="360"/>
      </w:pPr>
      <w:r>
        <w:rPr>
          <w:rFonts w:ascii="Calibri" w:cs="Calibri" w:eastAsia="Calibri" w:hAnsi="Calibri"/>
          <w:b/>
          <w:bCs/>
          <w:color w:val="12163A"/>
          <w:sz w:val="34"/>
          <w:szCs w:val="34"/>
        </w:rPr>
        <w:t xml:space="preserve">11. Why the project is valid, and the research gap</w:t>
      </w:r>
    </w:p>
    <w:p>
      <w:pPr>
        <w:spacing w:after="120" w:line="276"/>
      </w:pPr>
      <w:r>
        <w:rPr>
          <w:rFonts w:ascii="Calibri" w:cs="Calibri" w:eastAsia="Calibri" w:hAnsi="Calibri"/>
          <w:color w:val="1A1D3A"/>
          <w:sz w:val="21"/>
          <w:szCs w:val="21"/>
        </w:rPr>
        <w:t xml:space="preserve">This project does </w:t>
      </w:r>
      <w:r>
        <w:rPr>
          <w:rFonts w:ascii="Calibri" w:cs="Calibri" w:eastAsia="Calibri" w:hAnsi="Calibri"/>
          <w:b/>
          <w:bCs/>
          <w:color w:val="1A1D3A"/>
          <w:sz w:val="21"/>
          <w:szCs w:val="21"/>
        </w:rPr>
        <w:t xml:space="preserve">not</w:t>
      </w:r>
      <w:r>
        <w:rPr>
          <w:rFonts w:ascii="Calibri" w:cs="Calibri" w:eastAsia="Calibri" w:hAnsi="Calibri"/>
          <w:color w:val="1A1D3A"/>
          <w:sz w:val="21"/>
          <w:szCs w:val="21"/>
        </w:rPr>
        <w:t xml:space="preserve"> claim that smart campuses are a new idea. Existing research shows that occupancy sensing, lighting automation, HVAC automation and room management work, and that university buildings achieve measurable savings (S1–S13).</w:t>
      </w:r>
    </w:p>
    <w:p>
      <w:pPr>
        <w:spacing w:after="120" w:line="276"/>
      </w:pPr>
      <w:r>
        <w:rPr>
          <w:rFonts w:ascii="Calibri" w:cs="Calibri" w:eastAsia="Calibri" w:hAnsi="Calibri"/>
          <w:color w:val="1A1D3A"/>
          <w:sz w:val="21"/>
          <w:szCs w:val="21"/>
        </w:rPr>
        <w:t xml:space="preserve">Our contribution is </w:t>
      </w:r>
      <w:r>
        <w:rPr>
          <w:rFonts w:ascii="Calibri" w:cs="Calibri" w:eastAsia="Calibri" w:hAnsi="Calibri"/>
          <w:b/>
          <w:bCs/>
          <w:color w:val="1A1D3A"/>
          <w:sz w:val="21"/>
          <w:szCs w:val="21"/>
        </w:rPr>
        <w:t xml:space="preserve">integration</w:t>
      </w:r>
      <w:r>
        <w:rPr>
          <w:rFonts w:ascii="Calibri" w:cs="Calibri" w:eastAsia="Calibri" w:hAnsi="Calibri"/>
          <w:color w:val="1A1D3A"/>
          <w:sz w:val="21"/>
          <w:szCs w:val="21"/>
        </w:rPr>
        <w:t xml:space="preserve">: physical sensing + context + verification + automation decision + physical control + energy measurement + security + evidence + investigation + auditability in one cyber-physical campus control platform.</w:t>
      </w:r>
    </w:p>
    <w:p>
      <w:pPr>
        <w:pStyle w:val="Heading3"/>
        <w:keepNext/>
        <w:spacing w:after="80" w:before="160"/>
      </w:pPr>
      <w:r>
        <w:rPr>
          <w:rFonts w:ascii="Calibri" w:cs="Calibri" w:eastAsia="Calibri" w:hAnsi="Calibri"/>
          <w:b/>
          <w:bCs/>
          <w:color w:val="12163A"/>
          <w:sz w:val="22"/>
          <w:szCs w:val="22"/>
        </w:rPr>
        <w:t xml:space="preserve">The gap, stated carefully</w:t>
      </w:r>
    </w:p>
    <w:p>
      <w:pPr>
        <w:spacing w:after="120" w:line="276"/>
      </w:pPr>
      <w:r>
        <w:rPr>
          <w:rFonts w:ascii="Calibri" w:cs="Calibri" w:eastAsia="Calibri" w:hAnsi="Calibri"/>
          <w:color w:val="1A1D3A"/>
          <w:sz w:val="21"/>
          <w:szCs w:val="21"/>
        </w:rPr>
        <w:t xml:space="preserve">Published implementations typically concentrate on one or two of lighting, HVAC, occupancy detection, energy monitoring, individual buildings or laboratory optimisation. We did not find, in the sources reviewed, an openly documented university implementation that also ties energy automation to </w:t>
      </w:r>
      <w:r>
        <w:rPr>
          <w:rFonts w:ascii="Calibri" w:cs="Calibri" w:eastAsia="Calibri" w:hAnsi="Calibri"/>
          <w:b/>
          <w:bCs/>
          <w:color w:val="1A1D3A"/>
          <w:sz w:val="21"/>
          <w:szCs w:val="21"/>
        </w:rPr>
        <w:t xml:space="preserve">access control, evidence, investigation and a unified command centre</w:t>
      </w:r>
      <w:r>
        <w:rPr>
          <w:rFonts w:ascii="Calibri" w:cs="Calibri" w:eastAsia="Calibri" w:hAnsi="Calibri"/>
          <w:color w:val="1A1D3A"/>
          <w:sz w:val="21"/>
          <w:szCs w:val="21"/>
        </w:rPr>
        <w:t xml:space="preserve"> — but this is a statement about the sources we reviewed, not a claim that no such system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Typical focus in reviewed work</w:t>
            </w:r>
          </w:p>
        </w:tc>
        <w:tc>
          <w:tcPr>
            <w:tcW w:type="dxa" w:w="4819"/>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AIU Smart Campus adds</w:t>
            </w:r>
          </w:p>
        </w:tc>
      </w:tr>
      <w:tr>
        <w:trPr>
          <w:cantSplit/>
        </w:trPr>
        <w:tc>
          <w:tcPr>
            <w:tcW w:type="dxa" w:w="481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Lighting or HVAC control in one building type</w:t>
            </w:r>
          </w:p>
        </w:tc>
        <w:tc>
          <w:tcPr>
            <w:tcW w:type="dxa" w:w="481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Zone-level automation across rooms/labs with critical-load guard</w:t>
            </w:r>
          </w:p>
        </w:tc>
      </w:tr>
      <w:tr>
        <w:trPr>
          <w:cantSplit/>
        </w:trPr>
        <w:tc>
          <w:tcPr>
            <w:tcW w:type="dxa" w:w="4819"/>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Energy monitoring dashboards</w:t>
            </w:r>
          </w:p>
        </w:tc>
        <w:tc>
          <w:tcPr>
            <w:tcW w:type="dxa" w:w="4819"/>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Closed loop: decision → command → status → energy impact</w:t>
            </w:r>
          </w:p>
        </w:tc>
      </w:tr>
      <w:tr>
        <w:trPr>
          <w:cantSplit/>
        </w:trPr>
        <w:tc>
          <w:tcPr>
            <w:tcW w:type="dxa" w:w="481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Occupancy detection accuracy</w:t>
            </w:r>
          </w:p>
        </w:tc>
        <w:tc>
          <w:tcPr>
            <w:tcW w:type="dxa" w:w="4819"/>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7"/>
                <w:szCs w:val="17"/>
              </w:rPr>
              <w:t xml:space="preserve">Verification step and decision logging before action</w:t>
            </w:r>
          </w:p>
        </w:tc>
      </w:tr>
      <w:tr>
        <w:trPr>
          <w:cantSplit/>
        </w:trPr>
        <w:tc>
          <w:tcPr>
            <w:tcW w:type="dxa" w:w="4819"/>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Energy only</w:t>
            </w:r>
          </w:p>
        </w:tc>
        <w:tc>
          <w:tcPr>
            <w:tcW w:type="dxa" w:w="4819"/>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7"/>
                <w:szCs w:val="17"/>
              </w:rPr>
              <w:t xml:space="preserve">Energy + access control + evidence + investigation + auditability in one Command Center</w:t>
            </w:r>
          </w:p>
        </w:tc>
      </w:tr>
    </w:tbl>
    <w:p>
      <w:pPr>
        <w:pStyle w:val="Heading1"/>
        <w:pBdr>
          <w:bottom w:val="single" w:color="B0202A" w:sz="8" w:space="4"/>
        </w:pBdr>
        <w:spacing w:after="160" w:before="360"/>
      </w:pPr>
      <w:r>
        <w:rPr>
          <w:rFonts w:ascii="Calibri" w:cs="Calibri" w:eastAsia="Calibri" w:hAnsi="Calibri"/>
          <w:b/>
          <w:bCs/>
          <w:color w:val="12163A"/>
          <w:sz w:val="34"/>
          <w:szCs w:val="34"/>
        </w:rPr>
        <w:t xml:space="preserve">12. Assumptions and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438"/>
        <w:gridCol w:w="1600"/>
      </w:tblGrid>
      <w:tr>
        <w:trPr>
          <w:cantSplit/>
          <w:tblHeader/>
        </w:trPr>
        <w:tc>
          <w:tcPr>
            <w:tcW w:type="dxa" w:w="24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Value</w:t>
            </w:r>
          </w:p>
        </w:tc>
        <w:tc>
          <w:tcPr>
            <w:tcW w:type="dxa" w:w="22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Source</w:t>
            </w:r>
          </w:p>
        </w:tc>
        <w:tc>
          <w:tcPr>
            <w:tcW w:type="dxa" w:w="3438"/>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Why used</w:t>
            </w:r>
          </w:p>
        </w:tc>
        <w:tc>
          <w:tcPr>
            <w:tcW w:type="dxa" w:w="16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6"/>
                <w:szCs w:val="16"/>
              </w:rPr>
              <w:t xml:space="preserve">Confidence</w:t>
            </w:r>
          </w:p>
        </w:tc>
      </w:tr>
      <w:tr>
        <w:trPr>
          <w:cantSplit/>
        </w:trPr>
        <w:tc>
          <w:tcPr>
            <w:tcW w:type="dxa" w:w="2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Reference BUA 263,020 m²</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A3 REDCON (contractor)</w:t>
            </w:r>
          </w:p>
        </w:tc>
        <w:tc>
          <w:tcPr>
            <w:tcW w:type="dxa" w:w="34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Largest single documented BUA; not verified as operational campus total</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MEDIUM (as a documented number) / LOW (as campus total)</w:t>
            </w:r>
          </w:p>
        </w:tc>
      </w:tr>
      <w:tr>
        <w:trPr>
          <w:cantSplit/>
        </w:trPr>
        <w:tc>
          <w:tcPr>
            <w:tcW w:type="dxa" w:w="2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Sensitivity BUA 174,000 / 437,020 m²</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A2 SIAC; A2+A3 sum</w:t>
            </w:r>
          </w:p>
        </w:tc>
        <w:tc>
          <w:tcPr>
            <w:tcW w:type="dxa" w:w="34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Lower bound and unverified additive upper bound</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LOW</w:t>
            </w:r>
          </w:p>
        </w:tc>
      </w:tr>
      <w:tr>
        <w:trPr>
          <w:cantSplit/>
        </w:trPr>
        <w:tc>
          <w:tcPr>
            <w:tcW w:type="dxa" w:w="2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EUI 130 / 165 / 215 kWh/m²·yr</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S14 (hot-climate universities)</w:t>
            </w:r>
          </w:p>
        </w:tc>
        <w:tc>
          <w:tcPr>
            <w:tcW w:type="dxa" w:w="34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Electricity-dominant cooling climate analogues; New Alamein climate differs</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MEDIUM</w:t>
            </w:r>
          </w:p>
        </w:tc>
      </w:tr>
      <w:tr>
        <w:trPr>
          <w:cantSplit/>
        </w:trPr>
        <w:tc>
          <w:tcPr>
            <w:tcW w:type="dxa" w:w="2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Controllable share 50 / 60 / 70%</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Engineering estimate</w:t>
            </w:r>
          </w:p>
        </w:tc>
        <w:tc>
          <w:tcPr>
            <w:tcW w:type="dxa" w:w="34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Excludes critical, process and fixed loads</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LOW</w:t>
            </w:r>
          </w:p>
        </w:tc>
      </w:tr>
      <w:tr>
        <w:trPr>
          <w:cantSplit/>
        </w:trPr>
        <w:tc>
          <w:tcPr>
            <w:tcW w:type="dxa" w:w="2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Automation coverage 50 / 70 / 90%</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Project target</w:t>
            </w:r>
          </w:p>
        </w:tc>
        <w:tc>
          <w:tcPr>
            <w:tcW w:type="dxa" w:w="34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Design variable of deployment, not evidence</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LOW</w:t>
            </w:r>
          </w:p>
        </w:tc>
      </w:tr>
      <w:tr>
        <w:trPr>
          <w:cantSplit/>
        </w:trPr>
        <w:tc>
          <w:tcPr>
            <w:tcW w:type="dxa" w:w="2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Saving on controlled loads 10 / 18 / 28%</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S1, S6, S10–S13</w:t>
            </w:r>
          </w:p>
        </w:tc>
        <w:tc>
          <w:tcPr>
            <w:tcW w:type="dxa" w:w="34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Spans campus-level evidence to measured end-use maxima</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MEDIUM</w:t>
            </w:r>
          </w:p>
        </w:tc>
      </w:tr>
      <w:tr>
        <w:trPr>
          <w:cantSplit/>
        </w:trPr>
        <w:tc>
          <w:tcPr>
            <w:tcW w:type="dxa" w:w="2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Category area shares 40/10/15/25/10%</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Engineering estimate</w:t>
            </w:r>
          </w:p>
        </w:tc>
        <w:tc>
          <w:tcPr>
            <w:tcW w:type="dxa" w:w="34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AIU category areas not published</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LOW</w:t>
            </w:r>
          </w:p>
        </w:tc>
      </w:tr>
      <w:tr>
        <w:trPr>
          <w:cantSplit/>
        </w:trPr>
        <w:tc>
          <w:tcPr>
            <w:tcW w:type="dxa" w:w="2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Lab controllable 40%, rates 5/10/20%</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S3–S4, S11 + system scope</w:t>
            </w:r>
          </w:p>
        </w:tc>
        <w:tc>
          <w:tcPr>
            <w:tcW w:type="dxa" w:w="34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Our system does not control lab ventilation</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LOW</w:t>
            </w:r>
          </w:p>
        </w:tc>
      </w:tr>
      <w:tr>
        <w:trPr>
          <w:cantSplit/>
        </w:trPr>
        <w:tc>
          <w:tcPr>
            <w:tcW w:type="dxa" w:w="2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Tariff EGP 2.55/kWh (2.74 LV)</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E1 EgyptERA Apr 2026</w:t>
            </w:r>
          </w:p>
        </w:tc>
        <w:tc>
          <w:tcPr>
            <w:tcW w:type="dxa" w:w="34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Official; AIU category unknown; excludes stamp and fees</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MEDIUM</w:t>
            </w:r>
          </w:p>
        </w:tc>
      </w:tr>
      <w:tr>
        <w:trPr>
          <w:cantSplit/>
        </w:trPr>
        <w:tc>
          <w:tcPr>
            <w:tcW w:type="dxa" w:w="2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Flat 5-year saving, no escalation</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Engineering simplification</w:t>
            </w:r>
          </w:p>
        </w:tc>
        <w:tc>
          <w:tcPr>
            <w:tcW w:type="dxa" w:w="34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Avoids speculative growth, ramp-up or tariff changes</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MEDIUM</w:t>
            </w:r>
          </w:p>
        </w:tc>
      </w:tr>
      <w:tr>
        <w:trPr>
          <w:cantSplit/>
        </w:trPr>
        <w:tc>
          <w:tcPr>
            <w:tcW w:type="dxa" w:w="24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CO₂ factor 0.563 kg/kWh</w:t>
            </w:r>
          </w:p>
        </w:tc>
        <w:tc>
          <w:tcPr>
            <w:tcW w:type="dxa" w:w="22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E2 Ember (secondary access)</w:t>
            </w:r>
          </w:p>
        </w:tc>
        <w:tc>
          <w:tcPr>
            <w:tcW w:type="dxa" w:w="3438"/>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Egypt-specific grid intensity; lifecycle basis</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6"/>
                <w:szCs w:val="16"/>
              </w:rPr>
              <w:t xml:space="preserve">MEDIUM</w:t>
            </w:r>
          </w:p>
        </w:tc>
      </w:tr>
      <w:tr>
        <w:trPr>
          <w:cantSplit/>
        </w:trPr>
        <w:tc>
          <w:tcPr>
            <w:tcW w:type="dxa" w:w="24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Operating hours/semester pattern</w:t>
            </w:r>
          </w:p>
        </w:tc>
        <w:tc>
          <w:tcPr>
            <w:tcW w:type="dxa" w:w="22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w:t>
            </w:r>
          </w:p>
        </w:tc>
        <w:tc>
          <w:tcPr>
            <w:tcW w:type="dxa" w:w="3438"/>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Not modelled; Korean results come from semester weeks</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6"/>
                <w:szCs w:val="16"/>
              </w:rPr>
              <w:t xml:space="preserve">LOW</w:t>
            </w:r>
          </w:p>
        </w:tc>
      </w:tr>
    </w:tbl>
    <w:p>
      <w:pPr>
        <w:spacing w:after="60"/>
      </w:pPr>
    </w:p>
    <w:p>
      <w:pPr>
        <w:spacing w:after="120" w:line="276"/>
      </w:pPr>
      <w:r>
        <w:rPr>
          <w:rFonts w:ascii="Calibri" w:cs="Calibri" w:eastAsia="Calibri" w:hAnsi="Calibri"/>
          <w:color w:val="1A1D3A"/>
          <w:sz w:val="21"/>
          <w:szCs w:val="21"/>
        </w:rPr>
        <w:t xml:space="preserve">Other limitations: published savings are partly weather- and occupancy-dependent; savings from different end-uses are not additive; rebound and behaviour effects are not modelled; capital and maintenance costs are not included (so no payback is claimed); and none of the benchmarks is from Egypt.</w:t>
      </w:r>
    </w:p>
    <w:p>
      <w:pPr>
        <w:pStyle w:val="Heading1"/>
        <w:pBdr>
          <w:bottom w:val="single" w:color="B0202A" w:sz="8" w:space="4"/>
        </w:pBdr>
        <w:spacing w:after="160" w:before="360"/>
      </w:pPr>
      <w:r>
        <w:rPr>
          <w:rFonts w:ascii="Calibri" w:cs="Calibri" w:eastAsia="Calibri" w:hAnsi="Calibri"/>
          <w:b/>
          <w:bCs/>
          <w:color w:val="12163A"/>
          <w:sz w:val="34"/>
          <w:szCs w:val="34"/>
        </w:rPr>
        <w:t xml:space="preserve">13. Final engineering conclusion</w:t>
      </w:r>
    </w:p>
    <w:p>
      <w:pPr>
        <w:pStyle w:val="ListParagraph"/>
        <w:numPr>
          <w:ilvl w:val="0"/>
          <w:numId w:val="2"/>
        </w:numPr>
        <w:spacing w:after="60" w:line="264"/>
      </w:pPr>
      <w:r>
        <w:rPr>
          <w:rFonts w:ascii="Calibri" w:cs="Calibri" w:eastAsia="Calibri" w:hAnsi="Calibri"/>
          <w:b/>
          <w:bCs/>
          <w:color w:val="1A1D3A"/>
          <w:sz w:val="21"/>
          <w:szCs w:val="21"/>
        </w:rPr>
        <w:t xml:space="preserve">Is there evidence this type of system saves energy in universities?</w:t>
      </w:r>
      <w:r>
        <w:rPr>
          <w:rFonts w:ascii="Calibri" w:cs="Calibri" w:eastAsia="Calibri" w:hAnsi="Calibri"/>
          <w:color w:val="1A1D3A"/>
          <w:sz w:val="21"/>
          <w:szCs w:val="21"/>
        </w:rPr>
        <w:t xml:space="preserve"> Yes. A field study with before/after measurements (Seoul) and multiple U.S. programmes show measurable savings from occupancy-based control and automation.</w:t>
      </w:r>
    </w:p>
    <w:p>
      <w:pPr>
        <w:pStyle w:val="ListParagraph"/>
        <w:numPr>
          <w:ilvl w:val="0"/>
          <w:numId w:val="2"/>
        </w:numPr>
        <w:spacing w:after="60" w:line="264"/>
      </w:pPr>
      <w:r>
        <w:rPr>
          <w:rFonts w:ascii="Calibri" w:cs="Calibri" w:eastAsia="Calibri" w:hAnsi="Calibri"/>
          <w:b/>
          <w:bCs/>
          <w:color w:val="1A1D3A"/>
          <w:sz w:val="21"/>
          <w:szCs w:val="21"/>
        </w:rPr>
        <w:t xml:space="preserve">What range has actually been demonstrated?</w:t>
      </w:r>
      <w:r>
        <w:rPr>
          <w:rFonts w:ascii="Calibri" w:cs="Calibri" w:eastAsia="Calibri" w:hAnsi="Calibri"/>
          <w:color w:val="1A1D3A"/>
          <w:sz w:val="21"/>
          <w:szCs w:val="21"/>
        </w:rPr>
        <w:t xml:space="preserve"> 27.9–32.4% on specific classroom end-uses and 28.2% in dormitories (Korea); 9–20% at campus/portfolio level (LBNL, Pace); 34% building-level retrofit (MSU); 51–61% in laboratories through ventilation redesign.</w:t>
      </w:r>
    </w:p>
    <w:p>
      <w:pPr>
        <w:pStyle w:val="ListParagraph"/>
        <w:numPr>
          <w:ilvl w:val="0"/>
          <w:numId w:val="2"/>
        </w:numPr>
        <w:spacing w:after="60" w:line="264"/>
      </w:pPr>
      <w:r>
        <w:rPr>
          <w:rFonts w:ascii="Calibri" w:cs="Calibri" w:eastAsia="Calibri" w:hAnsi="Calibri"/>
          <w:b/>
          <w:bCs/>
          <w:color w:val="1A1D3A"/>
          <w:sz w:val="21"/>
          <w:szCs w:val="21"/>
        </w:rPr>
        <w:t xml:space="preserve">Defensible target range for AIU?</w:t>
      </w:r>
      <w:r>
        <w:rPr>
          <w:rFonts w:ascii="Calibri" w:cs="Calibri" w:eastAsia="Calibri" w:hAnsi="Calibri"/>
          <w:color w:val="1A1D3A"/>
          <w:sz w:val="21"/>
          <w:szCs w:val="21"/>
        </w:rPr>
        <w:t xml:space="preserve"> About </w:t>
      </w:r>
      <w:r>
        <w:rPr>
          <w:rFonts w:ascii="Calibri" w:cs="Calibri" w:eastAsia="Calibri" w:hAnsi="Calibri"/>
          <w:b/>
          <w:bCs/>
          <w:color w:val="1A1D3A"/>
          <w:sz w:val="21"/>
          <w:szCs w:val="21"/>
        </w:rPr>
        <w:t xml:space="preserve">5–13% reduction in controllable energy</w:t>
      </w:r>
      <w:r>
        <w:rPr>
          <w:rFonts w:ascii="Calibri" w:cs="Calibri" w:eastAsia="Calibri" w:hAnsi="Calibri"/>
          <w:color w:val="1A1D3A"/>
          <w:sz w:val="21"/>
          <w:szCs w:val="21"/>
        </w:rPr>
        <w:t xml:space="preserve"> (Conservative to Moderate), equal to </w:t>
      </w:r>
      <w:r>
        <w:rPr>
          <w:rFonts w:ascii="Calibri" w:cs="Calibri" w:eastAsia="Calibri" w:hAnsi="Calibri"/>
          <w:b/>
          <w:bCs/>
          <w:color w:val="1A1D3A"/>
          <w:sz w:val="21"/>
          <w:szCs w:val="21"/>
        </w:rPr>
        <w:t xml:space="preserve">2.5–7.6% of total campus electricity</w:t>
      </w:r>
      <w:r>
        <w:rPr>
          <w:rFonts w:ascii="Calibri" w:cs="Calibri" w:eastAsia="Calibri" w:hAnsi="Calibri"/>
          <w:color w:val="1A1D3A"/>
          <w:sz w:val="21"/>
          <w:szCs w:val="21"/>
        </w:rPr>
        <w:t xml:space="preserve">, subject to validation through actual baseline measurements. 25% of controllable energy (High-impact) is an upper bound, not a plan.</w:t>
      </w:r>
    </w:p>
    <w:p>
      <w:pPr>
        <w:pStyle w:val="ListParagraph"/>
        <w:numPr>
          <w:ilvl w:val="0"/>
          <w:numId w:val="2"/>
        </w:numPr>
        <w:spacing w:after="60" w:line="264"/>
      </w:pPr>
      <w:r>
        <w:rPr>
          <w:rFonts w:ascii="Calibri" w:cs="Calibri" w:eastAsia="Calibri" w:hAnsi="Calibri"/>
          <w:b/>
          <w:bCs/>
          <w:color w:val="1A1D3A"/>
          <w:sz w:val="21"/>
          <w:szCs w:val="21"/>
        </w:rPr>
        <w:t xml:space="preserve">How much energy is that?</w:t>
      </w:r>
      <w:r>
        <w:rPr>
          <w:rFonts w:ascii="Calibri" w:cs="Calibri" w:eastAsia="Calibri" w:hAnsi="Calibri"/>
          <w:color w:val="1A1D3A"/>
          <w:sz w:val="21"/>
          <w:szCs w:val="21"/>
        </w:rPr>
        <w:t xml:space="preserve"> On the benchmark-based baseline of 43.40 GWh/yr: </w:t>
      </w:r>
      <w:r>
        <w:rPr>
          <w:rFonts w:ascii="Calibri" w:cs="Calibri" w:eastAsia="Calibri" w:hAnsi="Calibri"/>
          <w:b/>
          <w:bCs/>
          <w:color w:val="1A1D3A"/>
          <w:sz w:val="21"/>
          <w:szCs w:val="21"/>
        </w:rPr>
        <w:t xml:space="preserve">1.08–3.28 GWh/yr</w:t>
      </w:r>
      <w:r>
        <w:rPr>
          <w:rFonts w:ascii="Calibri" w:cs="Calibri" w:eastAsia="Calibri" w:hAnsi="Calibri"/>
          <w:color w:val="1A1D3A"/>
          <w:sz w:val="21"/>
          <w:szCs w:val="21"/>
        </w:rPr>
        <w:t xml:space="preserve"> (5,425–16,405 MWh over five years), ≈ EGP 2.8–8.4 million per year and ≈ 611–1,847 tCO₂ per year (indicative). High-impact: 7.66 GWh/yr.</w:t>
      </w:r>
    </w:p>
    <w:p>
      <w:pPr>
        <w:pStyle w:val="ListParagraph"/>
        <w:numPr>
          <w:ilvl w:val="0"/>
          <w:numId w:val="2"/>
        </w:numPr>
        <w:spacing w:after="60" w:line="264"/>
      </w:pPr>
      <w:r>
        <w:rPr>
          <w:rFonts w:ascii="Calibri" w:cs="Calibri" w:eastAsia="Calibri" w:hAnsi="Calibri"/>
          <w:b/>
          <w:bCs/>
          <w:color w:val="1A1D3A"/>
          <w:sz w:val="21"/>
          <w:szCs w:val="21"/>
        </w:rPr>
        <w:t xml:space="preserve">Which AIU building types have the greatest potential?</w:t>
      </w:r>
      <w:r>
        <w:rPr>
          <w:rFonts w:ascii="Calibri" w:cs="Calibri" w:eastAsia="Calibri" w:hAnsi="Calibri"/>
          <w:color w:val="1A1D3A"/>
          <w:sz w:val="21"/>
          <w:szCs w:val="21"/>
        </w:rPr>
        <w:t xml:space="preserve"> Academic/classroom buildings and dormitories, followed by administration/library; laboratories offer less under non-critical-load control; hospital and central plant are largely out of scope.</w:t>
      </w:r>
    </w:p>
    <w:p>
      <w:pPr>
        <w:pStyle w:val="ListParagraph"/>
        <w:numPr>
          <w:ilvl w:val="0"/>
          <w:numId w:val="2"/>
        </w:numPr>
        <w:spacing w:after="60" w:line="264"/>
      </w:pPr>
      <w:r>
        <w:rPr>
          <w:rFonts w:ascii="Calibri" w:cs="Calibri" w:eastAsia="Calibri" w:hAnsi="Calibri"/>
          <w:b/>
          <w:bCs/>
          <w:color w:val="1A1D3A"/>
          <w:sz w:val="21"/>
          <w:szCs w:val="21"/>
        </w:rPr>
        <w:t xml:space="preserve">What measurements prove the actual AIU savings?</w:t>
      </w:r>
      <w:r>
        <w:rPr>
          <w:rFonts w:ascii="Calibri" w:cs="Calibri" w:eastAsia="Calibri" w:hAnsi="Calibri"/>
          <w:color w:val="1A1D3A"/>
          <w:sz w:val="21"/>
          <w:szCs w:val="21"/>
        </w:rPr>
        <w:t xml:space="preserve"> (a) 12 months of utility-meter and sub-meter data to establish the real baseline and the controllable share; (b) AIU's actual tariff category and bills; (c) per-zone energy readings (lighting, AC, plug) with timestamps; (d) occupancy hours by zone; (e) outdoor temperature/degree-days for normalisation; (f) automation-log events linked to measured load drops.</w:t>
      </w:r>
    </w:p>
    <w:p>
      <w:pPr>
        <w:pStyle w:val="ListParagraph"/>
        <w:numPr>
          <w:ilvl w:val="0"/>
          <w:numId w:val="2"/>
        </w:numPr>
        <w:spacing w:after="60" w:line="264"/>
      </w:pPr>
      <w:r>
        <w:rPr>
          <w:rFonts w:ascii="Calibri" w:cs="Calibri" w:eastAsia="Calibri" w:hAnsi="Calibri"/>
          <w:b/>
          <w:bCs/>
          <w:color w:val="1A1D3A"/>
          <w:sz w:val="21"/>
          <w:szCs w:val="21"/>
        </w:rPr>
        <w:t xml:space="preserve">How to validate experimentally?</w:t>
      </w:r>
      <w:r>
        <w:rPr>
          <w:rFonts w:ascii="Calibri" w:cs="Calibri" w:eastAsia="Calibri" w:hAnsi="Calibri"/>
          <w:color w:val="1A1D3A"/>
          <w:sz w:val="21"/>
          <w:szCs w:val="21"/>
        </w:rPr>
        <w:t xml:space="preserve"> Replicate the Korean design where it was strongest: alternate-week ON/OFF in matched zones (e.g. Smart Lab 301 and a comparable room), a reference group of untreated rooms with calibration (Eq. 1 of S1), logging at ≥15-minute resolution, ≥4–8 weeks per season, weather normalisation, and reporting results with confidence intervals. Pilot first in one classroom block and one dormitory floor, then extend.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3F9E" w:sz="24"/>
              <w:bottom w:val="none" w:color="FFFFFF" w:sz="0"/>
              <w:right w:val="none" w:color="FFFFFF" w:sz="0"/>
            </w:tcBorders>
            <w:shd w:fill="E8EAF4" w:color="auto" w:val="clear"/>
            <w:tcMar>
              <w:top w:type="dxa" w:w="110"/>
              <w:left w:type="dxa" w:w="180"/>
              <w:bottom w:type="dxa" w:w="110"/>
              <w:right w:type="dxa" w:w="180"/>
            </w:tcMar>
          </w:tcPr>
          <w:p>
            <w:pPr>
              <w:spacing w:after="60"/>
            </w:pPr>
            <w:r>
              <w:rPr>
                <w:rFonts w:ascii="Calibri" w:cs="Calibri" w:eastAsia="Calibri" w:hAnsi="Calibri"/>
                <w:b/>
                <w:bCs/>
                <w:color w:val="3B3F9E"/>
                <w:sz w:val="21"/>
                <w:szCs w:val="21"/>
              </w:rPr>
              <w:t xml:space="preserve">Defensible one-sentence claim</w:t>
            </w:r>
          </w:p>
          <w:p>
            <w:pPr>
              <w:spacing w:after="50"/>
            </w:pPr>
            <w:r>
              <w:rPr>
                <w:rFonts w:ascii="Calibri" w:cs="Calibri" w:eastAsia="Calibri" w:hAnsi="Calibri"/>
                <w:color w:val="1A1D3A"/>
                <w:sz w:val="20"/>
                <w:szCs w:val="20"/>
              </w:rPr>
              <w:t xml:space="preserve">Based on comparable university implementations, AIU could potentially target an estimated </w:t>
            </w:r>
            <w:r>
              <w:rPr>
                <w:rFonts w:ascii="Calibri" w:cs="Calibri" w:eastAsia="Calibri" w:hAnsi="Calibri"/>
                <w:b/>
                <w:bCs/>
                <w:color w:val="1A1D3A"/>
                <w:sz w:val="20"/>
                <w:szCs w:val="20"/>
              </w:rPr>
              <w:t xml:space="preserve">5–13% reduction in controllable energy consumption (≈2.5–7.6% of total campus electricity)</w:t>
            </w:r>
            <w:r>
              <w:rPr>
                <w:rFonts w:ascii="Calibri" w:cs="Calibri" w:eastAsia="Calibri" w:hAnsi="Calibri"/>
                <w:color w:val="1A1D3A"/>
                <w:sz w:val="20"/>
                <w:szCs w:val="20"/>
              </w:rPr>
              <w:t xml:space="preserve">, with a higher-bound scenario of ≈25% of controllable energy, subject to validation through actual baseline measurements.</w:t>
            </w:r>
          </w:p>
        </w:tc>
      </w:tr>
    </w:tbl>
    <w:p>
      <w:pPr>
        <w:sectPr>
          <w:footerReference w:type="default" r:id="rId8"/>
          <w:pgSz w:w="11906" w:h="16838" w:orient="portrait"/>
          <w:pgMar w:top="1134" w:right="1134" w:bottom="1134" w:left="1134" w:header="708" w:footer="708" w:gutter="0"/>
          <w:pgNumType/>
          <w:docGrid w:linePitch="360"/>
        </w:sectPr>
      </w:pPr>
    </w:p>
    <w:p>
      <w:pPr>
        <w:pStyle w:val="Heading1"/>
        <w:pBdr>
          <w:bottom w:val="single" w:color="B0202A" w:sz="8" w:space="4"/>
        </w:pBdr>
        <w:spacing w:after="160" w:before="360"/>
      </w:pPr>
      <w:r>
        <w:rPr>
          <w:rFonts w:ascii="Calibri" w:cs="Calibri" w:eastAsia="Calibri" w:hAnsi="Calibri"/>
          <w:b/>
          <w:bCs/>
          <w:color w:val="12163A"/>
          <w:sz w:val="34"/>
          <w:szCs w:val="34"/>
        </w:rPr>
        <w:t xml:space="preserve">14. Source register</w:t>
      </w:r>
    </w:p>
    <w:p>
      <w:pPr>
        <w:spacing w:after="120" w:line="276"/>
      </w:pPr>
      <w:r>
        <w:rPr>
          <w:rFonts w:ascii="Calibri" w:cs="Calibri" w:eastAsia="Calibri" w:hAnsi="Calibri"/>
          <w:color w:val="1A1D3A"/>
          <w:sz w:val="21"/>
          <w:szCs w:val="21"/>
        </w:rPr>
        <w:t xml:space="preserve">Sources are separated by evidence type. Items that were obtained through secondary extracts, or that we could not independently reopen, are flagged in the last column text.</w:t>
      </w:r>
    </w:p>
    <w:p>
      <w:pPr>
        <w:pStyle w:val="Heading2"/>
        <w:keepNext/>
        <w:spacing w:after="100" w:before="240"/>
      </w:pPr>
      <w:r>
        <w:rPr>
          <w:rFonts w:ascii="Calibri" w:cs="Calibri" w:eastAsia="Calibri" w:hAnsi="Calibri"/>
          <w:b/>
          <w:bCs/>
          <w:color w:val="3B3F9E"/>
          <w:sz w:val="26"/>
          <w:szCs w:val="26"/>
        </w:rPr>
        <w:t xml:space="preserve">A. ACADEMIC &amp; OFFICIAL BENCHMARK EVIDENCE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000"/>
        <w:gridCol w:w="700"/>
        <w:gridCol w:w="2900"/>
        <w:gridCol w:w="2300"/>
        <w:gridCol w:w="3370"/>
      </w:tblGrid>
      <w:tr>
        <w:trPr>
          <w:cantSplit/>
          <w:tblHeader/>
        </w:trPr>
        <w:tc>
          <w:tcPr>
            <w:tcW w:type="dxa" w:w="6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ID</w:t>
            </w:r>
          </w:p>
        </w:tc>
        <w:tc>
          <w:tcPr>
            <w:tcW w:type="dxa" w:w="27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Title</w:t>
            </w:r>
          </w:p>
        </w:tc>
        <w:tc>
          <w:tcPr>
            <w:tcW w:type="dxa" w:w="2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Institution / author</w:t>
            </w:r>
          </w:p>
        </w:tc>
        <w:tc>
          <w:tcPr>
            <w:tcW w:type="dxa" w:w="7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Year</w:t>
            </w:r>
          </w:p>
        </w:tc>
        <w:tc>
          <w:tcPr>
            <w:tcW w:type="dxa" w:w="29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URL</w:t>
            </w:r>
          </w:p>
        </w:tc>
        <w:tc>
          <w:tcPr>
            <w:tcW w:type="dxa" w:w="23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Number extracted</w:t>
            </w:r>
          </w:p>
        </w:tc>
        <w:tc>
          <w:tcPr>
            <w:tcW w:type="dxa" w:w="337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What it represents</w:t>
            </w:r>
          </w:p>
        </w:tc>
      </w:tr>
      <w:tr>
        <w:trPr>
          <w:cantSplit/>
        </w:trPr>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S1</w:t>
            </w:r>
          </w:p>
        </w:tc>
        <w:tc>
          <w:tcPr>
            <w:tcW w:type="dxa" w:w="2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Energy Saving of a University Building Using a Motion Detection Sensor and Room Management System</w:t>
            </w:r>
          </w:p>
        </w:tc>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J.-W. Lee &amp; Y. I. Kim, Seoul Nat. Univ. of Science &amp; Technology — Sustainability 12(22):9471</w:t>
            </w:r>
          </w:p>
        </w:tc>
        <w:tc>
          <w:tcPr>
            <w:tcW w:type="dxa" w:w="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2020</w:t>
            </w:r>
          </w:p>
        </w:tc>
        <w:tc>
          <w:tcPr>
            <w:tcW w:type="dxa" w:w="2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https://doi.org/10.3390/su12229471</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77.6% / 32.4% / 27.9% / 28.2%; 918.66 m² parking, 3 classrooms, 10 dorm rooms vs 120 reference</w:t>
            </w:r>
          </w:p>
        </w:tc>
        <w:tc>
          <w:tcPr>
            <w:tcW w:type="dxa" w:w="3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Measured before/after savings at H University, Seoul (South Korea): parking lighting, classroom lighting, classroom cooling (EHP), dorm (key-card RMS)</w:t>
            </w:r>
          </w:p>
        </w:tc>
      </w:tr>
      <w:tr>
        <w:trPr>
          <w:cantSplit/>
        </w:trPr>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S2</w:t>
            </w:r>
          </w:p>
        </w:tc>
        <w:tc>
          <w:tcPr>
            <w:tcW w:type="dxa" w:w="2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Michigan State University: Anthony Hall (Better Buildings Solution Center)</w:t>
            </w:r>
          </w:p>
        </w:tc>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MSU via U.S. DOE Better Buildings (partner-reported; 'not the viewpoint of DOE')</w:t>
            </w:r>
          </w:p>
        </w:tc>
        <w:tc>
          <w:tcPr>
            <w:tcW w:type="dxa" w:w="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2015</w:t>
            </w:r>
          </w:p>
        </w:tc>
        <w:tc>
          <w:tcPr>
            <w:tcW w:type="dxa" w:w="2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https://betterbuildingssolutioncenter.energy.gov/showcase-projects/michigan-state-university-anthony-hall</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34% energy savings; $536,000/yr; &gt;100,000 sq ft (317,200 sq ft per project summary)</w:t>
            </w:r>
          </w:p>
        </w:tc>
        <w:tc>
          <w:tcPr>
            <w:tcW w:type="dxa" w:w="3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Whole-building (source-EUI) saving after multi-measure controls/HVAC retrofit</w:t>
            </w:r>
          </w:p>
        </w:tc>
      </w:tr>
      <w:tr>
        <w:trPr>
          <w:cantSplit/>
        </w:trPr>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S3</w:t>
            </w:r>
          </w:p>
        </w:tc>
        <w:tc>
          <w:tcPr>
            <w:tcW w:type="dxa" w:w="2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UC Irvine: Smart Labs Initiative / Natural Sciences II (Better Buildings Solution Center)</w:t>
            </w:r>
          </w:p>
        </w:tc>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UC Irvine via U.S. DOE Better Buildings</w:t>
            </w:r>
          </w:p>
        </w:tc>
        <w:tc>
          <w:tcPr>
            <w:tcW w:type="dxa" w:w="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2015</w:t>
            </w:r>
          </w:p>
        </w:tc>
        <w:tc>
          <w:tcPr>
            <w:tcW w:type="dxa" w:w="2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https://betterbuildingssolutioncenter.energy.gov/showcase-projects/uc-irvine-smart-labs-initiativenatural-sciences-ii</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51% energy savings; $180,000/yr</w:t>
            </w:r>
          </w:p>
        </w:tc>
        <w:tc>
          <w:tcPr>
            <w:tcW w:type="dxa" w:w="3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Building-systems energy only (metered VFD + BMS-trend model); excludes lab process loads</w:t>
            </w:r>
          </w:p>
        </w:tc>
      </w:tr>
      <w:tr>
        <w:trPr>
          <w:cantSplit/>
        </w:trPr>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S4</w:t>
            </w:r>
          </w:p>
        </w:tc>
        <w:tc>
          <w:tcPr>
            <w:tcW w:type="dxa" w:w="2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Laboratory energy-savings program earns green leadership award (UCI News)</w:t>
            </w:r>
          </w:p>
        </w:tc>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UC Irvine Strategic Communications</w:t>
            </w:r>
          </w:p>
        </w:tc>
        <w:tc>
          <w:tcPr>
            <w:tcW w:type="dxa" w:w="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2013</w:t>
            </w:r>
          </w:p>
        </w:tc>
        <w:tc>
          <w:tcPr>
            <w:tcW w:type="dxa" w:w="2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https://news.uci.edu/2013/05/29/laboratory-energy-savings-program-earns-green-leadership-award/</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61% average total energy saving across 10 retrofitted labs; up to 60%; air changes 2/h unoccupied vs 4/h occupied</w:t>
            </w:r>
          </w:p>
        </w:tc>
        <w:tc>
          <w:tcPr>
            <w:tcW w:type="dxa" w:w="3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Laboratory-specific savings from variable ventilation + air-quality + occupancy sensors</w:t>
            </w:r>
          </w:p>
        </w:tc>
      </w:tr>
      <w:tr>
        <w:trPr>
          <w:cantSplit/>
        </w:trPr>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S5</w:t>
            </w:r>
          </w:p>
        </w:tc>
        <w:tc>
          <w:tcPr>
            <w:tcW w:type="dxa" w:w="2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University of California Irvine Smart Labs Initiative Success Story</w:t>
            </w:r>
          </w:p>
        </w:tc>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U.S. DOE Federal Energy Management Program</w:t>
            </w:r>
          </w:p>
        </w:tc>
        <w:tc>
          <w:tcPr>
            <w:tcW w:type="dxa" w:w="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2018</w:t>
            </w:r>
          </w:p>
        </w:tc>
        <w:tc>
          <w:tcPr>
            <w:tcW w:type="dxa" w:w="2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https://www.energy.gov/cmei/femp/articles/university-california-irvine-smart-labs-initiative-success-story</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60% energy savings (headline)</w:t>
            </w:r>
          </w:p>
        </w:tc>
        <w:tc>
          <w:tcPr>
            <w:tcW w:type="dxa" w:w="3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Program headline; DOE video summary</w:t>
            </w:r>
          </w:p>
        </w:tc>
      </w:tr>
      <w:tr>
        <w:trPr>
          <w:cantSplit/>
        </w:trPr>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S6</w:t>
            </w:r>
          </w:p>
        </w:tc>
        <w:tc>
          <w:tcPr>
            <w:tcW w:type="dxa" w:w="2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Pace University: Coordinated Energy Management Strategy</w:t>
            </w:r>
          </w:p>
        </w:tc>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Pace University via U.S. DOE Better Buildings</w:t>
            </w:r>
          </w:p>
        </w:tc>
        <w:tc>
          <w:tcPr>
            <w:tcW w:type="dxa" w:w="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2024</w:t>
            </w:r>
          </w:p>
        </w:tc>
        <w:tc>
          <w:tcPr>
            <w:tcW w:type="dxa" w:w="2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https://betterbuildingssolutioncenter.energy.gov/implementation-models/pace-university-coordinated-energy-management-strategy</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26 million kWh + ~1 million therms and $6.8M saved (through Oct 2022); portfolio 1–5 million sq ft; 24% GHG reduction</w:t>
            </w:r>
          </w:p>
        </w:tc>
        <w:tc>
          <w:tcPr>
            <w:tcW w:type="dxa" w:w="3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Campus-wide program (energy specialists + BMS scheduling + set-point policy); NOT a sensor-hardware result</w:t>
            </w:r>
          </w:p>
        </w:tc>
      </w:tr>
      <w:tr>
        <w:trPr>
          <w:cantSplit/>
        </w:trPr>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S7</w:t>
            </w:r>
          </w:p>
        </w:tc>
        <w:tc>
          <w:tcPr>
            <w:tcW w:type="dxa" w:w="2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Pace University partner/poster summary (18% average annual energy reduction)</w:t>
            </w:r>
          </w:p>
        </w:tc>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U.S. DOE Better Buildings (search extract of Summit materials)</w:t>
            </w:r>
          </w:p>
        </w:tc>
        <w:tc>
          <w:tcPr>
            <w:tcW w:type="dxa" w:w="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2023</w:t>
            </w:r>
          </w:p>
        </w:tc>
        <w:tc>
          <w:tcPr>
            <w:tcW w:type="dxa" w:w="2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https://betterbuildingssolutioncenter.energy.gov/partners/pace-university</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~18% average annual energy reduction; 250 million kBtu; $7.2M</w:t>
            </w:r>
          </w:p>
        </w:tc>
        <w:tc>
          <w:tcPr>
            <w:tcW w:type="dxa" w:w="3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Campus-wide programme average. Secondary extract — re-confirm against the primary poster before citing</w:t>
            </w:r>
          </w:p>
        </w:tc>
      </w:tr>
      <w:tr>
        <w:trPr>
          <w:cantSplit/>
        </w:trPr>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S8</w:t>
            </w:r>
          </w:p>
        </w:tc>
        <w:tc>
          <w:tcPr>
            <w:tcW w:type="dxa" w:w="2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Geothermal Heat Pump Case Study: Colorado Mesa University</w:t>
            </w:r>
          </w:p>
        </w:tc>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U.S. DOE (DOE/GO-102025-6426)</w:t>
            </w:r>
          </w:p>
        </w:tc>
        <w:tc>
          <w:tcPr>
            <w:tcW w:type="dxa" w:w="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2026</w:t>
            </w:r>
          </w:p>
        </w:tc>
        <w:tc>
          <w:tcPr>
            <w:tcW w:type="dxa" w:w="2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https://www.energy.gov/hgeo/geothermal/articles/geothermal-heat-pump-case-study-colorado-mesa-university</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14.86 million kWh/yr saved; $1.5M/yr; 1.2 million sq ft; 16 buildings; 10 kWh/sq ft/yr</w:t>
            </w:r>
          </w:p>
        </w:tc>
        <w:tc>
          <w:tcPr>
            <w:tcW w:type="dxa" w:w="3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Campus district geothermal heat-pump system. A HVAC plant technology, NOT sensing/automation — excluded from the saving-rate range</w:t>
            </w:r>
          </w:p>
        </w:tc>
      </w:tr>
      <w:tr>
        <w:trPr>
          <w:cantSplit/>
        </w:trPr>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S9</w:t>
            </w:r>
          </w:p>
        </w:tc>
        <w:tc>
          <w:tcPr>
            <w:tcW w:type="dxa" w:w="2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Better Buildings: University of Utah — Eyring Chemistry &amp; Biology buildings (blog)</w:t>
            </w:r>
          </w:p>
        </w:tc>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U.S. DOE Better Buildings Beat Team</w:t>
            </w:r>
          </w:p>
        </w:tc>
        <w:tc>
          <w:tcPr>
            <w:tcW w:type="dxa" w:w="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2017</w:t>
            </w:r>
          </w:p>
        </w:tc>
        <w:tc>
          <w:tcPr>
            <w:tcW w:type="dxa" w:w="2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https://betterbuildingssolutioncenter.energy.gov/beat-blog/specialized-savings-better-buildings-university-partner-showcases-big-savings-science</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44% EUI saving (estimated); $456,000/yr; 5 buildings, 370,000 sq ft</w:t>
            </w:r>
          </w:p>
        </w:tc>
        <w:tc>
          <w:tcPr>
            <w:tcW w:type="dxa" w:w="3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Estimated lab/classroom building retrofit (CAV→VAV + sensors/controls)</w:t>
            </w:r>
          </w:p>
        </w:tc>
      </w:tr>
      <w:tr>
        <w:trPr>
          <w:cantSplit/>
        </w:trPr>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S10</w:t>
            </w:r>
          </w:p>
        </w:tc>
        <w:tc>
          <w:tcPr>
            <w:tcW w:type="dxa" w:w="2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Human-in-the-Loop Sensing/Control for Commercial Building Energy Efficiency and Occupant Comfort</w:t>
            </w:r>
          </w:p>
        </w:tc>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Carnegie Mellon University / U.S. DOE BENEFIT-2016</w:t>
            </w:r>
          </w:p>
        </w:tc>
        <w:tc>
          <w:tcPr>
            <w:tcW w:type="dxa" w:w="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2017</w:t>
            </w:r>
          </w:p>
        </w:tc>
        <w:tc>
          <w:tcPr>
            <w:tcW w:type="dxa" w:w="2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https://www.energy.gov/cmei/buildings/articles/human-loop-sensingcontrol-commercial-building-energy-efficiency-and</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20% energy saving TARGET (occupancy sensing + model-predictive control)</w:t>
            </w:r>
          </w:p>
        </w:tc>
        <w:tc>
          <w:tcPr>
            <w:tcW w:type="dxa" w:w="3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Research target, not a measured result</w:t>
            </w:r>
          </w:p>
        </w:tc>
      </w:tr>
      <w:tr>
        <w:trPr>
          <w:cantSplit/>
        </w:trPr>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S11</w:t>
            </w:r>
          </w:p>
        </w:tc>
        <w:tc>
          <w:tcPr>
            <w:tcW w:type="dxa" w:w="2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Smart Buildings: Using Smart Technology to Save Energy in Existing Buildings (Report A1701)</w:t>
            </w:r>
          </w:p>
        </w:tc>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ACEEE</w:t>
            </w:r>
          </w:p>
        </w:tc>
        <w:tc>
          <w:tcPr>
            <w:tcW w:type="dxa" w:w="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2017</w:t>
            </w:r>
          </w:p>
        </w:tc>
        <w:tc>
          <w:tcPr>
            <w:tcW w:type="dxa" w:w="2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https://www.aceee.org/sites/default/files/publications/researchreports/a1701.pdf</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Education (occupancy sensors + web lighting control) 11%; laboratory (air-quality + occupancy sensors + real-time ventilation) 40%; integrated smart building 30–50% where otherwise inefficient</w:t>
            </w:r>
          </w:p>
        </w:tc>
        <w:tc>
          <w:tcPr>
            <w:tcW w:type="dxa" w:w="3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Technology-review model values synthesised from case studies — not a single measured campus</w:t>
            </w:r>
          </w:p>
        </w:tc>
      </w:tr>
      <w:tr>
        <w:trPr>
          <w:cantSplit/>
        </w:trPr>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S12</w:t>
            </w:r>
          </w:p>
        </w:tc>
        <w:tc>
          <w:tcPr>
            <w:tcW w:type="dxa" w:w="2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Smart Energy Analytics Campaign — outcomes</w:t>
            </w:r>
          </w:p>
        </w:tc>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Lawrence Berkeley National Laboratory / U.S. DOE</w:t>
            </w:r>
          </w:p>
        </w:tc>
        <w:tc>
          <w:tcPr>
            <w:tcW w:type="dxa" w:w="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2019–2020</w:t>
            </w:r>
          </w:p>
        </w:tc>
        <w:tc>
          <w:tcPr>
            <w:tcW w:type="dxa" w:w="2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https://www.energy.gov/cmei/buildings/articles/smart-energy-analytics-campaign-reveals-continued-energy-and-cost-savings</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Median 9% (FDD) and 3% (EIS); 104 organisations, 6,500 buildings, &gt;0.5 billion sq ft</w:t>
            </w:r>
          </w:p>
        </w:tc>
        <w:tc>
          <w:tcPr>
            <w:tcW w:type="dxa" w:w="3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Portfolio-wide median savings from analytics software (office + higher-education = 80% of participants)</w:t>
            </w:r>
          </w:p>
        </w:tc>
      </w:tr>
      <w:tr>
        <w:trPr>
          <w:cantSplit/>
        </w:trPr>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S13</w:t>
            </w:r>
          </w:p>
        </w:tc>
        <w:tc>
          <w:tcPr>
            <w:tcW w:type="dxa" w:w="2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Energy management of campus buildings (CAMP-IT), cited as ref. [12] in S1</w:t>
            </w:r>
          </w:p>
        </w:tc>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D. Kolokotsa et al., Technical University of Crete (Greece) — Energy and Buildings</w:t>
            </w:r>
          </w:p>
        </w:tc>
        <w:tc>
          <w:tcPr>
            <w:tcW w:type="dxa" w:w="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2009 (via S1)</w:t>
            </w:r>
          </w:p>
        </w:tc>
        <w:tc>
          <w:tcPr>
            <w:tcW w:type="dxa" w:w="2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https://doi.org/10.3390/su12229471 (S1 literature review)</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15–30% depending on period of year (as reported in S1); &gt;20% efficiency per secondary search</w:t>
            </w:r>
          </w:p>
        </w:tc>
        <w:tc>
          <w:tcPr>
            <w:tcW w:type="dxa" w:w="3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Web-based campus energy-management platform. Taken from S1's literature review — original paper not independently opened</w:t>
            </w:r>
          </w:p>
        </w:tc>
      </w:tr>
      <w:tr>
        <w:trPr>
          <w:cantSplit/>
        </w:trPr>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S14</w:t>
            </w:r>
          </w:p>
        </w:tc>
        <w:tc>
          <w:tcPr>
            <w:tcW w:type="dxa" w:w="2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Benchmarking of Energy Consumption in Higher Education Buildings in Saudi Arabia: Sulaiman Al-Rajhi University Case (Table 2 compiles worldwide university EUIs)</w:t>
            </w:r>
          </w:p>
        </w:tc>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Energies 16(3):1204</w:t>
            </w:r>
          </w:p>
        </w:tc>
        <w:tc>
          <w:tcPr>
            <w:tcW w:type="dxa" w:w="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2023</w:t>
            </w:r>
          </w:p>
        </w:tc>
        <w:tc>
          <w:tcPr>
            <w:tcW w:type="dxa" w:w="2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https://www.mdpi.com/1996-1073/16/3/1204</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Al-Rajhi 145–155 kWh/m²·yr; Sharjah ≈165; Dammam 167–217; Roraima admin 132 kWh/m²·yr</w:t>
            </w:r>
          </w:p>
        </w:tc>
        <w:tc>
          <w:tcPr>
            <w:tcW w:type="dxa" w:w="3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Measured/literature electricity EUIs of university buildings in hot climates</w:t>
            </w:r>
          </w:p>
        </w:tc>
      </w:tr>
      <w:tr>
        <w:trPr>
          <w:cantSplit/>
        </w:trPr>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S15</w:t>
            </w:r>
          </w:p>
        </w:tc>
        <w:tc>
          <w:tcPr>
            <w:tcW w:type="dxa" w:w="2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U.S. National Median EUI by Property Type (ENERGY STAR Portfolio Manager)</w:t>
            </w:r>
          </w:p>
        </w:tc>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U.S. EPA / ENERGY STAR (CBECS-based)</w:t>
            </w:r>
          </w:p>
        </w:tc>
        <w:tc>
          <w:tcPr>
            <w:tcW w:type="dxa" w:w="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2024</w:t>
            </w:r>
          </w:p>
        </w:tc>
        <w:tc>
          <w:tcPr>
            <w:tcW w:type="dxa" w:w="2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https://portfoliomanager.energystar.gov/pdf/reference/US%20National%20Median%20Table.pdf</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College/University site EUI 84.3 kBtu/ft² (≈266 kWh/m², all fuels)</w:t>
            </w:r>
          </w:p>
        </w:tc>
        <w:tc>
          <w:tcPr>
            <w:tcW w:type="dxa" w:w="3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US median incl. heating fuels — used as an upper cross-check only; not climate-matched to Egypt</w:t>
            </w:r>
          </w:p>
        </w:tc>
      </w:tr>
    </w:tbl>
    <w:p>
      <w:pPr>
        <w:pStyle w:val="Heading2"/>
        <w:keepNext/>
        <w:spacing w:after="100" w:before="240"/>
      </w:pPr>
      <w:r>
        <w:rPr>
          <w:rFonts w:ascii="Calibri" w:cs="Calibri" w:eastAsia="Calibri" w:hAnsi="Calibri"/>
          <w:b/>
          <w:bCs/>
          <w:color w:val="3B3F9E"/>
          <w:sz w:val="26"/>
          <w:szCs w:val="26"/>
        </w:rPr>
        <w:t xml:space="preserve">B. OFFICIAL AIU / CONTRACT DATA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000"/>
        <w:gridCol w:w="700"/>
        <w:gridCol w:w="2900"/>
        <w:gridCol w:w="2300"/>
        <w:gridCol w:w="3370"/>
      </w:tblGrid>
      <w:tr>
        <w:trPr>
          <w:cantSplit/>
          <w:tblHeader/>
        </w:trPr>
        <w:tc>
          <w:tcPr>
            <w:tcW w:type="dxa" w:w="6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ID</w:t>
            </w:r>
          </w:p>
        </w:tc>
        <w:tc>
          <w:tcPr>
            <w:tcW w:type="dxa" w:w="27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Title</w:t>
            </w:r>
          </w:p>
        </w:tc>
        <w:tc>
          <w:tcPr>
            <w:tcW w:type="dxa" w:w="2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Institution / author</w:t>
            </w:r>
          </w:p>
        </w:tc>
        <w:tc>
          <w:tcPr>
            <w:tcW w:type="dxa" w:w="7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Year</w:t>
            </w:r>
          </w:p>
        </w:tc>
        <w:tc>
          <w:tcPr>
            <w:tcW w:type="dxa" w:w="29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URL</w:t>
            </w:r>
          </w:p>
        </w:tc>
        <w:tc>
          <w:tcPr>
            <w:tcW w:type="dxa" w:w="23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Number extracted</w:t>
            </w:r>
          </w:p>
        </w:tc>
        <w:tc>
          <w:tcPr>
            <w:tcW w:type="dxa" w:w="337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What it represents</w:t>
            </w:r>
          </w:p>
        </w:tc>
      </w:tr>
      <w:tr>
        <w:trPr>
          <w:cantSplit/>
        </w:trPr>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A1</w:t>
            </w:r>
          </w:p>
        </w:tc>
        <w:tc>
          <w:tcPr>
            <w:tcW w:type="dxa" w:w="2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Alamein International University (encyclopaedic summary of AIU's own site)</w:t>
            </w:r>
          </w:p>
        </w:tc>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Wikipedia citing aiu.edu.eg (archive 2023)</w:t>
            </w:r>
          </w:p>
        </w:tc>
        <w:tc>
          <w:tcPr>
            <w:tcW w:type="dxa" w:w="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2025</w:t>
            </w:r>
          </w:p>
        </w:tc>
        <w:tc>
          <w:tcPr>
            <w:tcW w:type="dxa" w:w="2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https://en.wikipedia.org/wiki/Alamein_International_University</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~150 acres; central library; outdoor theatre; sports area; university hospital; dentistry hospital; administration building; 10 faculty buildings; 4 accommodation towers; 9 residential buildings outside campus</w:t>
            </w:r>
          </w:p>
        </w:tc>
        <w:tc>
          <w:tcPr>
            <w:tcW w:type="dxa" w:w="3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Describes the built/operating campus programme (area stated in ACRES in this source). Secondary — confirm on aiu.edu.eg</w:t>
            </w:r>
          </w:p>
        </w:tc>
      </w:tr>
      <w:tr>
        <w:trPr>
          <w:cantSplit/>
        </w:trPr>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A2</w:t>
            </w:r>
          </w:p>
        </w:tc>
        <w:tc>
          <w:tcPr>
            <w:tcW w:type="dxa" w:w="2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Alamein International University of Science and Technology — first stage of the second sector</w:t>
            </w:r>
          </w:p>
        </w:tc>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SIAC Construction (contractor)</w:t>
            </w:r>
          </w:p>
        </w:tc>
        <w:tc>
          <w:tcPr>
            <w:tcW w:type="dxa" w:w="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2026 (page)</w:t>
            </w:r>
          </w:p>
        </w:tc>
        <w:tc>
          <w:tcPr>
            <w:tcW w:type="dxa" w:w="2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https://www.siac.com.eg/?q=experience-sectors%2Fbuilding%2Falamein-international-university-science-and-technology-first-stage</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Total built-up area 174,000 m²; Faculty of Arts &amp; Design, Central Library, Student Services, Postgraduate, Administration, Conference Hall, Services Building + basement</w:t>
            </w:r>
          </w:p>
        </w:tc>
        <w:tc>
          <w:tcPr>
            <w:tcW w:type="dxa" w:w="3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BUA of ONE contract package (phase/sector), not the whole campus</w:t>
            </w:r>
          </w:p>
        </w:tc>
      </w:tr>
      <w:tr>
        <w:trPr>
          <w:cantSplit/>
        </w:trPr>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A3</w:t>
            </w:r>
          </w:p>
        </w:tc>
        <w:tc>
          <w:tcPr>
            <w:tcW w:type="dxa" w:w="2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Alamein International University (project page)</w:t>
            </w:r>
          </w:p>
        </w:tc>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REDCON Construction (contractor)</w:t>
            </w:r>
          </w:p>
        </w:tc>
        <w:tc>
          <w:tcPr>
            <w:tcW w:type="dxa" w:w="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2023 (page)</w:t>
            </w:r>
          </w:p>
        </w:tc>
        <w:tc>
          <w:tcPr>
            <w:tcW w:type="dxa" w:w="2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https://redconcon.com/project/alamein-university/</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BUA 263,020 m²; client NUCA; scope: construction &amp; finishes (Arch &amp; MEP) for 4 educational + 2 housing buildings; marked 'on-going'</w:t>
            </w:r>
          </w:p>
        </w:tc>
        <w:tc>
          <w:tcPr>
            <w:tcW w:type="dxa" w:w="3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BUA of REDCON's contract scope; not necessarily the total campus</w:t>
            </w:r>
          </w:p>
        </w:tc>
      </w:tr>
      <w:tr>
        <w:trPr>
          <w:cantSplit/>
        </w:trPr>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A4</w:t>
            </w:r>
          </w:p>
        </w:tc>
        <w:tc>
          <w:tcPr>
            <w:tcW w:type="dxa" w:w="2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Alamain International University of Science and Technology (project page)</w:t>
            </w:r>
          </w:p>
        </w:tc>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REC Consultants (structural consultant)</w:t>
            </w:r>
          </w:p>
        </w:tc>
        <w:tc>
          <w:tcPr>
            <w:tcW w:type="dxa" w:w="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2026 (page)</w:t>
            </w:r>
          </w:p>
        </w:tc>
        <w:tc>
          <w:tcPr>
            <w:tcW w:type="dxa" w:w="2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https://rec-consultants.net/alamein-project</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Total BUA 100,390 m² with the SAME building list as A2 (A2 says 174,000 m²)</w:t>
            </w:r>
          </w:p>
        </w:tc>
        <w:tc>
          <w:tcPr>
            <w:tcW w:type="dxa" w:w="3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Unreconciled discrepancy between two firms for the same package — shown as sensitivity, not resolved</w:t>
            </w:r>
          </w:p>
        </w:tc>
      </w:tr>
      <w:tr>
        <w:trPr>
          <w:cantSplit/>
        </w:trPr>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A5</w:t>
            </w:r>
          </w:p>
        </w:tc>
        <w:tc>
          <w:tcPr>
            <w:tcW w:type="dxa" w:w="2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Egypt to launch third work phase for New Alamein University in 2019</w:t>
            </w:r>
          </w:p>
        </w:tc>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Amwal Al Ghad</w:t>
            </w:r>
          </w:p>
        </w:tc>
        <w:tc>
          <w:tcPr>
            <w:tcW w:type="dxa" w:w="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2018</w:t>
            </w:r>
          </w:p>
        </w:tc>
        <w:tc>
          <w:tcPr>
            <w:tcW w:type="dxa" w:w="2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https://en.amwalalghad.com/egypt-to-launch-third-work-phase-for-new-alamein-university-in-2019/</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3 phases; Redcon = phase 1; SIAC = phase 2 (six administrative buildings + utilities); phase 3 = 3 buildings + a major hospital; New Alamein City 48,000 feddans</w:t>
            </w:r>
          </w:p>
        </w:tc>
        <w:tc>
          <w:tcPr>
            <w:tcW w:type="dxa" w:w="3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News report (2018) used to place contract packages in phases; planned 3rd phase is NOT quantified</w:t>
            </w:r>
          </w:p>
        </w:tc>
      </w:tr>
      <w:tr>
        <w:trPr>
          <w:cantSplit/>
        </w:trPr>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A6</w:t>
            </w:r>
          </w:p>
        </w:tc>
        <w:tc>
          <w:tcPr>
            <w:tcW w:type="dxa" w:w="2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Alamein University Master Plan</w:t>
            </w:r>
          </w:p>
        </w:tc>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Architizer (designer listing)</w:t>
            </w:r>
          </w:p>
        </w:tc>
        <w:tc>
          <w:tcPr>
            <w:tcW w:type="dxa" w:w="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n/d</w:t>
            </w:r>
          </w:p>
        </w:tc>
        <w:tc>
          <w:tcPr>
            <w:tcW w:type="dxa" w:w="2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https://architizer.com/projects/alamein-university-master-plan/</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Master plan for 30 years; full build-out for ≈15,000 students</w:t>
            </w:r>
          </w:p>
        </w:tc>
        <w:tc>
          <w:tcPr>
            <w:tcW w:type="dxa" w:w="3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PLANNED / master-plan student capacity (designer statement, not an enrolment figure)</w:t>
            </w:r>
          </w:p>
        </w:tc>
      </w:tr>
    </w:tbl>
    <w:p>
      <w:pPr>
        <w:pStyle w:val="Heading2"/>
        <w:keepNext/>
        <w:spacing w:after="100" w:before="240"/>
      </w:pPr>
      <w:r>
        <w:rPr>
          <w:rFonts w:ascii="Calibri" w:cs="Calibri" w:eastAsia="Calibri" w:hAnsi="Calibri"/>
          <w:b/>
          <w:bCs/>
          <w:color w:val="3B3F9E"/>
          <w:sz w:val="26"/>
          <w:szCs w:val="26"/>
        </w:rPr>
        <w:t xml:space="preserve">C. ENGINEERING ESTIMATES (inputs from external sources)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000"/>
        <w:gridCol w:w="700"/>
        <w:gridCol w:w="2900"/>
        <w:gridCol w:w="2300"/>
        <w:gridCol w:w="3370"/>
      </w:tblGrid>
      <w:tr>
        <w:trPr>
          <w:cantSplit/>
          <w:tblHeader/>
        </w:trPr>
        <w:tc>
          <w:tcPr>
            <w:tcW w:type="dxa" w:w="6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ID</w:t>
            </w:r>
          </w:p>
        </w:tc>
        <w:tc>
          <w:tcPr>
            <w:tcW w:type="dxa" w:w="27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Title</w:t>
            </w:r>
          </w:p>
        </w:tc>
        <w:tc>
          <w:tcPr>
            <w:tcW w:type="dxa" w:w="2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Institution / author</w:t>
            </w:r>
          </w:p>
        </w:tc>
        <w:tc>
          <w:tcPr>
            <w:tcW w:type="dxa" w:w="7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Year</w:t>
            </w:r>
          </w:p>
        </w:tc>
        <w:tc>
          <w:tcPr>
            <w:tcW w:type="dxa" w:w="29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URL</w:t>
            </w:r>
          </w:p>
        </w:tc>
        <w:tc>
          <w:tcPr>
            <w:tcW w:type="dxa" w:w="23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Number extracted</w:t>
            </w:r>
          </w:p>
        </w:tc>
        <w:tc>
          <w:tcPr>
            <w:tcW w:type="dxa" w:w="337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4"/>
                <w:szCs w:val="14"/>
              </w:rPr>
              <w:t xml:space="preserve">What it represents</w:t>
            </w:r>
          </w:p>
        </w:tc>
      </w:tr>
      <w:tr>
        <w:trPr>
          <w:cantSplit/>
        </w:trPr>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E1</w:t>
            </w:r>
          </w:p>
        </w:tc>
        <w:tc>
          <w:tcPr>
            <w:tcW w:type="dxa" w:w="2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EgyptERA — Electricity Tariff Starting From April 2026</w:t>
            </w:r>
          </w:p>
        </w:tc>
        <w:tc>
          <w:tcPr>
            <w:tcW w:type="dxa" w:w="2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Egyptian Electric Utility &amp; Consumer Protection Regulatory Agency</w:t>
            </w:r>
          </w:p>
        </w:tc>
        <w:tc>
          <w:tcPr>
            <w:tcW w:type="dxa" w:w="7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2026</w:t>
            </w:r>
          </w:p>
        </w:tc>
        <w:tc>
          <w:tcPr>
            <w:tcW w:type="dxa" w:w="2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https://egyptera.org/en/TarrifApril2026.aspx</w:t>
            </w:r>
          </w:p>
        </w:tc>
        <w:tc>
          <w:tcPr>
            <w:tcW w:type="dxa" w:w="23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Medium voltage (22–11 kV) 'other users' 255 Pt/kWh; low voltage 274 Pt/kWh; commercial &gt;1000 kWh 279 Pt/kWh; consumption stamp 3 Pt/kWh (non-residential)</w:t>
            </w:r>
          </w:p>
        </w:tc>
        <w:tc>
          <w:tcPr>
            <w:tcW w:type="dxa" w:w="33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4"/>
                <w:szCs w:val="14"/>
              </w:rPr>
              <w:t xml:space="preserve">Official tariff schedule (excl. service fees/stamp unless stated). AIU's actual billing category is not publicly verified</w:t>
            </w:r>
          </w:p>
        </w:tc>
      </w:tr>
      <w:tr>
        <w:trPr>
          <w:cantSplit/>
        </w:trPr>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E2</w:t>
            </w:r>
          </w:p>
        </w:tc>
        <w:tc>
          <w:tcPr>
            <w:tcW w:type="dxa" w:w="2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Egypt grid electricity intensity 0.563 kgCO₂/kWh</w:t>
            </w:r>
          </w:p>
        </w:tc>
        <w:tc>
          <w:tcPr>
            <w:tcW w:type="dxa" w:w="2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Ember (via GreenCalculus data table 'Ember 2025')</w:t>
            </w:r>
          </w:p>
        </w:tc>
        <w:tc>
          <w:tcPr>
            <w:tcW w:type="dxa" w:w="7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2025</w:t>
            </w:r>
          </w:p>
        </w:tc>
        <w:tc>
          <w:tcPr>
            <w:tcW w:type="dxa" w:w="2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https://greencalculus.com/data/grid-electricity-emission-factors/</w:t>
            </w:r>
          </w:p>
        </w:tc>
        <w:tc>
          <w:tcPr>
            <w:tcW w:type="dxa" w:w="23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0.563 kgCO₂/kWh (lifecycle basis)</w:t>
            </w:r>
          </w:p>
        </w:tc>
        <w:tc>
          <w:tcPr>
            <w:tcW w:type="dxa" w:w="33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4"/>
                <w:szCs w:val="14"/>
              </w:rPr>
              <w:t xml:space="preserve">Used for an indicative CO₂ estimate; accessed through a secondary aggregator — re-confirm on ember-energy.org</w:t>
            </w:r>
          </w:p>
        </w:tc>
      </w:tr>
    </w:tbl>
    <w:p>
      <w:pPr>
        <w:pStyle w:val="Heading2"/>
        <w:keepNext/>
        <w:spacing w:after="100" w:before="240"/>
      </w:pPr>
      <w:r>
        <w:rPr>
          <w:rFonts w:ascii="Calibri" w:cs="Calibri" w:eastAsia="Calibri" w:hAnsi="Calibri"/>
          <w:b/>
          <w:bCs/>
          <w:color w:val="3B3F9E"/>
          <w:sz w:val="26"/>
          <w:szCs w:val="26"/>
        </w:rPr>
        <w:t xml:space="preserve">D. OUR PROJECT TARGET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6570"/>
      </w:tblGrid>
      <w:tr>
        <w:trPr>
          <w:cantSplit/>
          <w:tblHeader/>
        </w:trPr>
        <w:tc>
          <w:tcPr>
            <w:tcW w:type="dxa" w:w="3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Item</w:t>
            </w:r>
          </w:p>
        </w:tc>
        <w:tc>
          <w:tcPr>
            <w:tcW w:type="dxa" w:w="5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Value</w:t>
            </w:r>
          </w:p>
        </w:tc>
        <w:tc>
          <w:tcPr>
            <w:tcW w:type="dxa" w:w="657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Basis</w:t>
            </w:r>
          </w:p>
        </w:tc>
      </w:tr>
      <w:tr>
        <w:trPr>
          <w:cantSplit/>
        </w:trPr>
        <w:tc>
          <w:tcPr>
            <w:tcW w:type="dxa" w:w="3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Automation coverage</w:t>
            </w:r>
          </w:p>
        </w:tc>
        <w:tc>
          <w:tcPr>
            <w:tcW w:type="dxa" w:w="5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50 / 70 / 90% of controllable load</w:t>
            </w:r>
          </w:p>
        </w:tc>
        <w:tc>
          <w:tcPr>
            <w:tcW w:type="dxa" w:w="65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Deployment target for the platform (not evidence)</w:t>
            </w:r>
          </w:p>
        </w:tc>
      </w:tr>
      <w:tr>
        <w:trPr>
          <w:cantSplit/>
        </w:trPr>
        <w:tc>
          <w:tcPr>
            <w:tcW w:type="dxa" w:w="3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Planning range</w:t>
            </w:r>
          </w:p>
        </w:tc>
        <w:tc>
          <w:tcPr>
            <w:tcW w:type="dxa" w:w="5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5–13% of controllable energy (≈2.5–7.6% of total)</w:t>
            </w:r>
          </w:p>
        </w:tc>
        <w:tc>
          <w:tcPr>
            <w:tcW w:type="dxa" w:w="657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5"/>
                <w:szCs w:val="15"/>
              </w:rPr>
              <w:t xml:space="preserve">Conservative-to-Moderate scenarios derived above; to be validated</w:t>
            </w:r>
          </w:p>
        </w:tc>
      </w:tr>
      <w:tr>
        <w:trPr>
          <w:cantSplit/>
        </w:trPr>
        <w:tc>
          <w:tcPr>
            <w:tcW w:type="dxa" w:w="3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Stretch scenario</w:t>
            </w:r>
          </w:p>
        </w:tc>
        <w:tc>
          <w:tcPr>
            <w:tcW w:type="dxa" w:w="5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≈25% of controllable energy (≈17.6% of total)</w:t>
            </w:r>
          </w:p>
        </w:tc>
        <w:tc>
          <w:tcPr>
            <w:tcW w:type="dxa" w:w="657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5"/>
                <w:szCs w:val="15"/>
              </w:rPr>
              <w:t xml:space="preserve">High-impact: Korean-level rates at 90% coverage</w:t>
            </w:r>
          </w:p>
        </w:tc>
      </w:tr>
    </w:tbl>
    <w:p>
      <w:pPr>
        <w:pStyle w:val="Heading1"/>
        <w:pBdr>
          <w:bottom w:val="single" w:color="B0202A" w:sz="8" w:space="4"/>
        </w:pBdr>
        <w:spacing w:after="160" w:before="360"/>
      </w:pPr>
      <w:r>
        <w:rPr>
          <w:rFonts w:ascii="Calibri" w:cs="Calibri" w:eastAsia="Calibri" w:hAnsi="Calibri"/>
          <w:b/>
          <w:bCs/>
          <w:color w:val="12163A"/>
          <w:sz w:val="34"/>
          <w:szCs w:val="34"/>
        </w:rPr>
        <w:t xml:space="preserve">Appendix A. Benchmark data sheet</w:t>
      </w:r>
    </w:p>
    <w:p>
      <w:pPr>
        <w:spacing w:after="120" w:line="276"/>
      </w:pPr>
      <w:r>
        <w:rPr>
          <w:rFonts w:ascii="Calibri" w:cs="Calibri" w:eastAsia="Calibri" w:hAnsi="Calibri"/>
          <w:color w:val="1A1D3A"/>
          <w:sz w:val="21"/>
          <w:szCs w:val="21"/>
        </w:rPr>
        <w:t xml:space="preserve">Fields requested for every benchmark. 'n/s' = not stated in the source we accessed; nothing has been filled in by assumption.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250"/>
        <w:gridCol w:w="1100"/>
        <w:gridCol w:w="1000"/>
        <w:gridCol w:w="600"/>
        <w:gridCol w:w="1500"/>
        <w:gridCol w:w="900"/>
        <w:gridCol w:w="800"/>
        <w:gridCol w:w="600"/>
        <w:gridCol w:w="900"/>
        <w:gridCol w:w="800"/>
        <w:gridCol w:w="900"/>
        <w:gridCol w:w="1100"/>
        <w:gridCol w:w="800"/>
        <w:gridCol w:w="1600"/>
        <w:gridCol w:w="720"/>
      </w:tblGrid>
      <w:tr>
        <w:trPr>
          <w:cantSplit/>
          <w:tblHeader/>
        </w:trPr>
        <w:tc>
          <w:tcPr>
            <w:tcW w:type="dxa" w:w="125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Benchmark</w:t>
            </w:r>
          </w:p>
        </w:tc>
        <w:tc>
          <w:tcPr>
            <w:tcW w:type="dxa" w:w="11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Building / campus</w:t>
            </w:r>
          </w:p>
        </w:tc>
        <w:tc>
          <w:tcPr>
            <w:tcW w:type="dxa" w:w="10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Area</w:t>
            </w:r>
          </w:p>
        </w:tc>
        <w:tc>
          <w:tcPr>
            <w:tcW w:type="dxa" w:w="6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 bldgs</w:t>
            </w:r>
          </w:p>
        </w:tc>
        <w:tc>
          <w:tcPr>
            <w:tcW w:type="dxa" w:w="15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Energy consumption</w:t>
            </w:r>
          </w:p>
        </w:tc>
        <w:tc>
          <w:tcPr>
            <w:tcW w:type="dxa" w:w="9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Occup. sensing</w:t>
            </w:r>
          </w:p>
        </w:tc>
        <w:tc>
          <w:tcPr>
            <w:tcW w:type="dxa" w:w="8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HVAC ctrl</w:t>
            </w:r>
          </w:p>
        </w:tc>
        <w:tc>
          <w:tcPr>
            <w:tcW w:type="dxa" w:w="6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Light ctrl</w:t>
            </w:r>
          </w:p>
        </w:tc>
        <w:tc>
          <w:tcPr>
            <w:tcW w:type="dxa" w:w="9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Energy monitoring</w:t>
            </w:r>
          </w:p>
        </w:tc>
        <w:tc>
          <w:tcPr>
            <w:tcW w:type="dxa" w:w="8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Automation</w:t>
            </w:r>
          </w:p>
        </w:tc>
        <w:tc>
          <w:tcPr>
            <w:tcW w:type="dxa" w:w="9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Saving %</w:t>
            </w:r>
          </w:p>
        </w:tc>
        <w:tc>
          <w:tcPr>
            <w:tcW w:type="dxa" w:w="11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Annual kWh saved</w:t>
            </w:r>
          </w:p>
        </w:tc>
        <w:tc>
          <w:tcPr>
            <w:tcW w:type="dxa" w:w="8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Annual cost saved</w:t>
            </w:r>
          </w:p>
        </w:tc>
        <w:tc>
          <w:tcPr>
            <w:tcW w:type="dxa" w:w="160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Method</w:t>
            </w:r>
          </w:p>
        </w:tc>
        <w:tc>
          <w:tcPr>
            <w:tcW w:type="dxa" w:w="720"/>
            <w:tcBorders>
              <w:top w:val="single" w:color="C5C9DE" w:sz="4"/>
              <w:left w:val="single" w:color="C5C9DE" w:sz="4"/>
              <w:bottom w:val="single" w:color="C5C9DE" w:sz="4"/>
              <w:right w:val="single" w:color="C5C9DE" w:sz="4"/>
            </w:tcBorders>
            <w:shd w:fill="12163A" w:color="auto" w:val="clear"/>
            <w:tcMar>
              <w:top w:type="dxa" w:w="50"/>
              <w:left w:type="dxa" w:w="90"/>
              <w:bottom w:type="dxa" w:w="50"/>
              <w:right w:type="dxa" w:w="90"/>
            </w:tcMar>
          </w:tcPr>
          <w:p>
            <w:pPr>
              <w:spacing w:after="20"/>
            </w:pPr>
            <w:r>
              <w:rPr>
                <w:rFonts w:ascii="Calibri" w:cs="Calibri" w:eastAsia="Calibri" w:hAnsi="Calibri"/>
                <w:b/>
                <w:bCs/>
                <w:color w:val="FFFFFF"/>
                <w:sz w:val="12"/>
                <w:szCs w:val="12"/>
              </w:rPr>
              <w:t xml:space="preserve">Pub. date</w:t>
            </w:r>
          </w:p>
        </w:tc>
      </w:tr>
      <w:tr>
        <w:trPr>
          <w:cantSplit/>
        </w:trPr>
        <w:tc>
          <w:tcPr>
            <w:tcW w:type="dxa" w:w="12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H Univ. Seoul (S1)</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Cyber Bldg; dorm; B1 parking</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16,476 m²; 5,994.53 m²; 918.66 m² test area</w:t>
            </w:r>
          </w:p>
        </w:tc>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2 + parking</w:t>
            </w:r>
          </w:p>
        </w:tc>
        <w:tc>
          <w:tcPr>
            <w:tcW w:type="dxa" w:w="1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Sensor-off: 50.9 (parking), 77.1 light / 197.1 cooling (class) Wh/m²·day; dorm ref. 25.3 kWh/wk</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 (RF/Doppler; key-card RMS)</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 (EHP)</w:t>
            </w:r>
          </w:p>
        </w:tc>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 (metered experiments)</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Sensor-triggered</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77.6 / 32.4 / 27.9 / 28.2</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 (39.5; 25.0; 55.0; 142.4 Wh/m²·day)</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Measured ON/OFF alternate weeks; dorm reference-group calibration</w:t>
            </w:r>
          </w:p>
        </w:tc>
        <w:tc>
          <w:tcPr>
            <w:tcW w:type="dxa" w:w="72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14 Nov 2020</w:t>
            </w:r>
          </w:p>
        </w:tc>
      </w:tr>
      <w:tr>
        <w:trPr>
          <w:cantSplit/>
        </w:trPr>
        <w:tc>
          <w:tcPr>
            <w:tcW w:type="dxa" w:w="12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MSU Anthony Hall (S2)</w:t>
            </w:r>
          </w:p>
        </w:tc>
        <w:tc>
          <w:tcPr>
            <w:tcW w:type="dxa" w:w="11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Anthony Hall, E. Lansing</w:t>
            </w:r>
          </w:p>
        </w:tc>
        <w:tc>
          <w:tcPr>
            <w:tcW w:type="dxa" w:w="1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317,200 sq ft</w:t>
            </w:r>
          </w:p>
        </w:tc>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1</w:t>
            </w:r>
          </w:p>
        </w:tc>
        <w:tc>
          <w:tcPr>
            <w:tcW w:type="dxa" w:w="15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 (EUI blank on page)</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Partial (demand ventilation, lighting controls)</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Airflow monitoring</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Controls</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34% (source EUI)</w:t>
            </w:r>
          </w:p>
        </w:tc>
        <w:tc>
          <w:tcPr>
            <w:tcW w:type="dxa" w:w="11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$536,000</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Partner-reported</w:t>
            </w:r>
          </w:p>
        </w:tc>
        <w:tc>
          <w:tcPr>
            <w:tcW w:type="dxa" w:w="72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22 Oct 2015</w:t>
            </w:r>
          </w:p>
        </w:tc>
      </w:tr>
      <w:tr>
        <w:trPr>
          <w:cantSplit/>
        </w:trPr>
        <w:tc>
          <w:tcPr>
            <w:tcW w:type="dxa" w:w="12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UC Irvine NS-II (S3)</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Natural Sciences II</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&gt; 100,000 sq ft</w:t>
            </w:r>
          </w:p>
        </w:tc>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1</w:t>
            </w:r>
          </w:p>
        </w:tc>
        <w:tc>
          <w:tcPr>
            <w:tcW w:type="dxa" w:w="1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 (ventilation)</w:t>
            </w:r>
          </w:p>
        </w:tc>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 (VFD meters + BMS trends)</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51%</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$180,000</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Metered VFD data + BMS-trend model; excludes lab process loads</w:t>
            </w:r>
          </w:p>
        </w:tc>
        <w:tc>
          <w:tcPr>
            <w:tcW w:type="dxa" w:w="72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22 Oct 2015</w:t>
            </w:r>
          </w:p>
        </w:tc>
      </w:tr>
      <w:tr>
        <w:trPr>
          <w:cantSplit/>
        </w:trPr>
        <w:tc>
          <w:tcPr>
            <w:tcW w:type="dxa" w:w="12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UC Irvine program (S4,S5)</w:t>
            </w:r>
          </w:p>
        </w:tc>
        <w:tc>
          <w:tcPr>
            <w:tcW w:type="dxa" w:w="11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10 retrofitted labs</w:t>
            </w:r>
          </w:p>
        </w:tc>
        <w:tc>
          <w:tcPr>
            <w:tcW w:type="dxa" w:w="1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10 labs</w:t>
            </w:r>
          </w:p>
        </w:tc>
        <w:tc>
          <w:tcPr>
            <w:tcW w:type="dxa" w:w="15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 (air changes)</w:t>
            </w:r>
          </w:p>
        </w:tc>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61% avg; up to 60% (S4); 60% (S5)</w:t>
            </w:r>
          </w:p>
        </w:tc>
        <w:tc>
          <w:tcPr>
            <w:tcW w:type="dxa" w:w="11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University-reported average</w:t>
            </w:r>
          </w:p>
        </w:tc>
        <w:tc>
          <w:tcPr>
            <w:tcW w:type="dxa" w:w="72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29 May 2013; 4 Oct 2018</w:t>
            </w:r>
          </w:p>
        </w:tc>
      </w:tr>
      <w:tr>
        <w:trPr>
          <w:cantSplit/>
        </w:trPr>
        <w:tc>
          <w:tcPr>
            <w:tcW w:type="dxa" w:w="12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Pace University (S6,S7)</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NYC / Westchester portfolio</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1–5 million sq ft</w:t>
            </w:r>
          </w:p>
        </w:tc>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1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Tag only</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 (match HVAC to occupancy)</w:t>
            </w:r>
          </w:p>
        </w:tc>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 (BMS sweeps, energy accounting)</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Scheduling; no capex</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≈18% avg (secondary)</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26,000,000 kWh + ~1M therms (through Oct 2022)</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$6.8M</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Weather/size-normalised expected vs actual</w:t>
            </w:r>
          </w:p>
        </w:tc>
        <w:tc>
          <w:tcPr>
            <w:tcW w:type="dxa" w:w="72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26 Mar 2024</w:t>
            </w:r>
          </w:p>
        </w:tc>
      </w:tr>
      <w:tr>
        <w:trPr>
          <w:cantSplit/>
        </w:trPr>
        <w:tc>
          <w:tcPr>
            <w:tcW w:type="dxa" w:w="12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Colorado Mesa (S8)</w:t>
            </w:r>
          </w:p>
        </w:tc>
        <w:tc>
          <w:tcPr>
            <w:tcW w:type="dxa" w:w="11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Grand Junction campus</w:t>
            </w:r>
          </w:p>
        </w:tc>
        <w:tc>
          <w:tcPr>
            <w:tcW w:type="dxa" w:w="1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1.2 million sq ft</w:t>
            </w:r>
          </w:p>
        </w:tc>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16</w:t>
            </w:r>
          </w:p>
        </w:tc>
        <w:tc>
          <w:tcPr>
            <w:tcW w:type="dxa" w:w="15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10 kWh/sq ft·yr</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No</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Geothermal plant</w:t>
            </w:r>
          </w:p>
        </w:tc>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No</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No</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 half of conventional HVAC</w:t>
            </w:r>
          </w:p>
        </w:tc>
        <w:tc>
          <w:tcPr>
            <w:tcW w:type="dxa" w:w="11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14,860,000</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$1.5M</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DOE case study</w:t>
            </w:r>
          </w:p>
        </w:tc>
        <w:tc>
          <w:tcPr>
            <w:tcW w:type="dxa" w:w="72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May 2026</w:t>
            </w:r>
          </w:p>
        </w:tc>
      </w:tr>
      <w:tr>
        <w:trPr>
          <w:cantSplit/>
        </w:trPr>
        <w:tc>
          <w:tcPr>
            <w:tcW w:type="dxa" w:w="12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Univ. of Utah Eyring (S9)</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Chemistry &amp; Biology</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370,000 sq ft</w:t>
            </w:r>
          </w:p>
        </w:tc>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5</w:t>
            </w:r>
          </w:p>
        </w:tc>
        <w:tc>
          <w:tcPr>
            <w:tcW w:type="dxa" w:w="1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Sensors (type n/s)</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 (VAV)</w:t>
            </w:r>
          </w:p>
        </w:tc>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44% EUI (estimated)</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$456,000 (est.)</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Estimate</w:t>
            </w:r>
          </w:p>
        </w:tc>
        <w:tc>
          <w:tcPr>
            <w:tcW w:type="dxa" w:w="72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5 Apr 2017</w:t>
            </w:r>
          </w:p>
        </w:tc>
      </w:tr>
      <w:tr>
        <w:trPr>
          <w:cantSplit/>
        </w:trPr>
        <w:tc>
          <w:tcPr>
            <w:tcW w:type="dxa" w:w="12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CMU / DOE BENEFIT (S10)</w:t>
            </w:r>
          </w:p>
        </w:tc>
        <w:tc>
          <w:tcPr>
            <w:tcW w:type="dxa" w:w="11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Research buildings</w:t>
            </w:r>
          </w:p>
        </w:tc>
        <w:tc>
          <w:tcPr>
            <w:tcW w:type="dxa" w:w="1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15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 (depth sensing)</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 (MPC)</w:t>
            </w:r>
          </w:p>
        </w:tc>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20% TARGET</w:t>
            </w:r>
          </w:p>
        </w:tc>
        <w:tc>
          <w:tcPr>
            <w:tcW w:type="dxa" w:w="11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Research target</w:t>
            </w:r>
          </w:p>
        </w:tc>
        <w:tc>
          <w:tcPr>
            <w:tcW w:type="dxa" w:w="72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18 Oct 2017</w:t>
            </w:r>
          </w:p>
        </w:tc>
      </w:tr>
      <w:tr>
        <w:trPr>
          <w:cantSplit/>
        </w:trPr>
        <w:tc>
          <w:tcPr>
            <w:tcW w:type="dxa" w:w="125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LBNL SEA (S12)</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104 organisations</w:t>
            </w:r>
          </w:p>
        </w:tc>
        <w:tc>
          <w:tcPr>
            <w:tcW w:type="dxa" w:w="10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&gt; 0.5 bn sq ft</w:t>
            </w:r>
          </w:p>
        </w:tc>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6,500</w:t>
            </w:r>
          </w:p>
        </w:tc>
        <w:tc>
          <w:tcPr>
            <w:tcW w:type="dxa" w:w="15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No</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FDD</w:t>
            </w:r>
          </w:p>
        </w:tc>
        <w:tc>
          <w:tcPr>
            <w:tcW w:type="dxa" w:w="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Yes (EIS/FDD)</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Analytics</w:t>
            </w:r>
          </w:p>
        </w:tc>
        <w:tc>
          <w:tcPr>
            <w:tcW w:type="dxa" w:w="9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9% FDD / 3% EIS median</w:t>
            </w:r>
          </w:p>
        </w:tc>
        <w:tc>
          <w:tcPr>
            <w:tcW w:type="dxa" w:w="11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8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160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Year-2 vs baseline medians</w:t>
            </w:r>
          </w:p>
        </w:tc>
        <w:tc>
          <w:tcPr>
            <w:tcW w:type="dxa" w:w="720"/>
            <w:tcBorders>
              <w:top w:val="single" w:color="C5C9DE" w:sz="4"/>
              <w:left w:val="single" w:color="C5C9DE" w:sz="4"/>
              <w:bottom w:val="single" w:color="C5C9DE" w:sz="4"/>
              <w:right w:val="single" w:color="C5C9DE" w:sz="4"/>
            </w:tcBorders>
            <w:tcMar>
              <w:top w:type="dxa" w:w="50"/>
              <w:left w:type="dxa" w:w="90"/>
              <w:bottom w:type="dxa" w:w="50"/>
              <w:right w:type="dxa" w:w="90"/>
            </w:tcMar>
          </w:tcPr>
          <w:p>
            <w:pPr>
              <w:spacing w:after="20"/>
            </w:pPr>
            <w:r>
              <w:rPr>
                <w:rFonts w:ascii="Calibri" w:cs="Calibri" w:eastAsia="Calibri" w:hAnsi="Calibri"/>
                <w:color w:val="1A1D3A"/>
                <w:sz w:val="12"/>
                <w:szCs w:val="12"/>
              </w:rPr>
              <w:t xml:space="preserve">2019–2020</w:t>
            </w:r>
          </w:p>
        </w:tc>
      </w:tr>
      <w:tr>
        <w:trPr>
          <w:cantSplit/>
        </w:trPr>
        <w:tc>
          <w:tcPr>
            <w:tcW w:type="dxa" w:w="125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ACEEE (S11)</w:t>
            </w:r>
          </w:p>
        </w:tc>
        <w:tc>
          <w:tcPr>
            <w:tcW w:type="dxa" w:w="11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Model education / lab bldgs</w:t>
            </w:r>
          </w:p>
        </w:tc>
        <w:tc>
          <w:tcPr>
            <w:tcW w:type="dxa" w:w="10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100,000 / 70,000 sq ft</w:t>
            </w:r>
          </w:p>
        </w:tc>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model</w:t>
            </w:r>
          </w:p>
        </w:tc>
        <w:tc>
          <w:tcPr>
            <w:tcW w:type="dxa" w:w="15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190,000 / 980,000 kWh</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Lab: real-time ventilation</w:t>
            </w:r>
          </w:p>
        </w:tc>
        <w:tc>
          <w:tcPr>
            <w:tcW w:type="dxa" w:w="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 (education)</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Yes</w:t>
            </w:r>
          </w:p>
        </w:tc>
        <w:tc>
          <w:tcPr>
            <w:tcW w:type="dxa" w:w="9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11% / 40%</w:t>
            </w:r>
          </w:p>
        </w:tc>
        <w:tc>
          <w:tcPr>
            <w:tcW w:type="dxa" w:w="11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20,900 / 390,000</w:t>
            </w:r>
          </w:p>
        </w:tc>
        <w:tc>
          <w:tcPr>
            <w:tcW w:type="dxa" w:w="8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n/s</w:t>
            </w:r>
          </w:p>
        </w:tc>
        <w:tc>
          <w:tcPr>
            <w:tcW w:type="dxa" w:w="160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Review of case studies</w:t>
            </w:r>
          </w:p>
        </w:tc>
        <w:tc>
          <w:tcPr>
            <w:tcW w:type="dxa" w:w="720"/>
            <w:tcBorders>
              <w:top w:val="single" w:color="C5C9DE" w:sz="4"/>
              <w:left w:val="single" w:color="C5C9DE" w:sz="4"/>
              <w:bottom w:val="single" w:color="C5C9DE" w:sz="4"/>
              <w:right w:val="single" w:color="C5C9DE" w:sz="4"/>
            </w:tcBorders>
            <w:shd w:fill="F5F6FB" w:color="auto" w:val="clear"/>
            <w:tcMar>
              <w:top w:type="dxa" w:w="50"/>
              <w:left w:type="dxa" w:w="90"/>
              <w:bottom w:type="dxa" w:w="50"/>
              <w:right w:type="dxa" w:w="90"/>
            </w:tcMar>
          </w:tcPr>
          <w:p>
            <w:pPr>
              <w:spacing w:after="20"/>
            </w:pPr>
            <w:r>
              <w:rPr>
                <w:rFonts w:ascii="Calibri" w:cs="Calibri" w:eastAsia="Calibri" w:hAnsi="Calibri"/>
                <w:color w:val="1A1D3A"/>
                <w:sz w:val="12"/>
                <w:szCs w:val="12"/>
              </w:rPr>
              <w:t xml:space="preserve">2017</w:t>
            </w:r>
          </w:p>
        </w:tc>
      </w:tr>
    </w:tbl>
    <w:sectPr>
      <w:footerReference w:type="default" r:id="rId9"/>
      <w:pgSz w:w="16838" w:h="11906" w:orient="landscape"/>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80"/>
        <w:sz w:val="16"/>
        <w:szCs w:val="16"/>
      </w:rPr>
      <w:t xml:space="preserve">AIU Smart Campus — Energy Impact &amp; Benchmark Analysis   |   Page </w:t>
    </w:r>
    <w:r>
      <w:rPr>
        <w:rFonts w:ascii="Calibri" w:cs="Calibri" w:eastAsia="Calibri" w:hAnsi="Calibri"/>
        <w:color w:val="5A6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80"/>
        <w:sz w:val="16"/>
        <w:szCs w:val="16"/>
      </w:rPr>
      <w:t xml:space="preserve">AIU Smart Campus — Energy Impact &amp; Benchmark Analysis   |   Page </w:t>
    </w:r>
    <w:r>
      <w:rPr>
        <w:rFonts w:ascii="Calibri" w:cs="Calibri" w:eastAsia="Calibri" w:hAnsi="Calibri"/>
        <w:color w:val="5A6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80"/>
        <w:sz w:val="16"/>
        <w:szCs w:val="16"/>
      </w:rPr>
      <w:t xml:space="preserve">AIU Smart Campus — Energy Impact &amp; Benchmark Analysis   |   Page </w:t>
    </w:r>
    <w:r>
      <w:rPr>
        <w:rFonts w:ascii="Calibri" w:cs="Calibri" w:eastAsia="Calibri" w:hAnsi="Calibri"/>
        <w:color w:val="5A60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80"/>
        <w:sz w:val="16"/>
        <w:szCs w:val="16"/>
      </w:rPr>
      <w:t xml:space="preserve">AIU Smart Campus — Energy Impact &amp; Benchmark Analysis   |   Page </w:t>
    </w:r>
    <w:r>
      <w:rPr>
        <w:rFonts w:ascii="Calibri" w:cs="Calibri" w:eastAsia="Calibri" w:hAnsi="Calibri"/>
        <w:color w:val="5A6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2163A"/>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3B3F9E"/>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2163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2ebcafdd5f24b0d47f12abbb8f4bdbdddbedd972.png"/><Relationship Id="rId12" Type="http://schemas.openxmlformats.org/officeDocument/2006/relationships/image" Target="media/816408b18b8f4b872e38d712cac9ea67f5b36a11.png"/><Relationship Id="rId13" Type="http://schemas.openxmlformats.org/officeDocument/2006/relationships/image" Target="media/b4086439671aec730de0b25337a2c3f843e49bfc.png"/><Relationship Id="rId14" Type="http://schemas.openxmlformats.org/officeDocument/2006/relationships/image" Target="media/97236ef4ed447466e0810e6c0496aa7344db61d8.png"/><Relationship Id="rId15" Type="http://schemas.openxmlformats.org/officeDocument/2006/relationships/image" Target="media/6623cfbb17067628f7f7db21f80ce510e3bb400f.png"/><Relationship Id="rId16" Type="http://schemas.openxmlformats.org/officeDocument/2006/relationships/image" Target="media/b5e8f31856a3a776f6eb47851c5fee06f8d0dc9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AIU Smart Campus — Energy Impact &amp; Benchmark Analysis</dc:title>
  <dc:creator>AIU Smart Campus</dc:creator>
  <cp:lastModifiedBy>Un-named</cp:lastModifiedBy>
  <cp:revision>1</cp:revision>
  <dcterms:created xsi:type="dcterms:W3CDTF">2026-10-06T14:38:14.411Z</dcterms:created>
  <dcterms:modified xsi:type="dcterms:W3CDTF">2026-10-06T14:38:14.412Z</dcterms:modified>
</cp:coreProperties>
</file>

<file path=docProps/custom.xml><?xml version="1.0" encoding="utf-8"?>
<Properties xmlns="http://schemas.openxmlformats.org/officeDocument/2006/custom-properties" xmlns:vt="http://schemas.openxmlformats.org/officeDocument/2006/docPropsVTypes"/>
</file>