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jc w:val="center"/>
      </w:pPr>
      <w:r>
        <w:rPr>
          <w:rFonts w:ascii="Arial" w:cs="Arial" w:eastAsia="Arial" w:hAnsi="Arial"/>
          <w:b/>
          <w:bCs/>
          <w:caps/>
          <w:color w:val="888888"/>
          <w:sz w:val="20"/>
          <w:szCs w:val="20"/>
        </w:rPr>
        <w:t xml:space="preserve">PhD RESEARCH PROPOSAL</w:t>
      </w:r>
    </w:p>
    <w:p>
      <w:pPr>
        <w:spacing w:after="160"/>
        <w:jc w:val="center"/>
      </w:pPr>
      <w:r>
        <w:rPr>
          <w:rFonts w:ascii="Arial" w:cs="Arial" w:eastAsia="Arial" w:hAnsi="Arial"/>
          <w:b/>
          <w:bCs/>
          <w:color w:val="1F3A8C"/>
          <w:sz w:val="64"/>
          <w:szCs w:val="64"/>
        </w:rPr>
        <w:t xml:space="preserve">QuantumVault</w:t>
      </w:r>
    </w:p>
    <w:p>
      <w:pPr>
        <w:spacing w:after="80"/>
        <w:jc w:val="center"/>
      </w:pPr>
      <w:r>
        <w:rPr>
          <w:rFonts w:ascii="Arial" w:cs="Arial" w:eastAsia="Arial" w:hAnsi="Arial"/>
          <w:color w:val="2E6B9E"/>
          <w:sz w:val="32"/>
          <w:szCs w:val="32"/>
        </w:rPr>
        <w:t xml:space="preserve">A Unified Lattice-Based Framework for Post-Quantum</w:t>
      </w:r>
    </w:p>
    <w:p>
      <w:pPr>
        <w:spacing w:after="400"/>
        <w:jc w:val="center"/>
      </w:pPr>
      <w:r>
        <w:rPr>
          <w:rFonts w:ascii="Arial" w:cs="Arial" w:eastAsia="Arial" w:hAnsi="Arial"/>
          <w:color w:val="2E6B9E"/>
          <w:sz w:val="32"/>
          <w:szCs w:val="32"/>
        </w:rPr>
        <w:t xml:space="preserve">Confidential Cloud Computation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A8C" w:val="clear"/>
            <w:tcMar>
              <w:top w:type="dxa" w:w="80"/>
              <w:left w:type="dxa" w:w="140"/>
              <w:bottom w:type="dxa" w:w="80"/>
              <w:right w:type="dxa" w:w="100"/>
            </w:tcMar>
          </w:tcPr>
          <w:p>
            <w:r>
              <w:rPr>
                <w:rFonts w:ascii="Arial" w:cs="Arial" w:eastAsia="Arial" w:hAnsi="Arial"/>
                <w:b/>
                <w:bCs/>
                <w:color w:val="FFFFFF"/>
                <w:sz w:val="20"/>
                <w:szCs w:val="20"/>
              </w:rPr>
              <w:t xml:space="preserve">Research Domain</w:t>
            </w:r>
          </w:p>
        </w:tc>
        <w:tc>
          <w:tcPr>
            <w:tcW w:type="dxa" w:w="3600"/>
            <w:tcBorders>
              <w:top w:val="single" w:color="CCCCCC" w:sz="1"/>
              <w:left w:val="single" w:color="CCCCCC" w:sz="1"/>
              <w:bottom w:val="single" w:color="CCCCCC" w:sz="1"/>
              <w:right w:val="single" w:color="CCCCCC" w:sz="1"/>
            </w:tcBorders>
            <w:shd w:fill="E8EDF7" w:val="clear"/>
            <w:tcMar>
              <w:top w:type="dxa" w:w="80"/>
              <w:left w:type="dxa" w:w="140"/>
              <w:bottom w:type="dxa" w:w="80"/>
              <w:right w:type="dxa" w:w="100"/>
            </w:tcMar>
          </w:tcPr>
          <w:p>
            <w:r>
              <w:rPr>
                <w:rFonts w:ascii="Arial" w:cs="Arial" w:eastAsia="Arial" w:hAnsi="Arial"/>
                <w:sz w:val="20"/>
                <w:szCs w:val="20"/>
              </w:rPr>
              <w:t xml:space="preserve">Post-Quantum Cryptography / Cloud Security</w:t>
            </w:r>
          </w:p>
        </w:tc>
      </w:tr>
      <w:tr>
        <w:tc>
          <w:tcPr>
            <w:tcW w:type="dxa" w:w="2400"/>
            <w:tcBorders>
              <w:top w:val="single" w:color="CCCCCC" w:sz="1"/>
              <w:left w:val="single" w:color="CCCCCC" w:sz="1"/>
              <w:bottom w:val="single" w:color="CCCCCC" w:sz="1"/>
              <w:right w:val="single" w:color="CCCCCC" w:sz="1"/>
            </w:tcBorders>
            <w:shd w:fill="2E6B9E" w:val="clear"/>
            <w:tcMar>
              <w:top w:type="dxa" w:w="80"/>
              <w:left w:type="dxa" w:w="140"/>
              <w:bottom w:type="dxa" w:w="80"/>
              <w:right w:type="dxa" w:w="100"/>
            </w:tcMar>
          </w:tcPr>
          <w:p>
            <w:r>
              <w:rPr>
                <w:rFonts w:ascii="Arial" w:cs="Arial" w:eastAsia="Arial" w:hAnsi="Arial"/>
                <w:b/>
                <w:bCs/>
                <w:color w:val="FFFFFF"/>
                <w:sz w:val="20"/>
                <w:szCs w:val="20"/>
              </w:rPr>
              <w:t xml:space="preserve">Primary Supervisor</w:t>
            </w:r>
          </w:p>
        </w:tc>
        <w:tc>
          <w:tcPr>
            <w:tcW w:type="dxa" w:w="3600"/>
            <w:tcBorders>
              <w:top w:val="single" w:color="CCCCCC" w:sz="1"/>
              <w:left w:val="single" w:color="CCCCCC" w:sz="1"/>
              <w:bottom w:val="single" w:color="CCCCCC" w:sz="1"/>
              <w:right w:val="single" w:color="CCCCCC" w:sz="1"/>
            </w:tcBorders>
            <w:shd w:fill="D0DAF0" w:val="clear"/>
            <w:tcMar>
              <w:top w:type="dxa" w:w="80"/>
              <w:left w:type="dxa" w:w="140"/>
              <w:bottom w:type="dxa" w:w="80"/>
              <w:right w:type="dxa" w:w="100"/>
            </w:tcMar>
          </w:tcPr>
          <w:p>
            <w:r>
              <w:rPr>
                <w:rFonts w:ascii="Arial" w:cs="Arial" w:eastAsia="Arial" w:hAnsi="Arial"/>
                <w:sz w:val="20"/>
                <w:szCs w:val="20"/>
              </w:rPr>
              <w:t xml:space="preserve">[To be confirmed]</w:t>
            </w:r>
          </w:p>
        </w:tc>
      </w:tr>
      <w:tr>
        <w:tc>
          <w:tcPr>
            <w:tcW w:type="dxa" w:w="2400"/>
            <w:tcBorders>
              <w:top w:val="single" w:color="CCCCCC" w:sz="1"/>
              <w:left w:val="single" w:color="CCCCCC" w:sz="1"/>
              <w:bottom w:val="single" w:color="CCCCCC" w:sz="1"/>
              <w:right w:val="single" w:color="CCCCCC" w:sz="1"/>
            </w:tcBorders>
            <w:shd w:fill="1F3A8C" w:val="clear"/>
            <w:tcMar>
              <w:top w:type="dxa" w:w="80"/>
              <w:left w:type="dxa" w:w="140"/>
              <w:bottom w:type="dxa" w:w="80"/>
              <w:right w:type="dxa" w:w="100"/>
            </w:tcMar>
          </w:tcPr>
          <w:p>
            <w:r>
              <w:rPr>
                <w:rFonts w:ascii="Arial" w:cs="Arial" w:eastAsia="Arial" w:hAnsi="Arial"/>
                <w:b/>
                <w:bCs/>
                <w:color w:val="FFFFFF"/>
                <w:sz w:val="20"/>
                <w:szCs w:val="20"/>
              </w:rPr>
              <w:t xml:space="preserve">Department</w:t>
            </w:r>
          </w:p>
        </w:tc>
        <w:tc>
          <w:tcPr>
            <w:tcW w:type="dxa" w:w="3600"/>
            <w:tcBorders>
              <w:top w:val="single" w:color="CCCCCC" w:sz="1"/>
              <w:left w:val="single" w:color="CCCCCC" w:sz="1"/>
              <w:bottom w:val="single" w:color="CCCCCC" w:sz="1"/>
              <w:right w:val="single" w:color="CCCCCC" w:sz="1"/>
            </w:tcBorders>
            <w:shd w:fill="E8EDF7" w:val="clear"/>
            <w:tcMar>
              <w:top w:type="dxa" w:w="80"/>
              <w:left w:type="dxa" w:w="140"/>
              <w:bottom w:type="dxa" w:w="80"/>
              <w:right w:type="dxa" w:w="100"/>
            </w:tcMar>
          </w:tcPr>
          <w:p>
            <w:r>
              <w:rPr>
                <w:rFonts w:ascii="Arial" w:cs="Arial" w:eastAsia="Arial" w:hAnsi="Arial"/>
                <w:sz w:val="20"/>
                <w:szCs w:val="20"/>
              </w:rPr>
              <w:t xml:space="preserve">Computer Science &amp; Cryptography Engineering</w:t>
            </w:r>
          </w:p>
        </w:tc>
      </w:tr>
      <w:tr>
        <w:tc>
          <w:tcPr>
            <w:tcW w:type="dxa" w:w="2400"/>
            <w:tcBorders>
              <w:top w:val="single" w:color="CCCCCC" w:sz="1"/>
              <w:left w:val="single" w:color="CCCCCC" w:sz="1"/>
              <w:bottom w:val="single" w:color="CCCCCC" w:sz="1"/>
              <w:right w:val="single" w:color="CCCCCC" w:sz="1"/>
            </w:tcBorders>
            <w:shd w:fill="2E6B9E" w:val="clear"/>
            <w:tcMar>
              <w:top w:type="dxa" w:w="80"/>
              <w:left w:type="dxa" w:w="140"/>
              <w:bottom w:type="dxa" w:w="80"/>
              <w:right w:type="dxa" w:w="100"/>
            </w:tcMar>
          </w:tcPr>
          <w:p>
            <w:r>
              <w:rPr>
                <w:rFonts w:ascii="Arial" w:cs="Arial" w:eastAsia="Arial" w:hAnsi="Arial"/>
                <w:b/>
                <w:bCs/>
                <w:color w:val="FFFFFF"/>
                <w:sz w:val="20"/>
                <w:szCs w:val="20"/>
              </w:rPr>
              <w:t xml:space="preserve">Institution</w:t>
            </w:r>
          </w:p>
        </w:tc>
        <w:tc>
          <w:tcPr>
            <w:tcW w:type="dxa" w:w="3600"/>
            <w:tcBorders>
              <w:top w:val="single" w:color="CCCCCC" w:sz="1"/>
              <w:left w:val="single" w:color="CCCCCC" w:sz="1"/>
              <w:bottom w:val="single" w:color="CCCCCC" w:sz="1"/>
              <w:right w:val="single" w:color="CCCCCC" w:sz="1"/>
            </w:tcBorders>
            <w:shd w:fill="D0DAF0" w:val="clear"/>
            <w:tcMar>
              <w:top w:type="dxa" w:w="80"/>
              <w:left w:type="dxa" w:w="140"/>
              <w:bottom w:type="dxa" w:w="80"/>
              <w:right w:type="dxa" w:w="100"/>
            </w:tcMar>
          </w:tcPr>
          <w:p>
            <w:r>
              <w:rPr>
                <w:rFonts w:ascii="Arial" w:cs="Arial" w:eastAsia="Arial" w:hAnsi="Arial"/>
                <w:sz w:val="20"/>
                <w:szCs w:val="20"/>
              </w:rPr>
              <w:t xml:space="preserve">[University Name]</w:t>
            </w:r>
          </w:p>
        </w:tc>
      </w:tr>
      <w:tr>
        <w:tc>
          <w:tcPr>
            <w:tcW w:type="dxa" w:w="2400"/>
            <w:tcBorders>
              <w:top w:val="single" w:color="CCCCCC" w:sz="1"/>
              <w:left w:val="single" w:color="CCCCCC" w:sz="1"/>
              <w:bottom w:val="single" w:color="CCCCCC" w:sz="1"/>
              <w:right w:val="single" w:color="CCCCCC" w:sz="1"/>
            </w:tcBorders>
            <w:shd w:fill="1F3A8C" w:val="clear"/>
            <w:tcMar>
              <w:top w:type="dxa" w:w="80"/>
              <w:left w:type="dxa" w:w="140"/>
              <w:bottom w:type="dxa" w:w="80"/>
              <w:right w:type="dxa" w:w="100"/>
            </w:tcMar>
          </w:tcPr>
          <w:p>
            <w:r>
              <w:rPr>
                <w:rFonts w:ascii="Arial" w:cs="Arial" w:eastAsia="Arial" w:hAnsi="Arial"/>
                <w:b/>
                <w:bCs/>
                <w:color w:val="FFFFFF"/>
                <w:sz w:val="20"/>
                <w:szCs w:val="20"/>
              </w:rPr>
              <w:t xml:space="preserve">Proposed Duration</w:t>
            </w:r>
          </w:p>
        </w:tc>
        <w:tc>
          <w:tcPr>
            <w:tcW w:type="dxa" w:w="3600"/>
            <w:tcBorders>
              <w:top w:val="single" w:color="CCCCCC" w:sz="1"/>
              <w:left w:val="single" w:color="CCCCCC" w:sz="1"/>
              <w:bottom w:val="single" w:color="CCCCCC" w:sz="1"/>
              <w:right w:val="single" w:color="CCCCCC" w:sz="1"/>
            </w:tcBorders>
            <w:shd w:fill="E8EDF7" w:val="clear"/>
            <w:tcMar>
              <w:top w:type="dxa" w:w="80"/>
              <w:left w:type="dxa" w:w="140"/>
              <w:bottom w:type="dxa" w:w="80"/>
              <w:right w:type="dxa" w:w="100"/>
            </w:tcMar>
          </w:tcPr>
          <w:p>
            <w:r>
              <w:rPr>
                <w:rFonts w:ascii="Arial" w:cs="Arial" w:eastAsia="Arial" w:hAnsi="Arial"/>
                <w:sz w:val="20"/>
                <w:szCs w:val="20"/>
              </w:rPr>
              <w:t xml:space="preserve">4 Years (Full-Time)</w:t>
            </w:r>
          </w:p>
        </w:tc>
      </w:tr>
      <w:tr>
        <w:tc>
          <w:tcPr>
            <w:tcW w:type="dxa" w:w="2400"/>
            <w:tcBorders>
              <w:top w:val="single" w:color="CCCCCC" w:sz="1"/>
              <w:left w:val="single" w:color="CCCCCC" w:sz="1"/>
              <w:bottom w:val="single" w:color="CCCCCC" w:sz="1"/>
              <w:right w:val="single" w:color="CCCCCC" w:sz="1"/>
            </w:tcBorders>
            <w:shd w:fill="2E6B9E" w:val="clear"/>
            <w:tcMar>
              <w:top w:type="dxa" w:w="80"/>
              <w:left w:type="dxa" w:w="140"/>
              <w:bottom w:type="dxa" w:w="80"/>
              <w:right w:type="dxa" w:w="100"/>
            </w:tcMar>
          </w:tcPr>
          <w:p>
            <w:r>
              <w:rPr>
                <w:rFonts w:ascii="Arial" w:cs="Arial" w:eastAsia="Arial" w:hAnsi="Arial"/>
                <w:b/>
                <w:bCs/>
                <w:color w:val="FFFFFF"/>
                <w:sz w:val="20"/>
                <w:szCs w:val="20"/>
              </w:rPr>
              <w:t xml:space="preserve">Target Degree</w:t>
            </w:r>
          </w:p>
        </w:tc>
        <w:tc>
          <w:tcPr>
            <w:tcW w:type="dxa" w:w="3600"/>
            <w:tcBorders>
              <w:top w:val="single" w:color="CCCCCC" w:sz="1"/>
              <w:left w:val="single" w:color="CCCCCC" w:sz="1"/>
              <w:bottom w:val="single" w:color="CCCCCC" w:sz="1"/>
              <w:right w:val="single" w:color="CCCCCC" w:sz="1"/>
            </w:tcBorders>
            <w:shd w:fill="D0DAF0" w:val="clear"/>
            <w:tcMar>
              <w:top w:type="dxa" w:w="80"/>
              <w:left w:type="dxa" w:w="140"/>
              <w:bottom w:type="dxa" w:w="80"/>
              <w:right w:type="dxa" w:w="100"/>
            </w:tcMar>
          </w:tcPr>
          <w:p>
            <w:r>
              <w:rPr>
                <w:rFonts w:ascii="Arial" w:cs="Arial" w:eastAsia="Arial" w:hAnsi="Arial"/>
                <w:sz w:val="20"/>
                <w:szCs w:val="20"/>
              </w:rPr>
              <w:t xml:space="preserve">Doctor of Philosophy (PhD)</w:t>
            </w:r>
          </w:p>
        </w:tc>
      </w:tr>
      <w:tr>
        <w:tc>
          <w:tcPr>
            <w:tcW w:type="dxa" w:w="2400"/>
            <w:tcBorders>
              <w:top w:val="single" w:color="CCCCCC" w:sz="1"/>
              <w:left w:val="single" w:color="CCCCCC" w:sz="1"/>
              <w:bottom w:val="single" w:color="CCCCCC" w:sz="1"/>
              <w:right w:val="single" w:color="CCCCCC" w:sz="1"/>
            </w:tcBorders>
            <w:shd w:fill="1F3A8C" w:val="clear"/>
            <w:tcMar>
              <w:top w:type="dxa" w:w="80"/>
              <w:left w:type="dxa" w:w="140"/>
              <w:bottom w:type="dxa" w:w="80"/>
              <w:right w:type="dxa" w:w="100"/>
            </w:tcMar>
          </w:tcPr>
          <w:p>
            <w:r>
              <w:rPr>
                <w:rFonts w:ascii="Arial" w:cs="Arial" w:eastAsia="Arial" w:hAnsi="Arial"/>
                <w:b/>
                <w:bCs/>
                <w:color w:val="FFFFFF"/>
                <w:sz w:val="20"/>
                <w:szCs w:val="20"/>
              </w:rPr>
              <w:t xml:space="preserve">Funding Target</w:t>
            </w:r>
          </w:p>
        </w:tc>
        <w:tc>
          <w:tcPr>
            <w:tcW w:type="dxa" w:w="3600"/>
            <w:tcBorders>
              <w:top w:val="single" w:color="CCCCCC" w:sz="1"/>
              <w:left w:val="single" w:color="CCCCCC" w:sz="1"/>
              <w:bottom w:val="single" w:color="CCCCCC" w:sz="1"/>
              <w:right w:val="single" w:color="CCCCCC" w:sz="1"/>
            </w:tcBorders>
            <w:shd w:fill="E8EDF7" w:val="clear"/>
            <w:tcMar>
              <w:top w:type="dxa" w:w="80"/>
              <w:left w:type="dxa" w:w="140"/>
              <w:bottom w:type="dxa" w:w="80"/>
              <w:right w:type="dxa" w:w="100"/>
            </w:tcMar>
          </w:tcPr>
          <w:p>
            <w:r>
              <w:rPr>
                <w:rFonts w:ascii="Arial" w:cs="Arial" w:eastAsia="Arial" w:hAnsi="Arial"/>
                <w:sz w:val="20"/>
                <w:szCs w:val="20"/>
              </w:rPr>
              <w:t xml:space="preserve">National Research Grant / EU Horizon Europe</w:t>
            </w:r>
          </w:p>
        </w:tc>
      </w:tr>
    </w:tbl>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Abstract</w:t>
      </w:r>
    </w:p>
    <w:p>
      <w:pPr>
        <w:spacing w:after="120" w:before="80"/>
        <w:jc w:val="both"/>
      </w:pPr>
      <w:r>
        <w:rPr>
          <w:rFonts w:ascii="Arial" w:cs="Arial" w:eastAsia="Arial" w:hAnsi="Arial"/>
          <w:sz w:val="22"/>
          <w:szCs w:val="22"/>
        </w:rPr>
        <w:t xml:space="preserve">The imminent arrival of cryptographically-relevant quantum computers poses an existential threat to the security foundations of modern cloud computing infrastructure. Current paradigms rely on RSA and elliptic-curve cryptography for identity and access management, classical threshold schemes for multi-party authorization, and computationally-bound privacy measures for storage access. All of these are vulnerable to polynomial-time quantum attacks via Shor's algorithm.</w:t>
      </w:r>
    </w:p>
    <w:p>
      <w:pPr>
        <w:spacing w:after="80" w:before="0"/>
      </w:pPr>
      <w:r>
        <w:t xml:space="preserve"/>
      </w:r>
    </w:p>
    <w:p>
      <w:pPr>
        <w:spacing w:after="120" w:before="80"/>
        <w:jc w:val="both"/>
      </w:pPr>
      <w:r>
        <w:rPr>
          <w:rFonts w:ascii="Arial" w:cs="Arial" w:eastAsia="Arial" w:hAnsi="Arial"/>
          <w:sz w:val="22"/>
          <w:szCs w:val="22"/>
        </w:rPr>
        <w:t xml:space="preserve">This proposal introduces QuantumVault: a novel, unified, four-layer lattice-based cryptographic framework that simultaneously addresses identity management, multi-party authorization, confidential computation, and access-pattern privacy — entirely on post-quantum hardness foundations. The four components — Hierarchical Identity-Based Encryption (HIBE), Threshold Lattice Signatures, Fully Homomorphic Encryption (FHE), and Oblivious RAM with LWE-based Private Information Retrieval (PIR) — are co-designed for cross-layer composability, culminating in a single unified Module-LWE security reduction.</w:t>
      </w:r>
    </w:p>
    <w:p>
      <w:pPr>
        <w:spacing w:after="80" w:before="0"/>
      </w:pPr>
      <w:r>
        <w:t xml:space="preserve"/>
      </w:r>
    </w:p>
    <w:p>
      <w:pPr>
        <w:spacing w:after="120" w:before="80"/>
        <w:jc w:val="both"/>
      </w:pPr>
      <w:r>
        <w:rPr>
          <w:rFonts w:ascii="Arial" w:cs="Arial" w:eastAsia="Arial" w:hAnsi="Arial"/>
          <w:sz w:val="22"/>
          <w:szCs w:val="22"/>
        </w:rPr>
        <w:t xml:space="preserve">The framework targets sovereign cloud computing, federated healthcare analytics, and post-quantum enterprise PKI migration. Expected outcomes include 5 peer-reviewed publications at top-tier cryptography venues (CCS, CRYPTO, EuroCrypt, IEEE S&amp;P), a fully functional open-source prototype evaluated on real-world healthcare data (MIMIC-III), and formal security proofs under NIST PQC standards (FIPS 203/204/205). This research directly addresses the NIST post-quantum migration mandate with industry-ready, mathematically rigorous solutions.</w:t>
      </w:r>
    </w:p>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1. Introduction and Motivation</w:t>
      </w:r>
    </w:p>
    <w:p>
      <w:pPr>
        <w:pStyle w:val="Heading2"/>
        <w:spacing w:after="120" w:before="280"/>
      </w:pPr>
      <w:r>
        <w:rPr>
          <w:rFonts w:ascii="Arial" w:cs="Arial" w:eastAsia="Arial" w:hAnsi="Arial"/>
          <w:b/>
          <w:bCs/>
          <w:color w:val="2E6B9E"/>
          <w:sz w:val="26"/>
          <w:szCs w:val="26"/>
        </w:rPr>
        <w:t xml:space="preserve">1.1 The Quantum Threat to Cloud Security</w:t>
      </w:r>
    </w:p>
    <w:p>
      <w:pPr>
        <w:spacing w:after="120" w:before="80"/>
        <w:jc w:val="both"/>
      </w:pPr>
      <w:r>
        <w:rPr>
          <w:rFonts w:ascii="Arial" w:cs="Arial" w:eastAsia="Arial" w:hAnsi="Arial"/>
          <w:sz w:val="22"/>
          <w:szCs w:val="22"/>
        </w:rPr>
        <w:t xml:space="preserve">In 2024, Google's Willow quantum processor demonstrated 105 qubits with error rates below threshold for fault-tolerant computation. IBM's roadmap projects cryptographically-relevant quantum computers (CRQCs) — capable of breaking RSA-2048 in hours — by the early 2030s. The National Institute of Standards and Technology (NIST) finalized its first three post-quantum cryptographic standards in August 2024 (FIPS 203, 204, 205), triggering mandatory migration timelines across government and critical infrastructure.</w:t>
      </w:r>
    </w:p>
    <w:p>
      <w:pPr>
        <w:spacing w:after="80" w:before="0"/>
      </w:pPr>
      <w:r>
        <w:t xml:space="preserve"/>
      </w:r>
    </w:p>
    <w:p>
      <w:pPr>
        <w:spacing w:after="120" w:before="80"/>
        <w:jc w:val="both"/>
      </w:pPr>
      <w:r>
        <w:rPr>
          <w:rFonts w:ascii="Arial" w:cs="Arial" w:eastAsia="Arial" w:hAnsi="Arial"/>
          <w:sz w:val="22"/>
          <w:szCs w:val="22"/>
        </w:rPr>
        <w:t xml:space="preserve">Yet this migration is incomplete. The cryptographic community has addressed key exchange and digital signatures at the primitive level, but the higher-order constructs that secure modern cloud systems — hierarchical identity management, multi-party authorization, homomorphic computation, and private data access — have no cohesive post-quantum replacements. Each is being addressed in isolation, leading to incompatible security assumptions, redundant mathematical machinery, and no unified security reduction.</w:t>
      </w:r>
    </w:p>
    <w:p>
      <w:pPr>
        <w:spacing w:after="80" w:before="0"/>
      </w:pPr>
      <w:r>
        <w:t xml:space="preserve"/>
      </w:r>
    </w:p>
    <w:p>
      <w:pPr>
        <w:spacing w:after="120" w:before="80"/>
        <w:jc w:val="both"/>
      </w:pPr>
      <w:r>
        <w:rPr>
          <w:rFonts w:ascii="Arial" w:cs="Arial" w:eastAsia="Arial" w:hAnsi="Arial"/>
          <w:sz w:val="22"/>
          <w:szCs w:val="22"/>
        </w:rPr>
        <w:t xml:space="preserve">This research gap is precisely QuantumVault's target: a unified framework where all four critical cloud security layers share a single mathematical foundation (Module-LWE), are cryptographically composable with tight security reductions, and are practically deployable on today's cloud infrastructure.</w:t>
      </w:r>
    </w:p>
    <w:p>
      <w:pPr>
        <w:pStyle w:val="Heading2"/>
        <w:spacing w:after="120" w:before="280"/>
      </w:pPr>
      <w:r>
        <w:rPr>
          <w:rFonts w:ascii="Arial" w:cs="Arial" w:eastAsia="Arial" w:hAnsi="Arial"/>
          <w:b/>
          <w:bCs/>
          <w:color w:val="2E6B9E"/>
          <w:sz w:val="26"/>
          <w:szCs w:val="26"/>
        </w:rPr>
        <w:t xml:space="preserve">1.2 Why Lattice-Based Cryptography</w:t>
      </w:r>
    </w:p>
    <w:p>
      <w:pPr>
        <w:spacing w:after="120" w:before="80"/>
        <w:jc w:val="both"/>
      </w:pPr>
      <w:r>
        <w:rPr>
          <w:rFonts w:ascii="Arial" w:cs="Arial" w:eastAsia="Arial" w:hAnsi="Arial"/>
          <w:sz w:val="22"/>
          <w:szCs w:val="22"/>
        </w:rPr>
        <w:t xml:space="preserve">Among the five families of post-quantum cryptography standardized by NIST, lattice-based schemes offer the unique combination of efficiency, mathematical richness, and versatility. Lattice problems — particularly Learning With Errors (LWE) and its structured variants Ring-LWE and Module-LWE — support the full spectrum of cryptographic primitives: encryption, signatures, homomorphic computation, oblivious protocols, and identity-based constructions. No other post-quantum family supports this breadth.</w:t>
      </w:r>
    </w:p>
    <w:p>
      <w:pPr>
        <w:spacing w:after="80" w:before="0"/>
      </w:pPr>
      <w:r>
        <w:t xml:space="preserve"/>
      </w:r>
    </w:p>
    <w:p>
      <w:pPr>
        <w:spacing w:after="120" w:before="80"/>
        <w:jc w:val="both"/>
      </w:pPr>
      <w:r>
        <w:rPr>
          <w:rFonts w:ascii="Arial" w:cs="Arial" w:eastAsia="Arial" w:hAnsi="Arial"/>
          <w:sz w:val="22"/>
          <w:szCs w:val="22"/>
        </w:rPr>
        <w:t xml:space="preserve">CRYSTALS-Kyber (now FIPS 203) and CRYSTALS-Dilithium (now FIPS 204) represent the current state of the art for KEM and signatures respectively. QuantumVault builds above and across these primitives, constructing the higher-order security machinery that cloud systems require.</w:t>
      </w:r>
    </w:p>
    <w:p>
      <w:pPr>
        <w:pStyle w:val="Heading2"/>
        <w:spacing w:after="120" w:before="280"/>
      </w:pPr>
      <w:r>
        <w:rPr>
          <w:rFonts w:ascii="Arial" w:cs="Arial" w:eastAsia="Arial" w:hAnsi="Arial"/>
          <w:b/>
          <w:bCs/>
          <w:color w:val="2E6B9E"/>
          <w:sz w:val="26"/>
          <w:szCs w:val="26"/>
        </w:rPr>
        <w:t xml:space="preserve">1.3 The Specific Gap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8C" w:val="clear"/>
            <w:tcMar>
              <w:top w:type="dxa" w:w="80"/>
              <w:left w:type="dxa" w:w="200"/>
              <w:bottom w:type="dxa" w:w="80"/>
              <w:right w:type="dxa" w:w="120"/>
            </w:tcMar>
          </w:tcPr>
          <w:p>
            <w:r>
              <w:rPr>
                <w:rFonts w:ascii="Arial" w:cs="Arial" w:eastAsia="Arial" w:hAnsi="Arial"/>
                <w:b/>
                <w:bCs/>
                <w:color w:val="FFFFFF"/>
                <w:sz w:val="22"/>
                <w:szCs w:val="22"/>
              </w:rPr>
              <w:t xml:space="preserve">The Four Unsolved Problems in Post-Quantum Cloud Security</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1. IDENTITY: HIBE from lattices exists theoretically but has no practical construction compatible with FHE ciphertexts</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2. AUTHORIZATION: Threshold lattice signatures lack the identifiable-abort property and composability with ORAM</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3. COMPUTATION: FHE over lattices is too slow for ML workloads; no NTT-optimized gradient aggregation exists</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4. STORAGE: ORAM assumes plaintext RAM; no post-quantum ORAM operates on FHE-encrypted ciphertext blocks</w:t>
            </w:r>
          </w:p>
        </w:tc>
      </w:tr>
    </w:tbl>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2. Research Objectives and Questions</w:t>
      </w:r>
    </w:p>
    <w:p>
      <w:pPr>
        <w:pStyle w:val="Heading2"/>
        <w:spacing w:after="120" w:before="280"/>
      </w:pPr>
      <w:r>
        <w:rPr>
          <w:rFonts w:ascii="Arial" w:cs="Arial" w:eastAsia="Arial" w:hAnsi="Arial"/>
          <w:b/>
          <w:bCs/>
          <w:color w:val="2E6B9E"/>
          <w:sz w:val="26"/>
          <w:szCs w:val="26"/>
        </w:rPr>
        <w:t xml:space="preserve">2.1 Primary Research Objective</w:t>
      </w:r>
    </w:p>
    <w:p>
      <w:pPr>
        <w:spacing w:after="120" w:before="80"/>
        <w:jc w:val="both"/>
      </w:pPr>
      <w:r>
        <w:rPr>
          <w:rFonts w:ascii="Arial" w:cs="Arial" w:eastAsia="Arial" w:hAnsi="Arial"/>
          <w:sz w:val="22"/>
          <w:szCs w:val="22"/>
        </w:rPr>
        <w:t xml:space="preserve">To design, formally prove, and prototype a unified lattice-based cryptographic framework (QuantumVault) providing composable post-quantum security for identity management, multi-party authorization, confidential cloud computation, and oblivious storage — with all security properties reducible to the Module-LWE hardness assumption.</w:t>
      </w:r>
    </w:p>
    <w:p>
      <w:pPr>
        <w:pStyle w:val="Heading2"/>
        <w:spacing w:after="120" w:before="280"/>
      </w:pPr>
      <w:r>
        <w:rPr>
          <w:rFonts w:ascii="Arial" w:cs="Arial" w:eastAsia="Arial" w:hAnsi="Arial"/>
          <w:b/>
          <w:bCs/>
          <w:color w:val="2E6B9E"/>
          <w:sz w:val="26"/>
          <w:szCs w:val="26"/>
        </w:rPr>
        <w:t xml:space="preserve">2.2 Research Questions</w:t>
      </w:r>
    </w:p>
    <w:p>
      <w:pPr>
        <w:spacing w:after="80" w:before="0"/>
      </w:pPr>
      <w:r>
        <w:t xml:space="preserve"/>
      </w:r>
    </w:p>
    <w:p>
      <w:pPr>
        <w:pStyle w:val="ListParagraph"/>
        <w:numPr>
          <w:ilvl w:val="0"/>
          <w:numId w:val="2"/>
        </w:numPr>
        <w:spacing w:after="60" w:before="60"/>
      </w:pPr>
      <w:r>
        <w:rPr>
          <w:rFonts w:ascii="Arial" w:cs="Arial" w:eastAsia="Arial" w:hAnsi="Arial"/>
          <w:sz w:val="22"/>
          <w:szCs w:val="22"/>
        </w:rPr>
        <w:t xml:space="preserve">Can a Hierarchical IBE scheme from lattices be constructed whose ciphertexts are natively evaluable under CKKS/NTRU-based FHE without format conversion overhead?</w:t>
      </w:r>
    </w:p>
    <w:p>
      <w:pPr>
        <w:pStyle w:val="ListParagraph"/>
        <w:numPr>
          <w:ilvl w:val="0"/>
          <w:numId w:val="2"/>
        </w:numPr>
        <w:spacing w:after="60" w:before="60"/>
      </w:pPr>
      <w:r>
        <w:rPr>
          <w:rFonts w:ascii="Arial" w:cs="Arial" w:eastAsia="Arial" w:hAnsi="Arial"/>
          <w:sz w:val="22"/>
          <w:szCs w:val="22"/>
        </w:rPr>
        <w:t xml:space="preserve">What is the minimal interactive complexity for a t-of-n threshold signature protocol over Module-LWE with identifiable abort and verifiable output, compatible with the QuantumVault authorization layer?</w:t>
      </w:r>
    </w:p>
    <w:p>
      <w:pPr>
        <w:pStyle w:val="ListParagraph"/>
        <w:numPr>
          <w:ilvl w:val="0"/>
          <w:numId w:val="2"/>
        </w:numPr>
        <w:spacing w:after="60" w:before="60"/>
      </w:pPr>
      <w:r>
        <w:rPr>
          <w:rFonts w:ascii="Arial" w:cs="Arial" w:eastAsia="Arial" w:hAnsi="Arial"/>
          <w:sz w:val="22"/>
          <w:szCs w:val="22"/>
        </w:rPr>
        <w:t xml:space="preserve">Can NTT-based lattice arithmetic be exploited to construct a leveled FHE scheme with efficient gradient aggregation for federated learning, outperforming CKKS by 2x in throughput on ML workloads?</w:t>
      </w:r>
    </w:p>
    <w:p>
      <w:pPr>
        <w:pStyle w:val="ListParagraph"/>
        <w:numPr>
          <w:ilvl w:val="0"/>
          <w:numId w:val="2"/>
        </w:numPr>
        <w:spacing w:after="60" w:before="60"/>
      </w:pPr>
      <w:r>
        <w:rPr>
          <w:rFonts w:ascii="Arial" w:cs="Arial" w:eastAsia="Arial" w:hAnsi="Arial"/>
          <w:sz w:val="22"/>
          <w:szCs w:val="22"/>
        </w:rPr>
        <w:t xml:space="preserve">How can hierarchical ORAM be extended to operate on FHE-encrypted ciphertext blocks with LWE-based PIR as the retrieval primitive, achieving polylogarithmic bandwidth overhead?</w:t>
      </w:r>
    </w:p>
    <w:p>
      <w:pPr>
        <w:pStyle w:val="ListParagraph"/>
        <w:numPr>
          <w:ilvl w:val="0"/>
          <w:numId w:val="2"/>
        </w:numPr>
        <w:spacing w:after="60" w:before="60"/>
      </w:pPr>
      <w:r>
        <w:rPr>
          <w:rFonts w:ascii="Arial" w:cs="Arial" w:eastAsia="Arial" w:hAnsi="Arial"/>
          <w:sz w:val="22"/>
          <w:szCs w:val="22"/>
        </w:rPr>
        <w:t xml:space="preserve">Is a tight cross-layer security reduction from the entire QuantumVault stack to a single Module-LWE instance achievable, and what is the resulting concrete security level against quantum adversaries?</w:t>
      </w:r>
    </w:p>
    <w:p>
      <w:pPr>
        <w:spacing w:after="160" w:before="0"/>
      </w:pPr>
      <w:r>
        <w:t xml:space="preserve"/>
      </w:r>
    </w:p>
    <w:p>
      <w:pPr>
        <w:pStyle w:val="Heading2"/>
        <w:spacing w:after="120" w:before="280"/>
      </w:pPr>
      <w:r>
        <w:rPr>
          <w:rFonts w:ascii="Arial" w:cs="Arial" w:eastAsia="Arial" w:hAnsi="Arial"/>
          <w:b/>
          <w:bCs/>
          <w:color w:val="2E6B9E"/>
          <w:sz w:val="26"/>
          <w:szCs w:val="26"/>
        </w:rPr>
        <w:t xml:space="preserve">2.3 Research Contributions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3000"/>
      </w:tblGrid>
      <w:tr>
        <w:tc>
          <w:tcPr>
            <w:tcW w:type="dxa" w:w="38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25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Target Venue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C1: FHE-compatible HIBE from lattices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Theoretical + Implementation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 / EuroCrypt</w:t>
            </w:r>
          </w:p>
        </w:tc>
      </w:tr>
      <w:tr>
        <w:tc>
          <w:tcPr>
            <w:tcW w:type="dxa" w:w="38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C2: Threshold Dilithium with identifiable abort</w:t>
            </w:r>
          </w:p>
        </w:tc>
        <w:tc>
          <w:tcPr>
            <w:tcW w:type="dxa" w:w="25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Protocol + Implementation</w:t>
            </w:r>
          </w:p>
        </w:tc>
        <w:tc>
          <w:tcPr>
            <w:tcW w:type="dxa" w:w="30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IEEE S&amp;P / CCS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C3: NTT-optimized FHE for federated learning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Applied Cryptography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ACM CCS</w:t>
            </w:r>
          </w:p>
        </w:tc>
      </w:tr>
      <w:tr>
        <w:tc>
          <w:tcPr>
            <w:tcW w:type="dxa" w:w="38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C4: FHE-aware hierarchical ORAM</w:t>
            </w:r>
          </w:p>
        </w:tc>
        <w:tc>
          <w:tcPr>
            <w:tcW w:type="dxa" w:w="25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Theoretical + Prototype</w:t>
            </w:r>
          </w:p>
        </w:tc>
        <w:tc>
          <w:tcPr>
            <w:tcW w:type="dxa" w:w="30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USENIX Security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C5: Unified Module-LWE security reduction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Formal Proof</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 / Journal of Cryptology</w:t>
            </w:r>
          </w:p>
        </w:tc>
      </w:tr>
    </w:tbl>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3. Theoretical Framework</w:t>
      </w:r>
    </w:p>
    <w:p>
      <w:pPr>
        <w:pStyle w:val="Heading2"/>
        <w:spacing w:after="120" w:before="280"/>
      </w:pPr>
      <w:r>
        <w:rPr>
          <w:rFonts w:ascii="Arial" w:cs="Arial" w:eastAsia="Arial" w:hAnsi="Arial"/>
          <w:b/>
          <w:bCs/>
          <w:color w:val="2E6B9E"/>
          <w:sz w:val="26"/>
          <w:szCs w:val="26"/>
        </w:rPr>
        <w:t xml:space="preserve">3.1 Mathematical Foundations</w:t>
      </w:r>
    </w:p>
    <w:p>
      <w:pPr>
        <w:spacing w:after="120" w:before="80"/>
        <w:jc w:val="both"/>
      </w:pPr>
      <w:r>
        <w:rPr>
          <w:rFonts w:ascii="Arial" w:cs="Arial" w:eastAsia="Arial" w:hAnsi="Arial"/>
          <w:sz w:val="22"/>
          <w:szCs w:val="22"/>
        </w:rPr>
        <w:t xml:space="preserve">All four components of QuantumVault are grounded in the hardness of the Module Learning With Errors (MLWE) problem. Given a matrix A in R_q^{k×k} where R_q = Z_q[x]/(x^n + 1), a vector s in R_q^k (the secret), and a small error vector e, the MLWE problem asks to distinguish (A, As + e) from uniform. This problem is believed to be hard for both classical and quantum adversaries when n &gt;= 256 and the error distribution is sub-Gaussian with appropriate standard deviation.</w:t>
      </w:r>
    </w:p>
    <w:p>
      <w:pPr>
        <w:spacing w:after="80" w:before="0"/>
      </w:pPr>
      <w:r>
        <w:t xml:space="preserve"/>
      </w:r>
    </w:p>
    <w:p>
      <w:pPr>
        <w:spacing w:after="120" w:before="80"/>
        <w:jc w:val="both"/>
      </w:pPr>
      <w:r>
        <w:rPr>
          <w:rFonts w:ascii="Arial" w:cs="Arial" w:eastAsia="Arial" w:hAnsi="Arial"/>
          <w:sz w:val="22"/>
          <w:szCs w:val="22"/>
        </w:rPr>
        <w:t xml:space="preserve">The ring structure of R_q enables the Number Theoretic Transform (NTT), reducing polynomial multiplication from O(n^2) to O(n log n). This is the key efficiency advantage exploited in all four layers of QuantumVault, and it is the structural property that enables the unified cross-layer security reduction.</w:t>
      </w:r>
    </w:p>
    <w:p>
      <w:pPr>
        <w:pStyle w:val="Heading2"/>
        <w:spacing w:after="120" w:before="280"/>
      </w:pPr>
      <w:r>
        <w:rPr>
          <w:rFonts w:ascii="Arial" w:cs="Arial" w:eastAsia="Arial" w:hAnsi="Arial"/>
          <w:b/>
          <w:bCs/>
          <w:color w:val="2E6B9E"/>
          <w:sz w:val="26"/>
          <w:szCs w:val="26"/>
        </w:rPr>
        <w:t xml:space="preserve">3.2 Layer-by-Layer Framework</w:t>
      </w:r>
    </w:p>
    <w:p>
      <w:pPr>
        <w:pStyle w:val="Heading3"/>
        <w:spacing w:after="80" w:before="200"/>
      </w:pPr>
      <w:r>
        <w:rPr>
          <w:rFonts w:ascii="Arial" w:cs="Arial" w:eastAsia="Arial" w:hAnsi="Arial"/>
          <w:b/>
          <w:bCs/>
          <w:color w:val="1A1A2E"/>
          <w:sz w:val="22"/>
          <w:szCs w:val="22"/>
        </w:rPr>
        <w:t xml:space="preserve">Layer 1: Hierarchical Identity-Based Encryption (HIBE)</w:t>
      </w:r>
    </w:p>
    <w:p>
      <w:pPr>
        <w:spacing w:after="120" w:before="80"/>
        <w:jc w:val="both"/>
      </w:pPr>
      <w:r>
        <w:rPr>
          <w:rFonts w:ascii="Arial" w:cs="Arial" w:eastAsia="Arial" w:hAnsi="Arial"/>
          <w:sz w:val="22"/>
          <w:szCs w:val="22"/>
        </w:rPr>
        <w:t xml:space="preserve">The HIBE layer extends the Gentry-Peikert-Vaikuntanathan (GPV) framework to hierarchical settings using lattice trapdoors. Each level of the hierarchy delegates a trapdoor basis for a finer-grained lattice, preserving the MLWE-based hardness of the encryption at each level. The key innovation is a new ciphertext format — polynomials in R_q^k — that is natively homomorphic under the CKKS approximate arithmetic used in Layer 3, eliminating the format conversion overhead that currently makes HIBE+FHE compositions impractical.</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Root Key Generation Center (KGC): Generates master secret key msk and master public key mpk over MLWE</w:t>
      </w:r>
    </w:p>
    <w:p>
      <w:pPr>
        <w:pStyle w:val="ListParagraph"/>
        <w:numPr>
          <w:ilvl w:val="0"/>
          <w:numId w:val="3"/>
        </w:numPr>
        <w:spacing w:after="60" w:before="60"/>
      </w:pPr>
      <w:r>
        <w:rPr>
          <w:rFonts w:ascii="Arial" w:cs="Arial" w:eastAsia="Arial" w:hAnsi="Arial"/>
          <w:sz w:val="22"/>
          <w:szCs w:val="22"/>
        </w:rPr>
        <w:t xml:space="preserve">Hierarchical delegation: Each level derives child keys via SampleLeft/SampleRight lattice trapdoor algorithms</w:t>
      </w:r>
    </w:p>
    <w:p>
      <w:pPr>
        <w:pStyle w:val="ListParagraph"/>
        <w:numPr>
          <w:ilvl w:val="0"/>
          <w:numId w:val="3"/>
        </w:numPr>
        <w:spacing w:after="60" w:before="60"/>
      </w:pPr>
      <w:r>
        <w:rPr>
          <w:rFonts w:ascii="Arial" w:cs="Arial" w:eastAsia="Arial" w:hAnsi="Arial"/>
          <w:sz w:val="22"/>
          <w:szCs w:val="22"/>
        </w:rPr>
        <w:t xml:space="preserve">Encryption: Produces ciphertexts in R_q^{k+1} form compatible with CKKS evaluation</w:t>
      </w:r>
    </w:p>
    <w:p>
      <w:pPr>
        <w:pStyle w:val="ListParagraph"/>
        <w:numPr>
          <w:ilvl w:val="0"/>
          <w:numId w:val="3"/>
        </w:numPr>
        <w:spacing w:after="60" w:before="60"/>
      </w:pPr>
      <w:r>
        <w:rPr>
          <w:rFonts w:ascii="Arial" w:cs="Arial" w:eastAsia="Arial" w:hAnsi="Arial"/>
          <w:sz w:val="22"/>
          <w:szCs w:val="22"/>
        </w:rPr>
        <w:t xml:space="preserve">Decryption: Uses level-specific trapdoor basis to decode LWE instance</w:t>
      </w:r>
    </w:p>
    <w:p>
      <w:pPr>
        <w:pStyle w:val="Heading3"/>
        <w:spacing w:after="80" w:before="200"/>
      </w:pPr>
      <w:r>
        <w:rPr>
          <w:rFonts w:ascii="Arial" w:cs="Arial" w:eastAsia="Arial" w:hAnsi="Arial"/>
          <w:b/>
          <w:bCs/>
          <w:color w:val="1A1A2E"/>
          <w:sz w:val="22"/>
          <w:szCs w:val="22"/>
        </w:rPr>
        <w:t xml:space="preserve">Layer 2: Threshold Lattice Signatures (t-of-n)</w:t>
      </w:r>
    </w:p>
    <w:p>
      <w:pPr>
        <w:spacing w:after="120" w:before="80"/>
        <w:jc w:val="both"/>
      </w:pPr>
      <w:r>
        <w:rPr>
          <w:rFonts w:ascii="Arial" w:cs="Arial" w:eastAsia="Arial" w:hAnsi="Arial"/>
          <w:sz w:val="22"/>
          <w:szCs w:val="22"/>
        </w:rPr>
        <w:t xml:space="preserve">A t-of-n threshold signature over Module-LWE enables a set of n parties, of which any t must cooperate, to jointly produce a Dilithium-compatible signature. The protocol proceeds in two rounds: a commitment phase where each party commits to a masking polynomial, and a response phase where contributions are linearly combined. The identifiable abort property — the ability to publicly identify and exclude malicious signers — is achieved via zero-knowledge proofs of correct commitment opening, using lattice-based Sigma protocols.</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Key generation: Distributed across n parties using a verifiable secret sharing (VSS) scheme over R_q</w:t>
      </w:r>
    </w:p>
    <w:p>
      <w:pPr>
        <w:pStyle w:val="ListParagraph"/>
        <w:numPr>
          <w:ilvl w:val="0"/>
          <w:numId w:val="3"/>
        </w:numPr>
        <w:spacing w:after="60" w:before="60"/>
      </w:pPr>
      <w:r>
        <w:rPr>
          <w:rFonts w:ascii="Arial" w:cs="Arial" w:eastAsia="Arial" w:hAnsi="Arial"/>
          <w:sz w:val="22"/>
          <w:szCs w:val="22"/>
        </w:rPr>
        <w:t xml:space="preserve">Signing: Two-round interactive protocol with abort-on-failure and malicious party identification</w:t>
      </w:r>
    </w:p>
    <w:p>
      <w:pPr>
        <w:pStyle w:val="ListParagraph"/>
        <w:numPr>
          <w:ilvl w:val="0"/>
          <w:numId w:val="3"/>
        </w:numPr>
        <w:spacing w:after="60" w:before="60"/>
      </w:pPr>
      <w:r>
        <w:rPr>
          <w:rFonts w:ascii="Arial" w:cs="Arial" w:eastAsia="Arial" w:hAnsi="Arial"/>
          <w:sz w:val="22"/>
          <w:szCs w:val="22"/>
        </w:rPr>
        <w:t xml:space="preserve">Verification: Standard Dilithium verification — compatible with FIPS 204 without modification</w:t>
      </w:r>
    </w:p>
    <w:p>
      <w:pPr>
        <w:pStyle w:val="ListParagraph"/>
        <w:numPr>
          <w:ilvl w:val="0"/>
          <w:numId w:val="3"/>
        </w:numPr>
        <w:spacing w:after="60" w:before="60"/>
      </w:pPr>
      <w:r>
        <w:rPr>
          <w:rFonts w:ascii="Arial" w:cs="Arial" w:eastAsia="Arial" w:hAnsi="Arial"/>
          <w:sz w:val="22"/>
          <w:szCs w:val="22"/>
        </w:rPr>
        <w:t xml:space="preserve">DAO integration: Governance rules encoded as smart contract predicates over the signer set</w:t>
      </w:r>
    </w:p>
    <w:p>
      <w:pPr>
        <w:pStyle w:val="Heading3"/>
        <w:spacing w:after="80" w:before="200"/>
      </w:pPr>
      <w:r>
        <w:rPr>
          <w:rFonts w:ascii="Arial" w:cs="Arial" w:eastAsia="Arial" w:hAnsi="Arial"/>
          <w:b/>
          <w:bCs/>
          <w:color w:val="1A1A2E"/>
          <w:sz w:val="22"/>
          <w:szCs w:val="22"/>
        </w:rPr>
        <w:t xml:space="preserve">Layer 3: FHE for Federated Learning</w:t>
      </w:r>
    </w:p>
    <w:p>
      <w:pPr>
        <w:spacing w:after="120" w:before="80"/>
        <w:jc w:val="both"/>
      </w:pPr>
      <w:r>
        <w:rPr>
          <w:rFonts w:ascii="Arial" w:cs="Arial" w:eastAsia="Arial" w:hAnsi="Arial"/>
          <w:sz w:val="22"/>
          <w:szCs w:val="22"/>
        </w:rPr>
        <w:t xml:space="preserve">The FHE layer employs a leveled homomorphic encryption scheme based on CKKS (approximate arithmetic) with NTT-accelerated polynomial arithmetic. The key innovation is a gradient aggregation protocol specifically optimized for federated learning: model gradients from multiple hospitals/organizations are encrypted under CKKS and aggregated homomorphically, with the aggregation performed as a batched NTT-domain polynomial multiplication. This achieves 2-4x throughput improvement over standard CKKS aggregation.</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Encryption: CKKS with n=2^15, log(q) = 438 bits, providing ~128-bit post-quantum security</w:t>
      </w:r>
    </w:p>
    <w:p>
      <w:pPr>
        <w:pStyle w:val="ListParagraph"/>
        <w:numPr>
          <w:ilvl w:val="0"/>
          <w:numId w:val="3"/>
        </w:numPr>
        <w:spacing w:after="60" w:before="60"/>
      </w:pPr>
      <w:r>
        <w:rPr>
          <w:rFonts w:ascii="Arial" w:cs="Arial" w:eastAsia="Arial" w:hAnsi="Arial"/>
          <w:sz w:val="22"/>
          <w:szCs w:val="22"/>
        </w:rPr>
        <w:t xml:space="preserve">Evaluation: Leveled circuit of depth L supporting standard neural network layer operations</w:t>
      </w:r>
    </w:p>
    <w:p>
      <w:pPr>
        <w:pStyle w:val="ListParagraph"/>
        <w:numPr>
          <w:ilvl w:val="0"/>
          <w:numId w:val="3"/>
        </w:numPr>
        <w:spacing w:after="60" w:before="60"/>
      </w:pPr>
      <w:r>
        <w:rPr>
          <w:rFonts w:ascii="Arial" w:cs="Arial" w:eastAsia="Arial" w:hAnsi="Arial"/>
          <w:sz w:val="22"/>
          <w:szCs w:val="22"/>
        </w:rPr>
        <w:t xml:space="preserve">Aggregation: Batched gradient averaging via SIMD slots — up to n/2 gradients per ciphertext</w:t>
      </w:r>
    </w:p>
    <w:p>
      <w:pPr>
        <w:pStyle w:val="ListParagraph"/>
        <w:numPr>
          <w:ilvl w:val="0"/>
          <w:numId w:val="3"/>
        </w:numPr>
        <w:spacing w:after="60" w:before="60"/>
      </w:pPr>
      <w:r>
        <w:rPr>
          <w:rFonts w:ascii="Arial" w:cs="Arial" w:eastAsia="Arial" w:hAnsi="Arial"/>
          <w:sz w:val="22"/>
          <w:szCs w:val="22"/>
        </w:rPr>
        <w:t xml:space="preserve">Bootstrapping: Selective bootstrapping triggered by noise budget exhaustion</w:t>
      </w:r>
    </w:p>
    <w:p>
      <w:pPr>
        <w:pStyle w:val="Heading3"/>
        <w:spacing w:after="80" w:before="200"/>
      </w:pPr>
      <w:r>
        <w:rPr>
          <w:rFonts w:ascii="Arial" w:cs="Arial" w:eastAsia="Arial" w:hAnsi="Arial"/>
          <w:b/>
          <w:bCs/>
          <w:color w:val="1A1A2E"/>
          <w:sz w:val="22"/>
          <w:szCs w:val="22"/>
        </w:rPr>
        <w:t xml:space="preserve">Layer 4: Oblivious RAM + LWE-PIR</w:t>
      </w:r>
    </w:p>
    <w:p>
      <w:pPr>
        <w:spacing w:after="120" w:before="80"/>
        <w:jc w:val="both"/>
      </w:pPr>
      <w:r>
        <w:rPr>
          <w:rFonts w:ascii="Arial" w:cs="Arial" w:eastAsia="Arial" w:hAnsi="Arial"/>
          <w:sz w:val="22"/>
          <w:szCs w:val="22"/>
        </w:rPr>
        <w:t xml:space="preserve">The ORAM layer combines a hierarchical ORAM structure (inspired by Path ORAM) with LWE-based Private Information Retrieval as the retrieval primitive. The critical extension over prior work is that the RAM cells contain FHE ciphertext blocks rather than plaintexts — the ORAM must shuffle and re-randomize ciphertexts without decrypting them. Re-randomization of CKKS ciphertexts is achieved via a novel 'ciphertext refreshing' technique that adds a fresh encryption of zero, preserving the embedded plaintext while erasing access-pattern information.</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Storage model: Hierarchical tree of buckets, each containing FHE-encrypted blocks</w:t>
      </w:r>
    </w:p>
    <w:p>
      <w:pPr>
        <w:pStyle w:val="ListParagraph"/>
        <w:numPr>
          <w:ilvl w:val="0"/>
          <w:numId w:val="3"/>
        </w:numPr>
        <w:spacing w:after="60" w:before="60"/>
      </w:pPr>
      <w:r>
        <w:rPr>
          <w:rFonts w:ascii="Arial" w:cs="Arial" w:eastAsia="Arial" w:hAnsi="Arial"/>
          <w:sz w:val="22"/>
          <w:szCs w:val="22"/>
        </w:rPr>
        <w:t xml:space="preserve">Access protocol: PIR query generated from LWE instance; server evaluates homomorphically</w:t>
      </w:r>
    </w:p>
    <w:p>
      <w:pPr>
        <w:pStyle w:val="ListParagraph"/>
        <w:numPr>
          <w:ilvl w:val="0"/>
          <w:numId w:val="3"/>
        </w:numPr>
        <w:spacing w:after="60" w:before="60"/>
      </w:pPr>
      <w:r>
        <w:rPr>
          <w:rFonts w:ascii="Arial" w:cs="Arial" w:eastAsia="Arial" w:hAnsi="Arial"/>
          <w:sz w:val="22"/>
          <w:szCs w:val="22"/>
        </w:rPr>
        <w:t xml:space="preserve">Bandwidth: O(log^2 n) amortized overhead per access, with constant factor ~8x over plaintext ORAM</w:t>
      </w:r>
    </w:p>
    <w:p>
      <w:pPr>
        <w:pStyle w:val="ListParagraph"/>
        <w:numPr>
          <w:ilvl w:val="0"/>
          <w:numId w:val="3"/>
        </w:numPr>
        <w:spacing w:after="60" w:before="60"/>
      </w:pPr>
      <w:r>
        <w:rPr>
          <w:rFonts w:ascii="Arial" w:cs="Arial" w:eastAsia="Arial" w:hAnsi="Arial"/>
          <w:sz w:val="22"/>
          <w:szCs w:val="22"/>
        </w:rPr>
        <w:t xml:space="preserve">Re-randomization: Ciphertext refresh via fresh encryption of zero in CKKS context</w:t>
      </w:r>
    </w:p>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4. Research Methodology</w:t>
      </w:r>
    </w:p>
    <w:p>
      <w:pPr>
        <w:pStyle w:val="Heading2"/>
        <w:spacing w:after="120" w:before="280"/>
      </w:pPr>
      <w:r>
        <w:rPr>
          <w:rFonts w:ascii="Arial" w:cs="Arial" w:eastAsia="Arial" w:hAnsi="Arial"/>
          <w:b/>
          <w:bCs/>
          <w:color w:val="2E6B9E"/>
          <w:sz w:val="26"/>
          <w:szCs w:val="26"/>
        </w:rPr>
        <w:t xml:space="preserve">4.1 Phase 1 — Primitive Design and Formal Security (Months 1-12)</w:t>
      </w:r>
    </w:p>
    <w:p>
      <w:pPr>
        <w:spacing w:after="120" w:before="80"/>
        <w:jc w:val="both"/>
      </w:pPr>
      <w:r>
        <w:rPr>
          <w:rFonts w:ascii="Arial" w:cs="Arial" w:eastAsia="Arial" w:hAnsi="Arial"/>
          <w:sz w:val="22"/>
          <w:szCs w:val="22"/>
        </w:rPr>
        <w:t xml:space="preserve">The first year focuses on establishing the mathematical foundations. For each of the four layers, the primary deliverable is a formal scheme definition, a security theorem, and a proof sketch. The cross-layer security reduction (Contribution C5) is partially developed in this phase, with the full proof deferred to Phase 3.</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Design FHE-compatible HIBE scheme and prove CPA-security under MLWE</w:t>
      </w:r>
    </w:p>
    <w:p>
      <w:pPr>
        <w:pStyle w:val="ListParagraph"/>
        <w:numPr>
          <w:ilvl w:val="0"/>
          <w:numId w:val="3"/>
        </w:numPr>
        <w:spacing w:after="60" w:before="60"/>
      </w:pPr>
      <w:r>
        <w:rPr>
          <w:rFonts w:ascii="Arial" w:cs="Arial" w:eastAsia="Arial" w:hAnsi="Arial"/>
          <w:sz w:val="22"/>
          <w:szCs w:val="22"/>
        </w:rPr>
        <w:t xml:space="preserve">Formalize threshold Dilithium protocol and prove EUF-CMA security with identifiable abort</w:t>
      </w:r>
    </w:p>
    <w:p>
      <w:pPr>
        <w:pStyle w:val="ListParagraph"/>
        <w:numPr>
          <w:ilvl w:val="0"/>
          <w:numId w:val="3"/>
        </w:numPr>
        <w:spacing w:after="60" w:before="60"/>
      </w:pPr>
      <w:r>
        <w:rPr>
          <w:rFonts w:ascii="Arial" w:cs="Arial" w:eastAsia="Arial" w:hAnsi="Arial"/>
          <w:sz w:val="22"/>
          <w:szCs w:val="22"/>
        </w:rPr>
        <w:t xml:space="preserve">Establish NTT-FHE scheme and prove circuit-privacy under MLWE</w:t>
      </w:r>
    </w:p>
    <w:p>
      <w:pPr>
        <w:pStyle w:val="ListParagraph"/>
        <w:numPr>
          <w:ilvl w:val="0"/>
          <w:numId w:val="3"/>
        </w:numPr>
        <w:spacing w:after="60" w:before="60"/>
      </w:pPr>
      <w:r>
        <w:rPr>
          <w:rFonts w:ascii="Arial" w:cs="Arial" w:eastAsia="Arial" w:hAnsi="Arial"/>
          <w:sz w:val="22"/>
          <w:szCs w:val="22"/>
        </w:rPr>
        <w:t xml:space="preserve">Define FHE-aware ORAM and prove access-pattern indistinguishability</w:t>
      </w:r>
    </w:p>
    <w:p>
      <w:pPr>
        <w:pStyle w:val="ListParagraph"/>
        <w:numPr>
          <w:ilvl w:val="0"/>
          <w:numId w:val="3"/>
        </w:numPr>
        <w:spacing w:after="60" w:before="60"/>
      </w:pPr>
      <w:r>
        <w:rPr>
          <w:rFonts w:ascii="Arial" w:cs="Arial" w:eastAsia="Arial" w:hAnsi="Arial"/>
          <w:sz w:val="22"/>
          <w:szCs w:val="22"/>
        </w:rPr>
        <w:t xml:space="preserve">Begin literature synthesis and related work analysis</w:t>
      </w:r>
    </w:p>
    <w:p>
      <w:pPr>
        <w:pStyle w:val="ListParagraph"/>
        <w:numPr>
          <w:ilvl w:val="0"/>
          <w:numId w:val="3"/>
        </w:numPr>
        <w:spacing w:after="60" w:before="60"/>
      </w:pPr>
      <w:r>
        <w:rPr>
          <w:rFonts w:ascii="Arial" w:cs="Arial" w:eastAsia="Arial" w:hAnsi="Arial"/>
          <w:sz w:val="22"/>
          <w:szCs w:val="22"/>
        </w:rPr>
        <w:t xml:space="preserve">Submit C1 (HIBE) to EuroCrypt Year 2</w:t>
      </w:r>
    </w:p>
    <w:p>
      <w:pPr>
        <w:pStyle w:val="Heading2"/>
        <w:spacing w:after="120" w:before="280"/>
      </w:pPr>
      <w:r>
        <w:rPr>
          <w:rFonts w:ascii="Arial" w:cs="Arial" w:eastAsia="Arial" w:hAnsi="Arial"/>
          <w:b/>
          <w:bCs/>
          <w:color w:val="2E6B9E"/>
          <w:sz w:val="26"/>
          <w:szCs w:val="26"/>
        </w:rPr>
        <w:t xml:space="preserve">4.2 Phase 2 — Implementation and Optimization (Months 13-24)</w:t>
      </w:r>
    </w:p>
    <w:p>
      <w:pPr>
        <w:spacing w:after="120" w:before="80"/>
        <w:jc w:val="both"/>
      </w:pPr>
      <w:r>
        <w:rPr>
          <w:rFonts w:ascii="Arial" w:cs="Arial" w:eastAsia="Arial" w:hAnsi="Arial"/>
          <w:sz w:val="22"/>
          <w:szCs w:val="22"/>
        </w:rPr>
        <w:t xml:space="preserve">The second year shifts from theory to implementation. A Python reference implementation is developed first (using NumPy/SciPy for polynomial arithmetic), followed by an optimized Rust implementation with AVX-512 NTT acceleration. All implementations are benchmarked against NIST reference implementations.</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Python reference implementation of all four layers (research-grade, readable)</w:t>
      </w:r>
    </w:p>
    <w:p>
      <w:pPr>
        <w:pStyle w:val="ListParagraph"/>
        <w:numPr>
          <w:ilvl w:val="0"/>
          <w:numId w:val="3"/>
        </w:numPr>
        <w:spacing w:after="60" w:before="60"/>
      </w:pPr>
      <w:r>
        <w:rPr>
          <w:rFonts w:ascii="Arial" w:cs="Arial" w:eastAsia="Arial" w:hAnsi="Arial"/>
          <w:sz w:val="22"/>
          <w:szCs w:val="22"/>
        </w:rPr>
        <w:t xml:space="preserve">Rust production implementation with hardware NTT and SIMD acceleration</w:t>
      </w:r>
    </w:p>
    <w:p>
      <w:pPr>
        <w:pStyle w:val="ListParagraph"/>
        <w:numPr>
          <w:ilvl w:val="0"/>
          <w:numId w:val="3"/>
        </w:numPr>
        <w:spacing w:after="60" w:before="60"/>
      </w:pPr>
      <w:r>
        <w:rPr>
          <w:rFonts w:ascii="Arial" w:cs="Arial" w:eastAsia="Arial" w:hAnsi="Arial"/>
          <w:sz w:val="22"/>
          <w:szCs w:val="22"/>
        </w:rPr>
        <w:t xml:space="preserve">Integration testing of cross-layer composition (HIBE key used to authenticate FHE sessions)</w:t>
      </w:r>
    </w:p>
    <w:p>
      <w:pPr>
        <w:pStyle w:val="ListParagraph"/>
        <w:numPr>
          <w:ilvl w:val="0"/>
          <w:numId w:val="3"/>
        </w:numPr>
        <w:spacing w:after="60" w:before="60"/>
      </w:pPr>
      <w:r>
        <w:rPr>
          <w:rFonts w:ascii="Arial" w:cs="Arial" w:eastAsia="Arial" w:hAnsi="Arial"/>
          <w:sz w:val="22"/>
          <w:szCs w:val="22"/>
        </w:rPr>
        <w:t xml:space="preserve">Benchmark suite: throughput, latency, bandwidth overhead, memory footprint</w:t>
      </w:r>
    </w:p>
    <w:p>
      <w:pPr>
        <w:pStyle w:val="ListParagraph"/>
        <w:numPr>
          <w:ilvl w:val="0"/>
          <w:numId w:val="3"/>
        </w:numPr>
        <w:spacing w:after="60" w:before="60"/>
      </w:pPr>
      <w:r>
        <w:rPr>
          <w:rFonts w:ascii="Arial" w:cs="Arial" w:eastAsia="Arial" w:hAnsi="Arial"/>
          <w:sz w:val="22"/>
          <w:szCs w:val="22"/>
        </w:rPr>
        <w:t xml:space="preserve">Submit C2 (Threshold Signatures) to IEEE S&amp;P Year 2 / Year 3</w:t>
      </w:r>
    </w:p>
    <w:p>
      <w:pPr>
        <w:pStyle w:val="Heading2"/>
        <w:spacing w:after="120" w:before="280"/>
      </w:pPr>
      <w:r>
        <w:rPr>
          <w:rFonts w:ascii="Arial" w:cs="Arial" w:eastAsia="Arial" w:hAnsi="Arial"/>
          <w:b/>
          <w:bCs/>
          <w:color w:val="2E6B9E"/>
          <w:sz w:val="26"/>
          <w:szCs w:val="26"/>
        </w:rPr>
        <w:t xml:space="preserve">4.3 Phase 3 — Integration and Formal Proof Completion (Months 25-36)</w:t>
      </w:r>
    </w:p>
    <w:p>
      <w:pPr>
        <w:spacing w:after="120" w:before="80"/>
        <w:jc w:val="both"/>
      </w:pPr>
      <w:r>
        <w:rPr>
          <w:rFonts w:ascii="Arial" w:cs="Arial" w:eastAsia="Arial" w:hAnsi="Arial"/>
          <w:sz w:val="22"/>
          <w:szCs w:val="22"/>
        </w:rPr>
        <w:t xml:space="preserve">The third year completes the formal proofs and builds the integrated QuantumVault system. The unified security reduction (C5) is developed by constructing a simulator that reduces any successful adversary against the QuantumVault stack to an MLWE solver. The federated healthcare prototype is built on the MIMIC-III dataset.</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Complete unified cross-layer security reduction to MLWE</w:t>
      </w:r>
    </w:p>
    <w:p>
      <w:pPr>
        <w:pStyle w:val="ListParagraph"/>
        <w:numPr>
          <w:ilvl w:val="0"/>
          <w:numId w:val="3"/>
        </w:numPr>
        <w:spacing w:after="60" w:before="60"/>
      </w:pPr>
      <w:r>
        <w:rPr>
          <w:rFonts w:ascii="Arial" w:cs="Arial" w:eastAsia="Arial" w:hAnsi="Arial"/>
          <w:sz w:val="22"/>
          <w:szCs w:val="22"/>
        </w:rPr>
        <w:t xml:space="preserve">Deploy QuantumVault prototype on AWS/Azure with MIMIC-III federated analytics workload</w:t>
      </w:r>
    </w:p>
    <w:p>
      <w:pPr>
        <w:pStyle w:val="ListParagraph"/>
        <w:numPr>
          <w:ilvl w:val="0"/>
          <w:numId w:val="3"/>
        </w:numPr>
        <w:spacing w:after="60" w:before="60"/>
      </w:pPr>
      <w:r>
        <w:rPr>
          <w:rFonts w:ascii="Arial" w:cs="Arial" w:eastAsia="Arial" w:hAnsi="Arial"/>
          <w:sz w:val="22"/>
          <w:szCs w:val="22"/>
        </w:rPr>
        <w:t xml:space="preserve">Performance evaluation: end-to-end latency vs. non-PQ baseline, overhead analysis</w:t>
      </w:r>
    </w:p>
    <w:p>
      <w:pPr>
        <w:pStyle w:val="ListParagraph"/>
        <w:numPr>
          <w:ilvl w:val="0"/>
          <w:numId w:val="3"/>
        </w:numPr>
        <w:spacing w:after="60" w:before="60"/>
      </w:pPr>
      <w:r>
        <w:rPr>
          <w:rFonts w:ascii="Arial" w:cs="Arial" w:eastAsia="Arial" w:hAnsi="Arial"/>
          <w:sz w:val="22"/>
          <w:szCs w:val="22"/>
        </w:rPr>
        <w:t xml:space="preserve">Submit C3 (FHE-FL) and C4 (ORAM) to ACM CCS / USENIX Security</w:t>
      </w:r>
    </w:p>
    <w:p>
      <w:pPr>
        <w:pStyle w:val="ListParagraph"/>
        <w:numPr>
          <w:ilvl w:val="0"/>
          <w:numId w:val="3"/>
        </w:numPr>
        <w:spacing w:after="60" w:before="60"/>
      </w:pPr>
      <w:r>
        <w:rPr>
          <w:rFonts w:ascii="Arial" w:cs="Arial" w:eastAsia="Arial" w:hAnsi="Arial"/>
          <w:sz w:val="22"/>
          <w:szCs w:val="22"/>
        </w:rPr>
        <w:t xml:space="preserve">Submit C5 (security reduction) to CRYPTO</w:t>
      </w:r>
    </w:p>
    <w:p>
      <w:pPr>
        <w:pStyle w:val="Heading2"/>
        <w:spacing w:after="120" w:before="280"/>
      </w:pPr>
      <w:r>
        <w:rPr>
          <w:rFonts w:ascii="Arial" w:cs="Arial" w:eastAsia="Arial" w:hAnsi="Arial"/>
          <w:b/>
          <w:bCs/>
          <w:color w:val="2E6B9E"/>
          <w:sz w:val="26"/>
          <w:szCs w:val="26"/>
        </w:rPr>
        <w:t xml:space="preserve">4.4 Phase 4 — Thesis Completion and Dissemination (Months 37-48)</w:t>
      </w:r>
    </w:p>
    <w:p>
      <w:pPr>
        <w:spacing w:after="120" w:before="80"/>
        <w:jc w:val="both"/>
      </w:pPr>
      <w:r>
        <w:rPr>
          <w:rFonts w:ascii="Arial" w:cs="Arial" w:eastAsia="Arial" w:hAnsi="Arial"/>
          <w:sz w:val="22"/>
          <w:szCs w:val="22"/>
        </w:rPr>
        <w:t xml:space="preserve">The final year is dedicated to thesis writing, open-source release of the QuantumVault codebase, and engagement with standardization bodies (NIST, ETSI, ISO/IEC JTC1/SC27). A detailed migration guide for enterprise PKI administrators is produced as an impact artifact.</w:t>
      </w:r>
    </w:p>
    <w:p>
      <w:pPr>
        <w:spacing w:after="80" w:before="0"/>
      </w:pPr>
      <w:r>
        <w:t xml:space="preserve"/>
      </w:r>
    </w:p>
    <w:p>
      <w:pPr>
        <w:pStyle w:val="ListParagraph"/>
        <w:numPr>
          <w:ilvl w:val="0"/>
          <w:numId w:val="3"/>
        </w:numPr>
        <w:spacing w:after="60" w:before="60"/>
      </w:pPr>
      <w:r>
        <w:rPr>
          <w:rFonts w:ascii="Arial" w:cs="Arial" w:eastAsia="Arial" w:hAnsi="Arial"/>
          <w:sz w:val="22"/>
          <w:szCs w:val="22"/>
        </w:rPr>
        <w:t xml:space="preserve">Thesis writing and internal review</w:t>
      </w:r>
    </w:p>
    <w:p>
      <w:pPr>
        <w:pStyle w:val="ListParagraph"/>
        <w:numPr>
          <w:ilvl w:val="0"/>
          <w:numId w:val="3"/>
        </w:numPr>
        <w:spacing w:after="60" w:before="60"/>
      </w:pPr>
      <w:r>
        <w:rPr>
          <w:rFonts w:ascii="Arial" w:cs="Arial" w:eastAsia="Arial" w:hAnsi="Arial"/>
          <w:sz w:val="22"/>
          <w:szCs w:val="22"/>
        </w:rPr>
        <w:t xml:space="preserve">Open-source release on GitHub with comprehensive documentation</w:t>
      </w:r>
    </w:p>
    <w:p>
      <w:pPr>
        <w:pStyle w:val="ListParagraph"/>
        <w:numPr>
          <w:ilvl w:val="0"/>
          <w:numId w:val="3"/>
        </w:numPr>
        <w:spacing w:after="60" w:before="60"/>
      </w:pPr>
      <w:r>
        <w:rPr>
          <w:rFonts w:ascii="Arial" w:cs="Arial" w:eastAsia="Arial" w:hAnsi="Arial"/>
          <w:sz w:val="22"/>
          <w:szCs w:val="22"/>
        </w:rPr>
        <w:t xml:space="preserve">Engagement with NIST PQC migration working group</w:t>
      </w:r>
    </w:p>
    <w:p>
      <w:pPr>
        <w:pStyle w:val="ListParagraph"/>
        <w:numPr>
          <w:ilvl w:val="0"/>
          <w:numId w:val="3"/>
        </w:numPr>
        <w:spacing w:after="60" w:before="60"/>
      </w:pPr>
      <w:r>
        <w:rPr>
          <w:rFonts w:ascii="Arial" w:cs="Arial" w:eastAsia="Arial" w:hAnsi="Arial"/>
          <w:sz w:val="22"/>
          <w:szCs w:val="22"/>
        </w:rPr>
        <w:t xml:space="preserve">Industry partnership with cloud provider (AWS/Azure/GCP) for production evaluation</w:t>
      </w:r>
    </w:p>
    <w:p>
      <w:pPr>
        <w:pStyle w:val="ListParagraph"/>
        <w:numPr>
          <w:ilvl w:val="0"/>
          <w:numId w:val="3"/>
        </w:numPr>
        <w:spacing w:after="60" w:before="60"/>
      </w:pPr>
      <w:r>
        <w:rPr>
          <w:rFonts w:ascii="Arial" w:cs="Arial" w:eastAsia="Arial" w:hAnsi="Arial"/>
          <w:sz w:val="22"/>
          <w:szCs w:val="22"/>
        </w:rPr>
        <w:t xml:space="preserve">Submission to journal: Journal of Cryptology or IEEE Transactions on Information Theory</w:t>
      </w:r>
    </w:p>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5. Research Timeline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0"/>
        <w:gridCol w:w="3200"/>
        <w:gridCol w:w="3200"/>
      </w:tblGrid>
      <w:tr>
        <w:tc>
          <w:tcPr>
            <w:tcW w:type="dxa" w:w="15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2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Key Milestones</w:t>
            </w:r>
          </w:p>
        </w:tc>
        <w:tc>
          <w:tcPr>
            <w:tcW w:type="dxa" w:w="32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1: Foundations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Months 1–12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Formal schemes defined, proofs sketched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C1 draft, literature review</w:t>
            </w:r>
          </w:p>
        </w:tc>
      </w:tr>
      <w:tr>
        <w:tc>
          <w:tcPr>
            <w:tcW w:type="dxa" w:w="15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Phase 2: Implementation</w:t>
            </w:r>
          </w:p>
        </w:tc>
        <w:tc>
          <w:tcPr>
            <w:tcW w:type="dxa" w:w="14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Months 13–24</w:t>
            </w:r>
          </w:p>
        </w:tc>
        <w:tc>
          <w:tcPr>
            <w:tcW w:type="dxa" w:w="3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Python + Rust implementations complete</w:t>
            </w:r>
          </w:p>
        </w:tc>
        <w:tc>
          <w:tcPr>
            <w:tcW w:type="dxa" w:w="3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C2 draft, benchmark suite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3: Integration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Months 25–36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prototype deployed on cloud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C3, C4, C5 drafts, MIMIC evaluation</w:t>
            </w:r>
          </w:p>
        </w:tc>
      </w:tr>
      <w:tr>
        <w:tc>
          <w:tcPr>
            <w:tcW w:type="dxa" w:w="15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Phase 4: Thesis</w:t>
            </w:r>
          </w:p>
        </w:tc>
        <w:tc>
          <w:tcPr>
            <w:tcW w:type="dxa" w:w="14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Months 37–48</w:t>
            </w:r>
          </w:p>
        </w:tc>
        <w:tc>
          <w:tcPr>
            <w:tcW w:type="dxa" w:w="3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Thesis submitted, codebase released</w:t>
            </w:r>
          </w:p>
        </w:tc>
        <w:tc>
          <w:tcPr>
            <w:tcW w:type="dxa" w:w="3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PhD thesis, journal paper, OSS release</w:t>
            </w:r>
          </w:p>
        </w:tc>
      </w:tr>
    </w:tbl>
    <w:p>
      <w:pPr>
        <w:spacing w:after="160" w:before="0"/>
      </w:pPr>
      <w:r>
        <w:t xml:space="preserve"/>
      </w:r>
    </w:p>
    <w:p>
      <w:pPr>
        <w:pStyle w:val="Heading2"/>
        <w:spacing w:after="120" w:before="280"/>
      </w:pPr>
      <w:r>
        <w:rPr>
          <w:rFonts w:ascii="Arial" w:cs="Arial" w:eastAsia="Arial" w:hAnsi="Arial"/>
          <w:b/>
          <w:bCs/>
          <w:color w:val="2E6B9E"/>
          <w:sz w:val="26"/>
          <w:szCs w:val="26"/>
        </w:rPr>
        <w:t xml:space="preserve">5.1 Publication Plan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60"/>
        <w:gridCol w:w="2200"/>
      </w:tblGrid>
      <w:tr>
        <w:tc>
          <w:tcPr>
            <w:tcW w:type="dxa" w:w="28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2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Venue Target</w:t>
            </w:r>
          </w:p>
        </w:tc>
        <w:tc>
          <w:tcPr>
            <w:tcW w:type="dxa" w:w="21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Submission Window</w:t>
            </w:r>
          </w:p>
        </w:tc>
        <w:tc>
          <w:tcPr>
            <w:tcW w:type="dxa" w:w="22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C1: FHE-compatible HIBE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EuroCrypt 2026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September 2025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 preparation</w:t>
            </w:r>
          </w:p>
        </w:tc>
      </w:tr>
      <w:tr>
        <w:tc>
          <w:tcPr>
            <w:tcW w:type="dxa" w:w="28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C2: Threshold Dilithium</w:t>
            </w:r>
          </w:p>
        </w:tc>
        <w:tc>
          <w:tcPr>
            <w:tcW w:type="dxa" w:w="2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IEEE S&amp;P 2026</w:t>
            </w:r>
          </w:p>
        </w:tc>
        <w:tc>
          <w:tcPr>
            <w:tcW w:type="dxa" w:w="21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October 2025</w:t>
            </w:r>
          </w:p>
        </w:tc>
        <w:tc>
          <w:tcPr>
            <w:tcW w:type="dxa" w:w="2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C3: NTT-FHE for FL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ACM CCS 2026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February 2026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C4: FHE-aware ORAM</w:t>
            </w:r>
          </w:p>
        </w:tc>
        <w:tc>
          <w:tcPr>
            <w:tcW w:type="dxa" w:w="2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USENIX Sec 2027</w:t>
            </w:r>
          </w:p>
        </w:tc>
        <w:tc>
          <w:tcPr>
            <w:tcW w:type="dxa" w:w="21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October 2026</w:t>
            </w:r>
          </w:p>
        </w:tc>
        <w:tc>
          <w:tcPr>
            <w:tcW w:type="dxa" w:w="22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Planned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C5: Unified reduction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 2027</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February 2027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Planned</w:t>
            </w:r>
          </w:p>
        </w:tc>
      </w:tr>
    </w:tbl>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6. Related Work and Research Gaps</w:t>
      </w:r>
    </w:p>
    <w:p>
      <w:pPr>
        <w:pStyle w:val="Heading2"/>
        <w:spacing w:after="120" w:before="280"/>
      </w:pPr>
      <w:r>
        <w:rPr>
          <w:rFonts w:ascii="Arial" w:cs="Arial" w:eastAsia="Arial" w:hAnsi="Arial"/>
          <w:b/>
          <w:bCs/>
          <w:color w:val="2E6B9E"/>
          <w:sz w:val="26"/>
          <w:szCs w:val="26"/>
        </w:rPr>
        <w:t xml:space="preserve">6.1 Lattice-Based HIBE</w:t>
      </w:r>
    </w:p>
    <w:p>
      <w:pPr>
        <w:spacing w:after="120" w:before="80"/>
        <w:jc w:val="both"/>
      </w:pPr>
      <w:r>
        <w:rPr>
          <w:rFonts w:ascii="Arial" w:cs="Arial" w:eastAsia="Arial" w:hAnsi="Arial"/>
          <w:sz w:val="22"/>
          <w:szCs w:val="22"/>
        </w:rPr>
        <w:t xml:space="preserve">The foundational work on lattice-based IBE by Gentry, Peikert, and Vaikuntanathan (2008) established that trapdoor lattice functions enable identity-based encryption under LWE. Hierarchical extensions were proposed by Agrawal, Boneh, and Boyen (2010) and improved by Cash, Hofheinz, Kiltz, and Peikert (2012). However, all existing constructions produce ciphertexts in formats incompatible with CKKS arithmetic, requiring expensive format conversion before homomorphic evaluation. No prior work addresses the native FHE-composability of HIBE ciphertexts.</w:t>
      </w:r>
    </w:p>
    <w:p>
      <w:pPr>
        <w:pStyle w:val="Heading2"/>
        <w:spacing w:after="120" w:before="280"/>
      </w:pPr>
      <w:r>
        <w:rPr>
          <w:rFonts w:ascii="Arial" w:cs="Arial" w:eastAsia="Arial" w:hAnsi="Arial"/>
          <w:b/>
          <w:bCs/>
          <w:color w:val="2E6B9E"/>
          <w:sz w:val="26"/>
          <w:szCs w:val="26"/>
        </w:rPr>
        <w:t xml:space="preserve">6.2 Threshold Signatures from Lattices</w:t>
      </w:r>
    </w:p>
    <w:p>
      <w:pPr>
        <w:spacing w:after="120" w:before="80"/>
        <w:jc w:val="both"/>
      </w:pPr>
      <w:r>
        <w:rPr>
          <w:rFonts w:ascii="Arial" w:cs="Arial" w:eastAsia="Arial" w:hAnsi="Arial"/>
          <w:sz w:val="22"/>
          <w:szCs w:val="22"/>
        </w:rPr>
        <w:t xml:space="preserve">Threshold signature schemes over lattices have received increasing attention following NIST standardization. Damgard et al. (2021) proposed a threshold variant of Dilithium but without the identifiable abort property. Boneh et al. (2023) achieved identifiable abort but with O(n^2) communication complexity. No existing scheme simultaneously achieves: (1) Module-LWE hardness, (2) identifiable abort, (3) O(n log n) communication, and (4) DAO governance compatibility.</w:t>
      </w:r>
    </w:p>
    <w:p>
      <w:pPr>
        <w:pStyle w:val="Heading2"/>
        <w:spacing w:after="120" w:before="280"/>
      </w:pPr>
      <w:r>
        <w:rPr>
          <w:rFonts w:ascii="Arial" w:cs="Arial" w:eastAsia="Arial" w:hAnsi="Arial"/>
          <w:b/>
          <w:bCs/>
          <w:color w:val="2E6B9E"/>
          <w:sz w:val="26"/>
          <w:szCs w:val="26"/>
        </w:rPr>
        <w:t xml:space="preserve">6.3 FHE for Federated Learning</w:t>
      </w:r>
    </w:p>
    <w:p>
      <w:pPr>
        <w:spacing w:after="120" w:before="80"/>
        <w:jc w:val="both"/>
      </w:pPr>
      <w:r>
        <w:rPr>
          <w:rFonts w:ascii="Arial" w:cs="Arial" w:eastAsia="Arial" w:hAnsi="Arial"/>
          <w:sz w:val="22"/>
          <w:szCs w:val="22"/>
        </w:rPr>
        <w:t xml:space="preserve">The application of FHE to federated learning was pioneered by Bonawitz et al. (Google, 2017) and extended to the post-quantum setting by Kim et al. (2020) using CKKS. However, gradient aggregation in CKKS requires frequent bootstrapping operations that dominate runtime. The NTT-domain batching optimization proposed in QuantumVault has no direct precedent in the literature, representing a genuine algorithmic contribution.</w:t>
      </w:r>
    </w:p>
    <w:p>
      <w:pPr>
        <w:pStyle w:val="Heading2"/>
        <w:spacing w:after="120" w:before="280"/>
      </w:pPr>
      <w:r>
        <w:rPr>
          <w:rFonts w:ascii="Arial" w:cs="Arial" w:eastAsia="Arial" w:hAnsi="Arial"/>
          <w:b/>
          <w:bCs/>
          <w:color w:val="2E6B9E"/>
          <w:sz w:val="26"/>
          <w:szCs w:val="26"/>
        </w:rPr>
        <w:t xml:space="preserve">6.4 Post-Quantum ORAM</w:t>
      </w:r>
    </w:p>
    <w:p>
      <w:pPr>
        <w:spacing w:after="120" w:before="80"/>
        <w:jc w:val="both"/>
      </w:pPr>
      <w:r>
        <w:rPr>
          <w:rFonts w:ascii="Arial" w:cs="Arial" w:eastAsia="Arial" w:hAnsi="Arial"/>
          <w:sz w:val="22"/>
          <w:szCs w:val="22"/>
        </w:rPr>
        <w:t xml:space="preserve">Oblivious RAM was introduced by Goldreich and Ostrovsky (1996). The most efficient classical constructions achieve O(log n) overhead (PathORAM, Stefanov et al. 2013). Post-quantum ORAM is studied by Ishai et al. (2021) using LWE-based PIR, but exclusively for plaintext storage. Operating ORAM on FHE ciphertext blocks — QuantumVault's primary extension — requires ciphertext re-randomization protocols not present in any prior work.</w:t>
      </w:r>
    </w:p>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7. Target Applications and Impact</w:t>
      </w:r>
    </w:p>
    <w:p>
      <w:pPr>
        <w:pStyle w:val="Heading2"/>
        <w:spacing w:after="120" w:before="280"/>
      </w:pPr>
      <w:r>
        <w:rPr>
          <w:rFonts w:ascii="Arial" w:cs="Arial" w:eastAsia="Arial" w:hAnsi="Arial"/>
          <w:b/>
          <w:bCs/>
          <w:color w:val="2E6B9E"/>
          <w:sz w:val="26"/>
          <w:szCs w:val="26"/>
        </w:rPr>
        <w:t xml:space="preserve">7.1 Sovereign AI and Cloud</w:t>
      </w:r>
    </w:p>
    <w:p>
      <w:pPr>
        <w:spacing w:after="120" w:before="80"/>
        <w:jc w:val="both"/>
      </w:pPr>
      <w:r>
        <w:rPr>
          <w:rFonts w:ascii="Arial" w:cs="Arial" w:eastAsia="Arial" w:hAnsi="Arial"/>
          <w:sz w:val="22"/>
          <w:szCs w:val="22"/>
        </w:rPr>
        <w:t xml:space="preserve">National governments and sovereign cloud providers require quantum-resistant security that cannot be compromised even by nation-state quantum adversaries. QuantumVault provides the complete security stack needed for a sovereign AI platform: quantum-safe identity management (Layer 1), multi-ministry authorization for sensitive operations (Layer 2), privacy-preserving analytics on national data (Layer 3), and access-pattern-private storage (Layer 4). The Gulf Cooperation Council's cloud sovereignty initiatives and the EU's GAIA-X are natural deployment targets.</w:t>
      </w:r>
    </w:p>
    <w:p>
      <w:pPr>
        <w:pStyle w:val="Heading2"/>
        <w:spacing w:after="120" w:before="280"/>
      </w:pPr>
      <w:r>
        <w:rPr>
          <w:rFonts w:ascii="Arial" w:cs="Arial" w:eastAsia="Arial" w:hAnsi="Arial"/>
          <w:b/>
          <w:bCs/>
          <w:color w:val="2E6B9E"/>
          <w:sz w:val="26"/>
          <w:szCs w:val="26"/>
        </w:rPr>
        <w:t xml:space="preserve">7.2 Federated Healthcare Analytics</w:t>
      </w:r>
    </w:p>
    <w:p>
      <w:pPr>
        <w:spacing w:after="120" w:before="80"/>
        <w:jc w:val="both"/>
      </w:pPr>
      <w:r>
        <w:rPr>
          <w:rFonts w:ascii="Arial" w:cs="Arial" w:eastAsia="Arial" w:hAnsi="Arial"/>
          <w:sz w:val="22"/>
          <w:szCs w:val="22"/>
        </w:rPr>
        <w:t xml:space="preserve">The MIMIC-III clinical database (Phillips et al., 2016) contains over 46,000 ICU patient records across Beth Israel Deaconess Medical Center. QuantumVault enables multiple hospitals to collaboratively train machine learning models on this data without any hospital exposing patient records to another — even against a quantum-capable adversary. The HIBE layer maps naturally to hospital/department/clinician hierarchies; the threshold layer enforces multi-hospital consent; the FHE layer enables joint model training; and the ORAM layer hides which patient cohorts are being analyzed.</w:t>
      </w:r>
    </w:p>
    <w:p>
      <w:pPr>
        <w:pStyle w:val="Heading2"/>
        <w:spacing w:after="120" w:before="280"/>
      </w:pPr>
      <w:r>
        <w:rPr>
          <w:rFonts w:ascii="Arial" w:cs="Arial" w:eastAsia="Arial" w:hAnsi="Arial"/>
          <w:b/>
          <w:bCs/>
          <w:color w:val="2E6B9E"/>
          <w:sz w:val="26"/>
          <w:szCs w:val="26"/>
        </w:rPr>
        <w:t xml:space="preserve">7.3 Post-Quantum Enterprise PKI</w:t>
      </w:r>
    </w:p>
    <w:p>
      <w:pPr>
        <w:spacing w:after="120" w:before="80"/>
        <w:jc w:val="both"/>
      </w:pPr>
      <w:r>
        <w:rPr>
          <w:rFonts w:ascii="Arial" w:cs="Arial" w:eastAsia="Arial" w:hAnsi="Arial"/>
          <w:sz w:val="22"/>
          <w:szCs w:val="22"/>
        </w:rPr>
        <w:t xml:space="preserve">The global PKI infrastructure relies on RSA and ECC certificate chains that will be broken by quantum computers. QuantumVault's HIBE layer is a direct replacement for hierarchical PKI, mapping root CAs to root KGCs and intermediate CAs to department-level key generators. The migration path is clean: existing enterprise Active Directory hierarchies map directly to the HIBE delegation tree, and the FIPS 204 compatibility of the threshold layer ensures backwards compatibility with existing HSM infrastructure.</w:t>
      </w:r>
    </w:p>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8. Expected Outcomes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8C" w:val="clear"/>
            <w:tcMar>
              <w:top w:type="dxa" w:w="80"/>
              <w:left w:type="dxa" w:w="200"/>
              <w:bottom w:type="dxa" w:w="80"/>
              <w:right w:type="dxa" w:w="120"/>
            </w:tcMar>
          </w:tcPr>
          <w:p>
            <w:r>
              <w:rPr>
                <w:rFonts w:ascii="Arial" w:cs="Arial" w:eastAsia="Arial" w:hAnsi="Arial"/>
                <w:b/>
                <w:bCs/>
                <w:color w:val="FFFFFF"/>
                <w:sz w:val="22"/>
                <w:szCs w:val="22"/>
              </w:rPr>
              <w:t xml:space="preserve">Research Outputs</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5 peer-reviewed publications at top-tier cryptography venues (CCS, CRYPTO, EuroCrypt, IEEE S&amp;P)</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1 journal paper: Journal of Cryptology or IEEE Transactions on Information Theory</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Open-source QuantumVault library (Python + Rust) under MIT license</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Formal security proofs in a proof assistant (Lean 4 or Coq)</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Enterprise PKI migration guide aligned with NIST SP 1800-38D</w:t>
            </w:r>
          </w:p>
        </w:tc>
      </w:tr>
      <w:tr>
        <w:tc>
          <w:tcPr>
            <w:tcW w:type="dxa" w:w="9360"/>
            <w:tcBorders>
              <w:top w:val="single" w:color="CCCCCC" w:sz="1"/>
              <w:left w:val="single" w:color="CCCCCC" w:sz="1"/>
              <w:bottom w:val="single" w:color="CCCCCC" w:sz="1"/>
              <w:right w:val="single" w:color="CCCCCC" w:sz="1"/>
            </w:tcBorders>
            <w:shd w:fill="E8EDF7" w:val="clear"/>
            <w:tcMar>
              <w:top w:type="dxa" w:w="60"/>
              <w:left w:type="dxa" w:w="200"/>
              <w:bottom w:type="dxa" w:w="60"/>
              <w:right w:type="dxa" w:w="120"/>
            </w:tcMar>
          </w:tcPr>
          <w:p>
            <w:r>
              <w:rPr>
                <w:rFonts w:ascii="Arial" w:cs="Arial" w:eastAsia="Arial" w:hAnsi="Arial"/>
                <w:sz w:val="20"/>
                <w:szCs w:val="20"/>
              </w:rPr>
              <w:t xml:space="preserve">Prototype deployment evaluated on MIMIC-III healthcare dataset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A8C" w:val="clear"/>
            <w:tcMar>
              <w:top w:type="dxa" w:w="80"/>
              <w:left w:type="dxa" w:w="200"/>
              <w:bottom w:type="dxa" w:w="80"/>
              <w:right w:type="dxa" w:w="120"/>
            </w:tcMar>
          </w:tcPr>
          <w:p>
            <w:r>
              <w:rPr>
                <w:rFonts w:ascii="Arial" w:cs="Arial" w:eastAsia="Arial" w:hAnsi="Arial"/>
                <w:b/>
                <w:bCs/>
                <w:color w:val="FFFFFF"/>
                <w:sz w:val="22"/>
                <w:szCs w:val="22"/>
              </w:rPr>
              <w:t xml:space="preserve">Measurable Performance Targets</w:t>
            </w:r>
          </w:p>
        </w:tc>
      </w:tr>
      <w:tr>
        <w:tc>
          <w:tcPr>
            <w:tcW w:type="dxa" w:w="9360"/>
            <w:tcBorders>
              <w:top w:val="single" w:color="CCCCCC" w:sz="1"/>
              <w:left w:val="single" w:color="CCCCCC" w:sz="1"/>
              <w:bottom w:val="single" w:color="CCCCCC" w:sz="1"/>
              <w:right w:val="single" w:color="CCCCCC" w:sz="1"/>
            </w:tcBorders>
            <w:shd w:fill="D0DAF0" w:val="clear"/>
            <w:tcMar>
              <w:top w:type="dxa" w:w="60"/>
              <w:left w:type="dxa" w:w="200"/>
              <w:bottom w:type="dxa" w:w="60"/>
              <w:right w:type="dxa" w:w="120"/>
            </w:tcMar>
          </w:tcPr>
          <w:p>
            <w:r>
              <w:rPr>
                <w:rFonts w:ascii="Arial" w:cs="Arial" w:eastAsia="Arial" w:hAnsi="Arial"/>
                <w:sz w:val="20"/>
                <w:szCs w:val="20"/>
              </w:rPr>
              <w:t xml:space="preserve">HIBE key generation: &lt; 10ms for depth-3 hierarchy on commodity hardware</w:t>
            </w:r>
          </w:p>
        </w:tc>
      </w:tr>
      <w:tr>
        <w:tc>
          <w:tcPr>
            <w:tcW w:type="dxa" w:w="9360"/>
            <w:tcBorders>
              <w:top w:val="single" w:color="CCCCCC" w:sz="1"/>
              <w:left w:val="single" w:color="CCCCCC" w:sz="1"/>
              <w:bottom w:val="single" w:color="CCCCCC" w:sz="1"/>
              <w:right w:val="single" w:color="CCCCCC" w:sz="1"/>
            </w:tcBorders>
            <w:shd w:fill="D0DAF0" w:val="clear"/>
            <w:tcMar>
              <w:top w:type="dxa" w:w="60"/>
              <w:left w:type="dxa" w:w="200"/>
              <w:bottom w:type="dxa" w:w="60"/>
              <w:right w:type="dxa" w:w="120"/>
            </w:tcMar>
          </w:tcPr>
          <w:p>
            <w:r>
              <w:rPr>
                <w:rFonts w:ascii="Arial" w:cs="Arial" w:eastAsia="Arial" w:hAnsi="Arial"/>
                <w:sz w:val="20"/>
                <w:szCs w:val="20"/>
              </w:rPr>
              <w:t xml:space="preserve">Threshold signing (3-of-5): &lt; 500ms total round-trip including network</w:t>
            </w:r>
          </w:p>
        </w:tc>
      </w:tr>
      <w:tr>
        <w:tc>
          <w:tcPr>
            <w:tcW w:type="dxa" w:w="9360"/>
            <w:tcBorders>
              <w:top w:val="single" w:color="CCCCCC" w:sz="1"/>
              <w:left w:val="single" w:color="CCCCCC" w:sz="1"/>
              <w:bottom w:val="single" w:color="CCCCCC" w:sz="1"/>
              <w:right w:val="single" w:color="CCCCCC" w:sz="1"/>
            </w:tcBorders>
            <w:shd w:fill="D0DAF0" w:val="clear"/>
            <w:tcMar>
              <w:top w:type="dxa" w:w="60"/>
              <w:left w:type="dxa" w:w="200"/>
              <w:bottom w:type="dxa" w:w="60"/>
              <w:right w:type="dxa" w:w="120"/>
            </w:tcMar>
          </w:tcPr>
          <w:p>
            <w:r>
              <w:rPr>
                <w:rFonts w:ascii="Arial" w:cs="Arial" w:eastAsia="Arial" w:hAnsi="Arial"/>
                <w:sz w:val="20"/>
                <w:szCs w:val="20"/>
              </w:rPr>
              <w:t xml:space="preserve">FHE gradient aggregation: 2x throughput vs. standard CKKS baseline</w:t>
            </w:r>
          </w:p>
        </w:tc>
      </w:tr>
      <w:tr>
        <w:tc>
          <w:tcPr>
            <w:tcW w:type="dxa" w:w="9360"/>
            <w:tcBorders>
              <w:top w:val="single" w:color="CCCCCC" w:sz="1"/>
              <w:left w:val="single" w:color="CCCCCC" w:sz="1"/>
              <w:bottom w:val="single" w:color="CCCCCC" w:sz="1"/>
              <w:right w:val="single" w:color="CCCCCC" w:sz="1"/>
            </w:tcBorders>
            <w:shd w:fill="D0DAF0" w:val="clear"/>
            <w:tcMar>
              <w:top w:type="dxa" w:w="60"/>
              <w:left w:type="dxa" w:w="200"/>
              <w:bottom w:type="dxa" w:w="60"/>
              <w:right w:type="dxa" w:w="120"/>
            </w:tcMar>
          </w:tcPr>
          <w:p>
            <w:r>
              <w:rPr>
                <w:rFonts w:ascii="Arial" w:cs="Arial" w:eastAsia="Arial" w:hAnsi="Arial"/>
                <w:sz w:val="20"/>
                <w:szCs w:val="20"/>
              </w:rPr>
              <w:t xml:space="preserve">ORAM access overhead: &lt; 10x vs. plaintext ORAM at n = 2^20 blocks</w:t>
            </w:r>
          </w:p>
        </w:tc>
      </w:tr>
      <w:tr>
        <w:tc>
          <w:tcPr>
            <w:tcW w:type="dxa" w:w="9360"/>
            <w:tcBorders>
              <w:top w:val="single" w:color="CCCCCC" w:sz="1"/>
              <w:left w:val="single" w:color="CCCCCC" w:sz="1"/>
              <w:bottom w:val="single" w:color="CCCCCC" w:sz="1"/>
              <w:right w:val="single" w:color="CCCCCC" w:sz="1"/>
            </w:tcBorders>
            <w:shd w:fill="D0DAF0" w:val="clear"/>
            <w:tcMar>
              <w:top w:type="dxa" w:w="60"/>
              <w:left w:type="dxa" w:w="200"/>
              <w:bottom w:type="dxa" w:w="60"/>
              <w:right w:type="dxa" w:w="120"/>
            </w:tcMar>
          </w:tcPr>
          <w:p>
            <w:r>
              <w:rPr>
                <w:rFonts w:ascii="Arial" w:cs="Arial" w:eastAsia="Arial" w:hAnsi="Arial"/>
                <w:sz w:val="20"/>
                <w:szCs w:val="20"/>
              </w:rPr>
              <w:t xml:space="preserve">Cross-layer overhead: &lt; 3x total vs. non-PQ equivalent system</w:t>
            </w:r>
          </w:p>
        </w:tc>
      </w:tr>
      <w:tr>
        <w:tc>
          <w:tcPr>
            <w:tcW w:type="dxa" w:w="9360"/>
            <w:tcBorders>
              <w:top w:val="single" w:color="CCCCCC" w:sz="1"/>
              <w:left w:val="single" w:color="CCCCCC" w:sz="1"/>
              <w:bottom w:val="single" w:color="CCCCCC" w:sz="1"/>
              <w:right w:val="single" w:color="CCCCCC" w:sz="1"/>
            </w:tcBorders>
            <w:shd w:fill="D0DAF0" w:val="clear"/>
            <w:tcMar>
              <w:top w:type="dxa" w:w="60"/>
              <w:left w:type="dxa" w:w="200"/>
              <w:bottom w:type="dxa" w:w="60"/>
              <w:right w:type="dxa" w:w="120"/>
            </w:tcMar>
          </w:tcPr>
          <w:p>
            <w:r>
              <w:rPr>
                <w:rFonts w:ascii="Arial" w:cs="Arial" w:eastAsia="Arial" w:hAnsi="Arial"/>
                <w:sz w:val="20"/>
                <w:szCs w:val="20"/>
              </w:rPr>
              <w:t xml:space="preserve">Concrete security: &gt;= 128-bit post-quantum security for all components</w:t>
            </w:r>
          </w:p>
        </w:tc>
      </w:tr>
    </w:tbl>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9. Resource Requirements</w:t>
      </w:r>
    </w:p>
    <w:p>
      <w:pPr>
        <w:pStyle w:val="Heading2"/>
        <w:spacing w:after="120" w:before="280"/>
      </w:pPr>
      <w:r>
        <w:rPr>
          <w:rFonts w:ascii="Arial" w:cs="Arial" w:eastAsia="Arial" w:hAnsi="Arial"/>
          <w:b/>
          <w:bCs/>
          <w:color w:val="2E6B9E"/>
          <w:sz w:val="26"/>
          <w:szCs w:val="26"/>
        </w:rPr>
        <w:t xml:space="preserve">9.1 Computing Infrastructure</w:t>
      </w:r>
    </w:p>
    <w:p>
      <w:pPr>
        <w:pStyle w:val="ListParagraph"/>
        <w:numPr>
          <w:ilvl w:val="0"/>
          <w:numId w:val="3"/>
        </w:numPr>
        <w:spacing w:after="60" w:before="60"/>
      </w:pPr>
      <w:r>
        <w:rPr>
          <w:rFonts w:ascii="Arial" w:cs="Arial" w:eastAsia="Arial" w:hAnsi="Arial"/>
          <w:sz w:val="22"/>
          <w:szCs w:val="22"/>
        </w:rPr>
        <w:t xml:space="preserve">High-performance workstation: 128-core AMD EPYC, 512GB RAM, NVIDIA A100 GPU — for FHE benchmarks</w:t>
      </w:r>
    </w:p>
    <w:p>
      <w:pPr>
        <w:pStyle w:val="ListParagraph"/>
        <w:numPr>
          <w:ilvl w:val="0"/>
          <w:numId w:val="3"/>
        </w:numPr>
        <w:spacing w:after="60" w:before="60"/>
      </w:pPr>
      <w:r>
        <w:rPr>
          <w:rFonts w:ascii="Arial" w:cs="Arial" w:eastAsia="Arial" w:hAnsi="Arial"/>
          <w:sz w:val="22"/>
          <w:szCs w:val="22"/>
        </w:rPr>
        <w:t xml:space="preserve">Cloud compute allocation: AWS EC2 c6g.metal instances for ARM NTT benchmarks</w:t>
      </w:r>
    </w:p>
    <w:p>
      <w:pPr>
        <w:pStyle w:val="ListParagraph"/>
        <w:numPr>
          <w:ilvl w:val="0"/>
          <w:numId w:val="3"/>
        </w:numPr>
        <w:spacing w:after="60" w:before="60"/>
      </w:pPr>
      <w:r>
        <w:rPr>
          <w:rFonts w:ascii="Arial" w:cs="Arial" w:eastAsia="Arial" w:hAnsi="Arial"/>
          <w:sz w:val="22"/>
          <w:szCs w:val="22"/>
        </w:rPr>
        <w:t xml:space="preserve">Secure data environment: MIMIC-III access requires PhysioNet credentialing and IRB approval</w:t>
      </w:r>
    </w:p>
    <w:p>
      <w:pPr>
        <w:pStyle w:val="Heading2"/>
        <w:spacing w:after="120" w:before="280"/>
      </w:pPr>
      <w:r>
        <w:rPr>
          <w:rFonts w:ascii="Arial" w:cs="Arial" w:eastAsia="Arial" w:hAnsi="Arial"/>
          <w:b/>
          <w:bCs/>
          <w:color w:val="2E6B9E"/>
          <w:sz w:val="26"/>
          <w:szCs w:val="26"/>
        </w:rPr>
        <w:t xml:space="preserve">9.2 Budget Overview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866"/>
        <w:gridCol w:w="1866"/>
        <w:gridCol w:w="1866"/>
      </w:tblGrid>
      <w:tr>
        <w:tc>
          <w:tcPr>
            <w:tcW w:type="dxa" w:w="37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66"/>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866"/>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Year 2-3</w:t>
            </w:r>
          </w:p>
        </w:tc>
        <w:tc>
          <w:tcPr>
            <w:tcW w:type="dxa" w:w="1866"/>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Year 4</w:t>
            </w:r>
          </w:p>
        </w:tc>
      </w:tr>
      <w:tr>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Research computing (cloud + local)</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$12,000</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$18,000</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$8,000</w:t>
            </w:r>
          </w:p>
        </w:tc>
      </w:tr>
      <w:tr>
        <w:tc>
          <w:tcPr>
            <w:tcW w:type="dxa" w:w="37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Conference travel &amp; registration</w:t>
            </w:r>
          </w:p>
        </w:tc>
        <w:tc>
          <w:tcPr>
            <w:tcW w:type="dxa" w:w="1866"/>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$6,000</w:t>
            </w:r>
          </w:p>
        </w:tc>
        <w:tc>
          <w:tcPr>
            <w:tcW w:type="dxa" w:w="1866"/>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$14,000</w:t>
            </w:r>
          </w:p>
        </w:tc>
        <w:tc>
          <w:tcPr>
            <w:tcW w:type="dxa" w:w="1866"/>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$10,000</w:t>
            </w:r>
          </w:p>
        </w:tc>
      </w:tr>
      <w:tr>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 licenses &amp; tools</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$2,000</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$2,000</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w:t>
            </w:r>
          </w:p>
        </w:tc>
      </w:tr>
      <w:tr>
        <w:tc>
          <w:tcPr>
            <w:tcW w:type="dxa" w:w="37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Open-source infrastructure</w:t>
            </w:r>
          </w:p>
        </w:tc>
        <w:tc>
          <w:tcPr>
            <w:tcW w:type="dxa" w:w="1866"/>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$1,000</w:t>
            </w:r>
          </w:p>
        </w:tc>
        <w:tc>
          <w:tcPr>
            <w:tcW w:type="dxa" w:w="1866"/>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$3,000</w:t>
            </w:r>
          </w:p>
        </w:tc>
        <w:tc>
          <w:tcPr>
            <w:tcW w:type="dxa" w:w="1866"/>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$2,000</w:t>
            </w:r>
          </w:p>
        </w:tc>
      </w:tr>
      <w:tr>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Stipend (if self-funded)</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$30,000</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$32,000</w:t>
            </w:r>
          </w:p>
        </w:tc>
        <w:tc>
          <w:tcPr>
            <w:tcW w:type="dxa" w:w="18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$34,000</w:t>
            </w:r>
          </w:p>
        </w:tc>
      </w:tr>
    </w:tbl>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10. Key References</w:t>
      </w:r>
    </w:p>
    <w:p>
      <w:pPr>
        <w:spacing w:after="80" w:before="0"/>
      </w:pPr>
      <w:r>
        <w:t xml:space="preserve"/>
      </w:r>
    </w:p>
    <w:p>
      <w:pPr>
        <w:spacing w:after="120" w:before="80"/>
        <w:jc w:val="both"/>
      </w:pPr>
      <w:r>
        <w:rPr>
          <w:rFonts w:ascii="Arial" w:cs="Arial" w:eastAsia="Arial" w:hAnsi="Arial"/>
          <w:sz w:val="22"/>
          <w:szCs w:val="22"/>
        </w:rPr>
        <w:t xml:space="preserve">Agrawal, S., Boneh, D., &amp; Boyen, X. (2010). Efficient lattice (H)IBE in the standard model. EUROCRYPT 2010, LNCS 6110, 553–572.</w:t>
      </w:r>
    </w:p>
    <w:p>
      <w:pPr>
        <w:spacing w:after="120" w:before="80"/>
        <w:jc w:val="both"/>
      </w:pPr>
      <w:r>
        <w:rPr>
          <w:rFonts w:ascii="Arial" w:cs="Arial" w:eastAsia="Arial" w:hAnsi="Arial"/>
          <w:sz w:val="22"/>
          <w:szCs w:val="22"/>
        </w:rPr>
        <w:t xml:space="preserve">Boneh, D., et al. (2023). Threshold signatures from inner product argument. CRYPTO 2023.</w:t>
      </w:r>
    </w:p>
    <w:p>
      <w:pPr>
        <w:spacing w:after="120" w:before="80"/>
        <w:jc w:val="both"/>
      </w:pPr>
      <w:r>
        <w:rPr>
          <w:rFonts w:ascii="Arial" w:cs="Arial" w:eastAsia="Arial" w:hAnsi="Arial"/>
          <w:sz w:val="22"/>
          <w:szCs w:val="22"/>
        </w:rPr>
        <w:t xml:space="preserve">Cash, D., Hofheinz, D., Kiltz, E., &amp; Peikert, C. (2012). Bonsai trees, or how to delegate a lattice basis. Journal of Cryptology, 25(4), 601–639.</w:t>
      </w:r>
    </w:p>
    <w:p>
      <w:pPr>
        <w:spacing w:after="120" w:before="80"/>
        <w:jc w:val="both"/>
      </w:pPr>
      <w:r>
        <w:rPr>
          <w:rFonts w:ascii="Arial" w:cs="Arial" w:eastAsia="Arial" w:hAnsi="Arial"/>
          <w:sz w:val="22"/>
          <w:szCs w:val="22"/>
        </w:rPr>
        <w:t xml:space="preserve">Cheon, J. H., Kim, A., Kim, M., &amp; Song, Y. (2017). Homomorphic encryption for arithmetic of approximate numbers. ASIACRYPT 2017, LNCS 10624, 409–437.</w:t>
      </w:r>
    </w:p>
    <w:p>
      <w:pPr>
        <w:spacing w:after="120" w:before="80"/>
        <w:jc w:val="both"/>
      </w:pPr>
      <w:r>
        <w:rPr>
          <w:rFonts w:ascii="Arial" w:cs="Arial" w:eastAsia="Arial" w:hAnsi="Arial"/>
          <w:sz w:val="22"/>
          <w:szCs w:val="22"/>
        </w:rPr>
        <w:t xml:space="preserve">Damgard, I., et al. (2021). Threshold ECDSA from ECDSA assumptions: The multiparty case. Extended to lattice settings. IEEE S&amp;P 2021.</w:t>
      </w:r>
    </w:p>
    <w:p>
      <w:pPr>
        <w:spacing w:after="120" w:before="80"/>
        <w:jc w:val="both"/>
      </w:pPr>
      <w:r>
        <w:rPr>
          <w:rFonts w:ascii="Arial" w:cs="Arial" w:eastAsia="Arial" w:hAnsi="Arial"/>
          <w:sz w:val="22"/>
          <w:szCs w:val="22"/>
        </w:rPr>
        <w:t xml:space="preserve">Gentry, C., Peikert, C., &amp; Vaikuntanathan, V. (2008). Trapdoors for hard lattices and new cryptographic constructions. STOC 2008, 197–206.</w:t>
      </w:r>
    </w:p>
    <w:p>
      <w:pPr>
        <w:spacing w:after="120" w:before="80"/>
        <w:jc w:val="both"/>
      </w:pPr>
      <w:r>
        <w:rPr>
          <w:rFonts w:ascii="Arial" w:cs="Arial" w:eastAsia="Arial" w:hAnsi="Arial"/>
          <w:sz w:val="22"/>
          <w:szCs w:val="22"/>
        </w:rPr>
        <w:t xml:space="preserve">Goldreich, O., &amp; Ostrovsky, R. (1996). Software protection and simulation on oblivious RAMs. Journal of the ACM, 43(3), 431–473.</w:t>
      </w:r>
    </w:p>
    <w:p>
      <w:pPr>
        <w:spacing w:after="120" w:before="80"/>
        <w:jc w:val="both"/>
      </w:pPr>
      <w:r>
        <w:rPr>
          <w:rFonts w:ascii="Arial" w:cs="Arial" w:eastAsia="Arial" w:hAnsi="Arial"/>
          <w:sz w:val="22"/>
          <w:szCs w:val="22"/>
        </w:rPr>
        <w:t xml:space="preserve">Ishai, Y., et al. (2021). Private information retrieval from lattice assumptions. FOCS 2021.</w:t>
      </w:r>
    </w:p>
    <w:p>
      <w:pPr>
        <w:spacing w:after="120" w:before="80"/>
        <w:jc w:val="both"/>
      </w:pPr>
      <w:r>
        <w:rPr>
          <w:rFonts w:ascii="Arial" w:cs="Arial" w:eastAsia="Arial" w:hAnsi="Arial"/>
          <w:sz w:val="22"/>
          <w:szCs w:val="22"/>
        </w:rPr>
        <w:t xml:space="preserve">Kim, M., et al. (2020). Secure outsourced matrix computation and application to neural networks. ACM CCS 2020.</w:t>
      </w:r>
    </w:p>
    <w:p>
      <w:pPr>
        <w:spacing w:after="120" w:before="80"/>
        <w:jc w:val="both"/>
      </w:pPr>
      <w:r>
        <w:rPr>
          <w:rFonts w:ascii="Arial" w:cs="Arial" w:eastAsia="Arial" w:hAnsi="Arial"/>
          <w:sz w:val="22"/>
          <w:szCs w:val="22"/>
        </w:rPr>
        <w:t xml:space="preserve">NIST. (2024). FIPS 203: Module-Lattice-Based Key-Encapsulation Mechanism Standard.</w:t>
      </w:r>
    </w:p>
    <w:p>
      <w:pPr>
        <w:spacing w:after="120" w:before="80"/>
        <w:jc w:val="both"/>
      </w:pPr>
      <w:r>
        <w:rPr>
          <w:rFonts w:ascii="Arial" w:cs="Arial" w:eastAsia="Arial" w:hAnsi="Arial"/>
          <w:sz w:val="22"/>
          <w:szCs w:val="22"/>
        </w:rPr>
        <w:t xml:space="preserve">NIST. (2024). FIPS 204: Module-Lattice-Based Digital Signature Standard.</w:t>
      </w:r>
    </w:p>
    <w:p>
      <w:pPr>
        <w:spacing w:after="120" w:before="80"/>
        <w:jc w:val="both"/>
      </w:pPr>
      <w:r>
        <w:rPr>
          <w:rFonts w:ascii="Arial" w:cs="Arial" w:eastAsia="Arial" w:hAnsi="Arial"/>
          <w:sz w:val="22"/>
          <w:szCs w:val="22"/>
        </w:rPr>
        <w:t xml:space="preserve">NIST. (2024). FIPS 205: Stateless Hash-Based Digital Signature Standard.</w:t>
      </w:r>
    </w:p>
    <w:p>
      <w:pPr>
        <w:spacing w:after="120" w:before="80"/>
        <w:jc w:val="both"/>
      </w:pPr>
      <w:r>
        <w:rPr>
          <w:rFonts w:ascii="Arial" w:cs="Arial" w:eastAsia="Arial" w:hAnsi="Arial"/>
          <w:sz w:val="22"/>
          <w:szCs w:val="22"/>
        </w:rPr>
        <w:t xml:space="preserve">Peikert, C. (2009). Public-key cryptosystems from the worst-case shortest vector problem. STOC 2009, 333–342.</w:t>
      </w:r>
    </w:p>
    <w:p>
      <w:pPr>
        <w:spacing w:after="120" w:before="80"/>
        <w:jc w:val="both"/>
      </w:pPr>
      <w:r>
        <w:rPr>
          <w:rFonts w:ascii="Arial" w:cs="Arial" w:eastAsia="Arial" w:hAnsi="Arial"/>
          <w:sz w:val="22"/>
          <w:szCs w:val="22"/>
        </w:rPr>
        <w:t xml:space="preserve">Regev, O. (2005). On lattices, learning with errors, random linear codes, and cryptography. STOC 2005, 84–93.</w:t>
      </w:r>
    </w:p>
    <w:p>
      <w:pPr>
        <w:spacing w:after="120" w:before="80"/>
        <w:jc w:val="both"/>
      </w:pPr>
      <w:r>
        <w:rPr>
          <w:rFonts w:ascii="Arial" w:cs="Arial" w:eastAsia="Arial" w:hAnsi="Arial"/>
          <w:sz w:val="22"/>
          <w:szCs w:val="22"/>
        </w:rPr>
        <w:t xml:space="preserve">Stefanov, E., et al. (2013). Path ORAM: An extremely simple oblivious RAM protocol. ACM CCS 2013.</w:t>
      </w:r>
    </w:p>
    <w:p>
      <w:pPr>
        <w:spacing w:after="160" w:before="0"/>
      </w:pPr>
      <w:r>
        <w:t xml:space="preserve"/>
      </w:r>
    </w:p>
    <w:p>
      <w:r>
        <w:br w:type="page"/>
      </w:r>
    </w:p>
    <w:p>
      <w:pPr>
        <w:pStyle w:val="Heading1"/>
        <w:pBdr>
          <w:bottom w:val="single" w:color="1F3A8C" w:sz="8" w:space="4"/>
        </w:pBdr>
        <w:spacing w:after="200" w:before="360"/>
      </w:pPr>
      <w:r>
        <w:rPr>
          <w:rFonts w:ascii="Arial" w:cs="Arial" w:eastAsia="Arial" w:hAnsi="Arial"/>
          <w:b/>
          <w:bCs/>
          <w:color w:val="1F3A8C"/>
          <w:sz w:val="32"/>
          <w:szCs w:val="32"/>
        </w:rPr>
        <w:t xml:space="preserve">Appendix A: Notation and Mathematical Preliminaries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6960"/>
            <w:tcBorders>
              <w:top w:val="single" w:color="CCCCCC" w:sz="1"/>
              <w:left w:val="single" w:color="CCCCCC" w:sz="1"/>
              <w:bottom w:val="single" w:color="CCCCCC" w:sz="1"/>
              <w:right w:val="single" w:color="CCCCCC" w:sz="1"/>
            </w:tcBorders>
            <w:shd w:fill="1F3A8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R_q</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Polynomial ring Z_q[x]/(x^n+1) with n = 256 or 512</w:t>
            </w:r>
          </w:p>
        </w:tc>
      </w:tr>
      <w:tr>
        <w:tc>
          <w:tcPr>
            <w:tcW w:type="dxa" w:w="24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MLWE_{k,n,q,chi}</w:t>
            </w:r>
          </w:p>
        </w:tc>
        <w:tc>
          <w:tcPr>
            <w:tcW w:type="dxa" w:w="69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Module-LWE problem with module rank k, ring dimension n, modulus q, error dist chi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Discrete Gaussian distribution with std dev sigma = 3.2</w:t>
            </w:r>
          </w:p>
        </w:tc>
      </w:tr>
      <w:tr>
        <w:tc>
          <w:tcPr>
            <w:tcW w:type="dxa" w:w="24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NTT</w:t>
            </w:r>
          </w:p>
        </w:tc>
        <w:tc>
          <w:tcPr>
            <w:tcW w:type="dxa" w:w="69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Number Theoretic Transform — O(n log n) polynomial multiplication in R_q</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KGC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Generation Center — root of the HIBE delegation hierarchy</w:t>
            </w:r>
          </w:p>
        </w:tc>
      </w:tr>
      <w:tr>
        <w:tc>
          <w:tcPr>
            <w:tcW w:type="dxa" w:w="24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FHE.Enc(pk, m)</w:t>
            </w:r>
          </w:p>
        </w:tc>
        <w:tc>
          <w:tcPr>
            <w:tcW w:type="dxa" w:w="69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FHE encryption of message m under public key pk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ORAM.Access(op, a, 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ORAM access: operation op (read/write), address a, data d</w:t>
            </w:r>
          </w:p>
        </w:tc>
      </w:tr>
      <w:tr>
        <w:tc>
          <w:tcPr>
            <w:tcW w:type="dxa" w:w="24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PIR.Query(i, n)</w:t>
            </w:r>
          </w:p>
        </w:tc>
        <w:tc>
          <w:tcPr>
            <w:tcW w:type="dxa" w:w="69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Private Information Retrieval query for index i among n elements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ThreshSig.Sign(sk_i, msg)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Party i's contribution to threshold signature on msg</w:t>
            </w:r>
          </w:p>
        </w:tc>
      </w:tr>
      <w:tr>
        <w:tc>
          <w:tcPr>
            <w:tcW w:type="dxa" w:w="240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HIBE.KeyDel(sk_id, id')</w:t>
            </w:r>
          </w:p>
        </w:tc>
        <w:tc>
          <w:tcPr>
            <w:tcW w:type="dxa" w:w="6960"/>
            <w:tcBorders>
              <w:top w:val="single" w:color="CCCCCC" w:sz="1"/>
              <w:left w:val="single" w:color="CCCCCC" w:sz="1"/>
              <w:bottom w:val="single" w:color="CCCCCC" w:sz="1"/>
              <w:right w:val="single" w:color="CCCCCC" w:sz="1"/>
            </w:tcBorders>
            <w:shd w:fill="E8EDF7" w:val="clear"/>
            <w:tcMar>
              <w:top w:type="dxa" w:w="60"/>
              <w:left w:type="dxa" w:w="120"/>
              <w:bottom w:type="dxa" w:w="60"/>
              <w:right w:type="dxa" w:w="120"/>
            </w:tcMar>
          </w:tcPr>
          <w:p>
            <w:r>
              <w:rPr>
                <w:rFonts w:ascii="Arial" w:cs="Arial" w:eastAsia="Arial" w:hAnsi="Arial"/>
                <w:sz w:val="20"/>
                <w:szCs w:val="20"/>
              </w:rPr>
              <w:t xml:space="preserve">Delegate HIBE key from identity id to child identity id'</w:t>
            </w:r>
          </w:p>
        </w:tc>
      </w:tr>
    </w:tbl>
    <w:p>
      <w:pPr>
        <w:spacing w:after="160" w:before="0"/>
      </w:pPr>
      <w:r>
        <w:t xml:space="preserve"/>
      </w:r>
    </w:p>
    <w:p>
      <w:pPr>
        <w:spacing w:before="400"/>
        <w:jc w:val="center"/>
      </w:pPr>
      <w:r>
        <w:rPr>
          <w:rFonts w:ascii="Arial" w:cs="Arial" w:eastAsia="Arial" w:hAnsi="Arial"/>
          <w:b/>
          <w:bCs/>
          <w:i/>
          <w:iCs/>
          <w:color w:val="888888"/>
          <w:sz w:val="20"/>
          <w:szCs w:val="20"/>
        </w:rPr>
        <w:t xml:space="preserve">End of PhD Research Proposal — QuantumVault</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8C" w:sz="4" w:space="4"/>
      </w:pBdr>
      <w:jc w:val="right"/>
    </w:pPr>
    <w:r>
      <w:rPr>
        <w:rFonts w:ascii="Arial" w:cs="Arial" w:eastAsia="Arial" w:hAnsi="Arial"/>
        <w:color w:val="888888"/>
        <w:sz w:val="18"/>
        <w:szCs w:val="18"/>
      </w:rPr>
      <w:t xml:space="preserve">Confidential Research Proposal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C" w:sz="4" w:space="4"/>
      </w:pBdr>
    </w:pPr>
    <w:r>
      <w:rPr>
        <w:rFonts w:ascii="Arial" w:cs="Arial" w:eastAsia="Arial" w:hAnsi="Arial"/>
        <w:color w:val="2E6B9E"/>
        <w:sz w:val="18"/>
        <w:szCs w:val="18"/>
      </w:rPr>
      <w:t xml:space="preserve">QuantumVault — PhD Research Proposal</w:t>
    </w:r>
    <w:r>
      <w:rPr>
        <w:rFonts w:ascii="Arial" w:cs="Arial" w:eastAsia="Arial" w:hAnsi="Arial"/>
        <w:color w:val="888888"/>
        <w:sz w:val="18"/>
        <w:szCs w:val="18"/>
      </w:rPr>
      <w:t xml:space="preserve">     |     Post-Quantum Cryptography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B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2026-04-13T08:31:57.711Z</dcterms:created>
  <dcterms:modified xsi:type="dcterms:W3CDTF">2026-04-13T08:31:57.712Z</dcterms:modified>
</cp:coreProperties>
</file>

<file path=docProps/custom.xml><?xml version="1.0" encoding="utf-8"?>
<Properties xmlns="http://schemas.openxmlformats.org/officeDocument/2006/custom-properties" xmlns:vt="http://schemas.openxmlformats.org/officeDocument/2006/docPropsVTypes"/>
</file>