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 : Sarah GUITTARD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Nom du projet : Silver Happy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00.0" w:type="dxa"/>
        <w:jc w:val="left"/>
        <w:tblInd w:w="-10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1590"/>
        <w:gridCol w:w="1620"/>
        <w:gridCol w:w="1335"/>
        <w:gridCol w:w="1230"/>
        <w:gridCol w:w="1605"/>
        <w:gridCol w:w="1725"/>
        <w:tblGridChange w:id="0">
          <w:tblGrid>
            <w:gridCol w:w="1995"/>
            <w:gridCol w:w="1590"/>
            <w:gridCol w:w="1620"/>
            <w:gridCol w:w="1335"/>
            <w:gridCol w:w="1230"/>
            <w:gridCol w:w="1605"/>
            <w:gridCol w:w="1725"/>
          </w:tblGrid>
        </w:tblGridChange>
      </w:tblGrid>
      <w:tr>
        <w:trPr>
          <w:cantSplit w:val="0"/>
          <w:tblHeader w:val="0"/>
        </w:trPr>
        <w:tc>
          <w:tcPr>
            <w:shd w:fill="fff7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Dates ou périodes</w:t>
            </w:r>
          </w:p>
        </w:tc>
        <w:tc>
          <w:tcPr>
            <w:shd w:fill="fff7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Tâches réalisées personnellement</w:t>
            </w:r>
          </w:p>
        </w:tc>
        <w:tc>
          <w:tcPr>
            <w:shd w:fill="fff7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Problème ou difficulté rencontrée</w:t>
            </w:r>
          </w:p>
        </w:tc>
        <w:tc>
          <w:tcPr>
            <w:shd w:fill="fff7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Solution apportée </w:t>
            </w:r>
          </w:p>
        </w:tc>
        <w:tc>
          <w:tcPr>
            <w:shd w:fill="fff7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 que j’ai appris </w:t>
            </w:r>
          </w:p>
        </w:tc>
        <w:tc>
          <w:tcPr>
            <w:shd w:fill="fff7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Apport dans le projet commun</w:t>
            </w:r>
          </w:p>
        </w:tc>
        <w:tc>
          <w:tcPr>
            <w:shd w:fill="fff7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Prochaine étape prévue </w:t>
            </w:r>
          </w:p>
        </w:tc>
      </w:tr>
      <w:tr>
        <w:trPr>
          <w:cantSplit w:val="0"/>
          <w:tblHeader w:val="0"/>
        </w:trPr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08/02/26-10/02/26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Création des maquettes figma pour le front, la version mobile et le back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Avec le temps j’avais oublié comment utiliser Figma pour les components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J’ai repris mon figma du PA de l’année dernière pour revoir la structure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de nouveau manipuler l’outil Figma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visuelle pour commencer à coder le site 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Charte graphique</w:t>
            </w:r>
          </w:p>
        </w:tc>
      </w:tr>
      <w:tr>
        <w:trPr>
          <w:cantSplit w:val="0"/>
          <w:tblHeader w:val="0"/>
        </w:trPr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10/02/26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Charte graphique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 besoin de chercher à la main les couleurs sur le figma, tout est donnée dans ce document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MCD</w:t>
            </w:r>
          </w:p>
        </w:tc>
      </w:tr>
      <w:tr>
        <w:trPr>
          <w:cantSplit w:val="0"/>
          <w:tblHeader w:val="0"/>
        </w:trPr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12/02/26</w:t>
            </w:r>
          </w:p>
        </w:tc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MCD</w:t>
            </w:r>
          </w:p>
        </w:tc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Sujet vaste avec beaucoup de fonctionnalités</w:t>
            </w:r>
          </w:p>
        </w:tc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Relecture du sujet pour garder l’essentiel dans le MCD</w:t>
            </w:r>
          </w:p>
        </w:tc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Modéliser un projet d’une plus grande envergure</w:t>
            </w:r>
          </w:p>
        </w:tc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Facilite la création du MLD puis de la BDD</w:t>
            </w:r>
          </w:p>
        </w:tc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Développer la page d’accueil (sans les traitements de l’API)</w:t>
            </w:r>
          </w:p>
        </w:tc>
      </w:tr>
      <w:tr>
        <w:trPr>
          <w:cantSplit w:val="0"/>
          <w:tblHeader w:val="0"/>
        </w:trPr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17/02/26-20/02/26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Développer la page d’accueil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Utilisation de tailwind pour le css pour la première fois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Aide de mes camarades l’ayant vu en cours de Laravel et documentation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manipuler un nouveau langage de style, un peu plus intuitif que bootstrap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Premier départ pour ensuite accéder aux pages connexion et inscription, permettant l’accès au back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Développer la page inscription (sans les traitements de l’API)</w:t>
            </w:r>
          </w:p>
        </w:tc>
      </w:tr>
      <w:tr>
        <w:trPr>
          <w:cantSplit w:val="0"/>
          <w:trHeight w:val="2582.87109375" w:hRule="atLeast"/>
          <w:tblHeader w:val="0"/>
        </w:trPr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20/02/26-21/02/26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Développer la page d’inscription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Mise en page du formulaire sous tailwind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 tailwind avec des modèles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Faire un formulaire en tailwind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permettant de vérifier les traitements de notre api et de s’inscrire au site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Développer la page connexion (sans les traitements de l’API)</w:t>
            </w:r>
          </w:p>
        </w:tc>
      </w:tr>
      <w:tr>
        <w:trPr>
          <w:cantSplit w:val="0"/>
          <w:tblHeader w:val="0"/>
        </w:trPr>
        <w:tc>
          <w:tcPr>
            <w:shd w:fill="fff7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Dates ou périodes</w:t>
            </w:r>
          </w:p>
        </w:tc>
        <w:tc>
          <w:tcPr>
            <w:shd w:fill="fff7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Tâches réalisées personnellement</w:t>
            </w:r>
          </w:p>
        </w:tc>
        <w:tc>
          <w:tcPr>
            <w:shd w:fill="fff7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Problème ou difficulté rencontrée</w:t>
            </w:r>
          </w:p>
        </w:tc>
        <w:tc>
          <w:tcPr>
            <w:shd w:fill="fff7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Solution apportée </w:t>
            </w:r>
          </w:p>
        </w:tc>
        <w:tc>
          <w:tcPr>
            <w:shd w:fill="fff7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 que j’ai appris </w:t>
            </w:r>
          </w:p>
        </w:tc>
        <w:tc>
          <w:tcPr>
            <w:shd w:fill="fff7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Apport dans le projet commun</w:t>
            </w:r>
          </w:p>
        </w:tc>
        <w:tc>
          <w:tcPr>
            <w:shd w:fill="fff7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Prochaine étape prévue </w:t>
            </w:r>
          </w:p>
        </w:tc>
      </w:tr>
      <w:tr>
        <w:trPr>
          <w:cantSplit w:val="0"/>
          <w:tblHeader w:val="0"/>
        </w:trPr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22/02/26</w:t>
            </w:r>
          </w:p>
        </w:tc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Développer la page connexion</w:t>
            </w:r>
          </w:p>
        </w:tc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permettant de vérifier les traitements de notre api et de s’inscrire au site</w:t>
            </w:r>
          </w:p>
        </w:tc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Développer le design du back</w:t>
            </w:r>
          </w:p>
        </w:tc>
      </w:tr>
      <w:tr>
        <w:trPr>
          <w:cantSplit w:val="0"/>
          <w:tblHeader w:val="0"/>
        </w:trPr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22/02/26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Développer le design du back (side-bar)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Chemins à changer dans le docker-compose car sinon le back n’était pas accessible depuis le front, j’ai donc dû changer les chemins de certains includes aussi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relecture de tous les fichiers déjà créés pour être sûre que les chemins soient corrects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mieux organiser les fichiers dans des dossiers dès le début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Point d’entrée au back office qui va permettre par la suite de commencer les traitements dans l’API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MLD</w:t>
            </w:r>
          </w:p>
        </w:tc>
      </w:tr>
      <w:tr>
        <w:trPr>
          <w:cantSplit w:val="0"/>
          <w:tblHeader w:val="0"/>
        </w:trPr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23/02/26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MLD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Oubli répétitif des conditions (non-nul ou unique)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Relecture du cours de l’année dernière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refaire un MLD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visuelle pour construire notre script d’implémentation de la BDD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Implémentation de la BDD</w:t>
            </w:r>
          </w:p>
        </w:tc>
      </w:tr>
      <w:tr>
        <w:trPr>
          <w:cantSplit w:val="0"/>
          <w:tblHeader w:val="0"/>
        </w:trPr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24/02/26-25/02/26</w:t>
            </w:r>
          </w:p>
        </w:tc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Implémentation de la BDD</w:t>
            </w:r>
          </w:p>
        </w:tc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Certains champs (code postal, numéro de téléphone) change en fonction du pays, il faudra donc repasser dessus pour qu'ils s’adaptent à tous les pays tout en restant sécurisé; sinon il fallait faire attention à l’ordre de création et aux types</w:t>
            </w:r>
          </w:p>
        </w:tc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Organisation du MLD par priorité et choix du type selon nos besoins</w:t>
            </w:r>
          </w:p>
        </w:tc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mieux choisir les bons types, par exemple privilégier les enums et ne pas oublier de mettre des valeurs par défaut dans les cas nécessaires</w:t>
            </w:r>
          </w:p>
        </w:tc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a pu commencer les tests sur nos traitements de CRUD avec la BDD commune</w:t>
            </w:r>
          </w:p>
        </w:tc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CRUD en Go pour la gestion des produits dans le back</w:t>
            </w:r>
          </w:p>
        </w:tc>
      </w:tr>
      <w:tr>
        <w:trPr>
          <w:cantSplit w:val="0"/>
          <w:tblHeader w:val="0"/>
        </w:trPr>
        <w:tc>
          <w:tcPr>
            <w:shd w:fill="fff7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Dates ou périodes</w:t>
            </w:r>
          </w:p>
        </w:tc>
        <w:tc>
          <w:tcPr>
            <w:shd w:fill="fff7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Tâches réalisées personnellement</w:t>
            </w:r>
          </w:p>
        </w:tc>
        <w:tc>
          <w:tcPr>
            <w:shd w:fill="fff7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Problème ou difficulté rencontrée</w:t>
            </w:r>
          </w:p>
        </w:tc>
        <w:tc>
          <w:tcPr>
            <w:shd w:fill="fff7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Solution apportée </w:t>
            </w:r>
          </w:p>
        </w:tc>
        <w:tc>
          <w:tcPr>
            <w:shd w:fill="fff7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 que j’ai appris </w:t>
            </w:r>
          </w:p>
        </w:tc>
        <w:tc>
          <w:tcPr>
            <w:shd w:fill="fff7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Apport dans le projet commun</w:t>
            </w:r>
          </w:p>
        </w:tc>
        <w:tc>
          <w:tcPr>
            <w:shd w:fill="fff7b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Prochaine étape prévue </w:t>
            </w:r>
          </w:p>
        </w:tc>
      </w:tr>
      <w:tr>
        <w:trPr>
          <w:cantSplit w:val="0"/>
          <w:tblHeader w:val="0"/>
        </w:trPr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25/02/26-26/02/25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CRUD en Go pour la gestion des produits dans le back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Conflit de type entre le JS qui récupère les données pour l’affichage et le Go qui les envoie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Conversion en conséquence pour que le code s’adapte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faire communiquer le front php avec l’api en go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Permet d’avoir la gestion des produits dans le back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CRUD en Go pour la gestion des conseils dans le back</w:t>
            </w:r>
          </w:p>
        </w:tc>
      </w:tr>
      <w:tr>
        <w:trPr>
          <w:cantSplit w:val="0"/>
          <w:tblHeader w:val="0"/>
        </w:trPr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02/03/26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CRUD en Go pour la gestion des conseils dans le back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Permet d’avoir la gestion des conseils dans le back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Changer l’aspect des boutons sur le front (si il est connecté on met le bouton déconnexion etc…)</w:t>
            </w:r>
          </w:p>
        </w:tc>
      </w:tr>
      <w:tr>
        <w:trPr>
          <w:cantSplit w:val="0"/>
          <w:tblHeader w:val="0"/>
        </w:trPr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02/03/26</w:t>
            </w:r>
          </w:p>
        </w:tc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Changer l’aspect des boutons sur le front (si il est connecté on met le bouton déconnexion etc…)</w:t>
            </w:r>
          </w:p>
        </w:tc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 grand chose, on l’avait déjà vu l’année dernière pour le PA et le traitement était fait pour le back</w:t>
            </w:r>
          </w:p>
        </w:tc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Permet la déconnexion des utilisateurs depuis le front</w:t>
            </w:r>
          </w:p>
        </w:tc>
        <w:tc>
          <w:tcPr>
            <w:shd w:fill="bb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Créer la messagerie entre les admins et les séniors</w:t>
            </w:r>
          </w:p>
        </w:tc>
      </w:tr>
      <w:tr>
        <w:trPr>
          <w:cantSplit w:val="0"/>
          <w:tblHeader w:val="0"/>
        </w:trPr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07/03/26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Créer la messagerie entre les admins et les séniors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différence avec l’année dernière était qu’il fallait faire les traitements en go donc il fallait que les trois langages arrivent à communiquer entre eux (JS, PHP et Go)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Avec l’aide d’Axel nous avons repris les mêmes principes que la messagerie de l’année dernière et l’avons adaptée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créer une messagerie utilisant les traitements en Go plutôt que du php 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 largement faciliter la création de la deuxième messagerie entre les prestataires et les séniors qui reposera quasiment sur le même principe</w:t>
            </w:r>
          </w:p>
        </w:tc>
        <w:tc>
          <w:tcPr>
            <w:shd w:fill="fed5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Réorganiser le style du back et créer le style entier pour la messagerie</w:t>
            </w:r>
          </w:p>
        </w:tc>
      </w:tr>
      <w:tr>
        <w:trPr>
          <w:cantSplit w:val="0"/>
          <w:tblHeader w:val="0"/>
        </w:trPr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08/03/26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Réorganiser le style du back et créer le style entier pour la messagerie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Style partagé entre le JS et le HTML, il fallait donc changer au bons endroits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Changements dans le JS et dans le HTML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Style plus moderne, en accord avec le front des séniors</w:t>
            </w:r>
          </w:p>
        </w:tc>
        <w:tc>
          <w:tcPr>
            <w:shd w:fill="e9cd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- Une ligne minimum par séance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Les erreurs et les essais sont aussi importants que les réussites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Pas de phrases parfaites, on évalue la compréhension et le processus, pas l’orthographe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Pourquoi ce journal existe :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Montrer votre progression et votre apprentissage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- Avoir une trace pour la soutenance (attention, un journal non tenu entraînera l'invalidation du projet annuel)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