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RSNA Knee Abnormality Detection</w:t>
      </w:r>
    </w:p>
    <w:p>
      <w:pPr>
        <w:spacing w:after="300"/>
      </w:pPr>
      <w:r>
        <w:rPr>
          <w:color w:val="2E75B6"/>
          <w:sz w:val="28"/>
          <w:szCs w:val="28"/>
        </w:rPr>
        <w:t xml:space="preserve">A Complete Step-by-Step Project Guide</w:t>
      </w:r>
    </w:p>
    <w:p>
      <w:pPr>
        <w:spacing w:after="120"/>
      </w:pPr>
      <w:r>
        <w:t xml:space="preserve">This guide walks you through the entire process of building a machine learning model for the RSNA Knee Abnormality Detection Kaggle competition — from understanding the dataset to submitting a valid entry. Each step includes what to do, why it matters, and practical implementation notes.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The competition requires building a multimodal machine learning model that predicts twelve clinically important knee abnormalities from MRI studies. Each study consists of multiple DICOM series (sequences), and a subset of studies also include a free-text radiology report that can be used to derive labels for unlabeled data.</w:t>
      </w:r>
    </w:p>
    <w:p>
      <w:pPr>
        <w:pBdr>
          <w:left w:val="single" w:color="1F4E79" w:sz="18" w:space="8"/>
        </w:pBdr>
        <w:shd w:fill="DCE6F1" w:val="clear"/>
        <w:spacing w:after="150" w:before="150"/>
      </w:pPr>
      <w:r>
        <w:rPr>
          <w:b/>
          <w:bCs/>
          <w:color w:val="1F4E79"/>
        </w:rPr>
        <w:t xml:space="preserve">Goal: For every StudyInstanceUID in the test set, output a probability (0 to 1) for each of the 12 target labels: ACL, MCL, Medial Meniscus, Lateral Meniscus, Medial OA, Lateral OA, PF OA, Effusion, Synovitis, Baker's, Contusion, Fracture.</w:t>
      </w:r>
    </w:p>
    <w:p>
      <w:pPr>
        <w:spacing w:after="120"/>
      </w:pPr>
      <w:r>
        <w:t xml:space="preserve">Evaluation metric: macro-averaged AUC-ROC across all 12 labels. This means your model must perform consistently well across all conditions, not just the common ones — rare abnormalities (like fractures) matter just as much as common ones (like meniscus tears).</w:t>
      </w:r>
    </w:p>
    <w:p>
      <w:pPr>
        <w:pStyle w:val="Heading1"/>
        <w:spacing w:after="150" w:before="300"/>
      </w:pPr>
      <w:r>
        <w:t xml:space="preserve">2. Environment Setup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1: </w:t>
      </w:r>
      <w:r>
        <w:rPr>
          <w:b/>
          <w:bCs/>
          <w:sz w:val="26"/>
          <w:szCs w:val="26"/>
        </w:rPr>
        <w:t xml:space="preserve">Set Up Your Kaggle Working Environment</w:t>
      </w:r>
    </w:p>
    <w:p>
      <w:pPr>
        <w:spacing w:after="120"/>
      </w:pPr>
      <w:r>
        <w:t xml:space="preserve">Since this is a Code Competition, your final submission must run inside a Kaggle Notebook with internet access disabled and a runtime limit of 9 hours (CPU or GPU).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new Kaggle Notebook attached to the competition.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 GPU (T4 x2 or P100) under Notebook settings, since DICOM image models require GPU acceleration.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competition dataset via 'Add Input' — this gives you train.csv, train_series.csv, and the train_series/ DICOM folders.</w:t>
      </w:r>
    </w:p>
    <w:p>
      <w:pPr>
        <w:pBdr>
          <w:left w:val="single" w:color="1F4E79" w:sz="18" w:space="8"/>
        </w:pBdr>
        <w:shd w:fill="DCE6F1" w:val="clear"/>
        <w:spacing w:after="150" w:before="150"/>
      </w:pPr>
      <w:r>
        <w:rPr>
          <w:b/>
          <w:bCs/>
          <w:color w:val="1F4E79"/>
        </w:rPr>
        <w:t xml:space="preserve">Tip: Develop and debug locally or in an internet-enabled scratch notebook first, then copy the final pipeline into an internet-disabled submission notebook.</w:t>
      </w:r>
    </w:p>
    <w:p>
      <w:pPr>
        <w:pStyle w:val="Heading1"/>
        <w:spacing w:after="150" w:before="300"/>
      </w:pPr>
      <w:r>
        <w:t xml:space="preserve">3. Understanding and Exploring the Data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2: </w:t>
      </w:r>
      <w:r>
        <w:rPr>
          <w:b/>
          <w:bCs/>
          <w:sz w:val="26"/>
          <w:szCs w:val="26"/>
        </w:rPr>
        <w:t xml:space="preserve">Perform Exploratory Data Analysis (EDA)</w:t>
      </w:r>
    </w:p>
    <w:p>
      <w:pPr>
        <w:spacing w:after="120"/>
      </w:pPr>
      <w:r>
        <w:t xml:space="preserve">Before modeling, study the structure and quality of the dataset carefully.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train.csv and inspect the distribution of the 12 binary labels — check for class imbalance.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train_series.csv and study Anatomical_Plane, Fluid_Sensitive, and Fat_Suppression fields — these describe what each MRI sequence shows.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handful of DICOM files with pydicom to inspect pixel arrays, slice counts, and metadata tags.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a sample of the free-text Report column to understand its structure and language variability (reports may be in multiple languages).</w:t>
      </w:r>
    </w:p>
    <w:p>
      <w:pPr>
        <w:pBdr>
          <w:left w:val="single" w:color="1F4E79" w:sz="18" w:space="8"/>
        </w:pBdr>
        <w:shd w:fill="DCE6F1" w:val="clear"/>
        <w:spacing w:after="150" w:before="150"/>
      </w:pPr>
      <w:r>
        <w:rPr>
          <w:b/>
          <w:bCs/>
          <w:color w:val="1F4E79"/>
        </w:rPr>
        <w:t xml:space="preserve">Only a small subset of training studies carry per-condition labels. Community discussion suggests using an LLM to derive labels from the radiology reports for the remaining unlabeled studies — check the Competition Rules before sending any data to a third-party LLM API.</w:t>
      </w:r>
    </w:p>
    <w:p>
      <w:pPr>
        <w:pStyle w:val="Heading1"/>
        <w:spacing w:after="150" w:before="300"/>
      </w:pPr>
      <w:r>
        <w:t xml:space="preserve">4. Data Preprocessing Pipeline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3: </w:t>
      </w:r>
      <w:r>
        <w:rPr>
          <w:b/>
          <w:bCs/>
          <w:sz w:val="26"/>
          <w:szCs w:val="26"/>
        </w:rPr>
        <w:t xml:space="preserve">Preprocess the DICOM Imaging Data</w:t>
      </w:r>
    </w:p>
    <w:p>
      <w:pPr>
        <w:spacing w:after="120"/>
      </w:pPr>
      <w:r>
        <w:t xml:space="preserve">DICOM series vary in transfer syntax, resolution, orientation, and slice count (typically 20–45 slices). A consistent preprocessing pipeline is essential.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pydicom to read each series and sort slices by their spatial position (InstanceNumber or ImagePositionPatient).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Normalize pixel intensities (e.g., min-max or windowing) since intensity ranges differ across scanners.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Resize/resample all slices to a fixed shape (e.g., 224x224 or 256x256) for batching.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on a 2.5D or 3D representation: stack a fixed number of central slices per series as channels (2.5D), or use full 3D volumes with a 3D CNN.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series by Anatomical_Plane (Sagittal, Coronal, Axial) since different planes highlight different structures (e.g., sagittal PD/T2 fat-sat is best for meniscus and ligament tears).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4: </w:t>
      </w:r>
      <w:r>
        <w:rPr>
          <w:b/>
          <w:bCs/>
          <w:sz w:val="26"/>
          <w:szCs w:val="26"/>
        </w:rPr>
        <w:t xml:space="preserve">Process the Radiology Report Text (Multimodal Component)</w:t>
      </w:r>
    </w:p>
    <w:p>
      <w:pPr>
        <w:spacing w:after="120"/>
      </w:pPr>
      <w:r>
        <w:t xml:space="preserve">This is the first RSNA dataset pairing imaging with original reports, so text should be treated as a genuine second modality, not just a labeling shortcut.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and normalize report text (handle multiple languages, remove boilerplate headers/footers).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Encode reports with a multilingual text encoder (e.g., a multilingual sentence embedding model) to obtain a text feature vector per study.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Optionally use the text embeddings only during training (as an auxiliary signal or for pseudo-labeling unlabeled studies) if reports are not guaranteed to be available at test time — verify this assumption against test.csv before relying on it at inference.</w:t>
      </w:r>
    </w:p>
    <w:p>
      <w:pPr>
        <w:pStyle w:val="Heading1"/>
        <w:spacing w:after="150" w:before="300"/>
      </w:pPr>
      <w:r>
        <w:t xml:space="preserve">5. Model Architecture and Training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5: </w:t>
      </w:r>
      <w:r>
        <w:rPr>
          <w:b/>
          <w:bCs/>
          <w:sz w:val="26"/>
          <w:szCs w:val="26"/>
        </w:rPr>
        <w:t xml:space="preserve">Design a Baseline Multimodal Model</w:t>
      </w:r>
    </w:p>
    <w:p>
      <w:pPr>
        <w:spacing w:after="120"/>
      </w:pPr>
      <w:r>
        <w:t xml:space="preserve">A reasonable baseline combines a strong pretrained image encoder for each series with a fusion mechanism across series and, where available, the text modality.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 branch: fine-tune a pretrained 2.5D CNN (e.g., EfficientNet, ResNet-34) or a Vision Transformer backbone (e.g., DINOv2) per series.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Series fusion: aggregate per-series embeddings within a study using attention pooling or simple mean/max pooling, since each study has multiple series.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head: a shared trunk with 12 sigmoid outputs (multi-label classification), trained with binary cross-entropy per label.</w:t>
      </w:r>
    </w:p>
    <w:p>
      <w:pPr>
        <w:pBdr>
          <w:left w:val="single" w:color="1F4E79" w:sz="18" w:space="8"/>
        </w:pBdr>
        <w:shd w:fill="DCE6F1" w:val="clear"/>
        <w:spacing w:after="150" w:before="150"/>
      </w:pPr>
      <w:r>
        <w:rPr>
          <w:b/>
          <w:bCs/>
          <w:color w:val="1F4E79"/>
        </w:rPr>
        <w:t xml:space="preserve">Community-shared pretrained models (e.g., DINOv2 small/base/large) are publicly listed under the competition's Models tab and can be used as encoders, subject to the External Data and Tools rules (Section 2.6 of the Competition Rules).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6: </w:t>
      </w:r>
      <w:r>
        <w:rPr>
          <w:b/>
          <w:bCs/>
          <w:sz w:val="26"/>
          <w:szCs w:val="26"/>
        </w:rPr>
        <w:t xml:space="preserve">Set Up a Robust Cross-Validation Strategy</w:t>
      </w:r>
    </w:p>
    <w:p>
      <w:pPr>
        <w:spacing w:after="120"/>
      </w:pPr>
      <w:r>
        <w:t xml:space="preserve">Because labels are imbalanced and only a subset of studies are labeled, validation design strongly affects how trustworthy your local score 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stratified k-fold (e.g., 5-fold) based on the rarest labels (Fracture, Contusion, Baker's) to avoid folds with zero positive examples.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folds by imaging site or scanner if that information can be inferred, to reduce leakage and better estimate generalization to new institutions.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per-label AUC alongside the macro-averaged AUC to catch labels the model is failing on early.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7: </w:t>
      </w:r>
      <w:r>
        <w:rPr>
          <w:b/>
          <w:bCs/>
          <w:sz w:val="26"/>
          <w:szCs w:val="26"/>
        </w:rPr>
        <w:t xml:space="preserve">Train the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a frozen or lightly fine-tuned pretrained encoder and a trainable classification head as a quick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Progressively unfreeze the encoder and fine-tune end-to-end with a low learning rate and cosine or step decay.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appropriate augmentations for MRI slices (rotation, flipping, intensity jitter) while preserving left/right anatomical consistency, since ligament findings (e.g., medial vs. lateral) are laterality-dependent.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validation macro-AUC each epoch and save the best checkpoint per fold.</w:t>
      </w:r>
    </w:p>
    <w:p>
      <w:pPr>
        <w:pStyle w:val="Heading1"/>
        <w:spacing w:after="150" w:before="300"/>
      </w:pPr>
      <w:r>
        <w:t xml:space="preserve">6. Generating a Valid Submission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8: </w:t>
      </w:r>
      <w:r>
        <w:rPr>
          <w:b/>
          <w:bCs/>
          <w:sz w:val="26"/>
          <w:szCs w:val="26"/>
        </w:rPr>
        <w:t xml:space="preserve">Build the Inference Pipeline and submission.csv</w:t>
      </w:r>
    </w:p>
    <w:p>
      <w:pPr>
        <w:spacing w:after="120"/>
      </w:pPr>
      <w:r>
        <w:t xml:space="preserve">Your notebook must run end-to-end with internet disabled and produce a file named exactly submission.csv.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StudyInstanceUID,ACL,MCL,Medial Meniscus,Lateral Meniscus,Medial OA,Lateral OA,PF OA,Effusion,Synovitis,Baker's,Contusion,Fracture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each fold's trained weights and average predictions (ensembling across folds) for stability.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 every StudyInstanceUID in test.csv appears exactly once in your submission.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the notebook completes within the 9-hour CPU/GPU limit and does not require internet access at inference time.</w:t>
      </w:r>
    </w:p>
    <w:p>
      <w:pPr>
        <w:pBdr>
          <w:left w:val="single" w:color="1F4E79" w:sz="18" w:space="8"/>
        </w:pBdr>
        <w:shd w:fill="DCE6F1" w:val="clear"/>
        <w:spacing w:after="150" w:before="150"/>
      </w:pPr>
      <w:r>
        <w:rPr>
          <w:b/>
          <w:bCs/>
          <w:color w:val="1F4E79"/>
        </w:rPr>
        <w:t xml:space="preserve">Test your submission notebook end-to-end on the small public test example before relying on it, since the real test set (~1,300 studies) will replace test.csv and test_series/ during scoring.</w:t>
      </w:r>
    </w:p>
    <w:p>
      <w:pPr>
        <w:pStyle w:val="Heading1"/>
        <w:spacing w:after="150" w:before="300"/>
      </w:pPr>
      <w:r>
        <w:t xml:space="preserve">7. Efficiency Track Considerations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STEP 9: </w:t>
      </w:r>
      <w:r>
        <w:rPr>
          <w:b/>
          <w:bCs/>
          <w:sz w:val="26"/>
          <w:szCs w:val="26"/>
        </w:rPr>
        <w:t xml:space="preserve">Optimize for the Efficiency Prize (Optional but Valuable)</w:t>
      </w:r>
    </w:p>
    <w:p>
      <w:pPr>
        <w:spacing w:after="120"/>
      </w:pPr>
      <w:r>
        <w:t xml:space="preserve">The Efficiency Score rewards submissions that balance predictive performance against evaluation runtime, so a smaller, faster model that scores only slightly lower can outperform a heavy ensemble on this metric.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a smaller backbone (e.g., EfficientNet-B0/B3 instead of a large ViT) if the accuracy trade-off is acceptable.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 the number of slices per series or downsample resolution where it does not hurt validation AUC meaningfully.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inference efficiently and avoid redundant DICOM decoding.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your submission's evaluation time in the Efficiency Leaderboard notebook provided by the host during the training period.</w:t>
      </w:r>
    </w:p>
    <w:p>
      <w:pPr>
        <w:pStyle w:val="Heading1"/>
        <w:spacing w:after="150" w:before="300"/>
      </w:pPr>
      <w:r>
        <w:t xml:space="preserve">8. Competition Rules Compliance Checklist</w:t>
      </w:r>
    </w:p>
    <w:p>
      <w:pPr>
        <w:spacing w:after="120"/>
      </w:pPr>
      <w:r>
        <w:t xml:space="preserve">Before submitting, confirm compliance with the Official Competition Rules: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Accepted the competition rules before the Entry Deadline (October 15, 2026).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Submissions made only through Notebooks that satisfy the CPU/GPU 9-hour limit with internet access disabled.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 data or pretrained models used are freely and publicly available to all participants (Reasonableness Standard, Section 2.6.b).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private sharing of Competition Code outside your registered Team (Section 3.6).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of 5 submissions per day, and up to 2 Final Submissions selected for judging.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using an LLM API to derive labels from reports, review the 'Use of Commercially Hosted LLMs' and 'Rules clarification' discussion threads before sending any Competition Data to a third-party service.</w:t>
      </w:r>
    </w:p>
    <w:p>
      <w:pPr>
        <w:pStyle w:val="Heading1"/>
        <w:spacing w:after="150" w:before="300"/>
      </w:pPr>
      <w:r>
        <w:t xml:space="preserve">9. Suggested Timeline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40"/>
      </w:tblGrid>
      <w:tr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Competition Start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</w:rPr>
              <w:t xml:space="preserve">July 30, 2026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Entry Deadline (accept rules)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</w:rPr>
              <w:t xml:space="preserve">October 15, 2026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Team Merger Deadline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</w:rPr>
              <w:t xml:space="preserve">October 15, 2026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Final Submission Deadline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</w:rPr>
              <w:t xml:space="preserve">October 22, 2026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Winners' Requirement Deadline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</w:rPr>
              <w:t xml:space="preserve">November 5, 2026</w:t>
            </w:r>
          </w:p>
        </w:tc>
      </w:tr>
    </w:tbl>
    <w:p>
      <w:pPr>
        <w:pStyle w:val="Heading1"/>
        <w:spacing w:after="150" w:before="300"/>
      </w:pPr>
      <w:r>
        <w:t xml:space="preserve">10. Practical Tips From the Community</w:t>
      </w:r>
    </w:p>
    <w:p>
      <w:pPr>
        <w:spacing w:after="120"/>
      </w:pPr>
      <w:r>
        <w:t xml:space="preserve">The competition discussion forum already contains useful early findings worth reviewing before you commit to an approach: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DICOM metadata alone can leak signal — one shared notebook reported a 0.932 local leaderboard score purely from metadata shortcuts, which is useful to understand as a sanity check but should not replace genuine image/text modeling.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Some studies report inconsistencies between the free-text report and the provided binary labels — validate a sample manually before trusting derived labels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team's analysis of over 4,000 reports using an LLM found that a 'Not addressed' category (where a condition is not mentioned in the report at all) behaves differently from a confirmed negative — consider modeling this distinction if you use report-derived pseudo-labels.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Reasonableness Standard applies to LLM API costs: minor subscription costs are generally acceptable, but review host guidance in the 'Use of Commercially Hosted LLMs' thread.</w:t>
      </w:r>
    </w:p>
    <w:p>
      <w:pPr>
        <w:pStyle w:val="Heading1"/>
        <w:spacing w:after="150" w:before="300"/>
      </w:pPr>
      <w:r>
        <w:t xml:space="preserve">11. Final Notes</w:t>
      </w:r>
    </w:p>
    <w:p>
      <w:pPr>
        <w:spacing w:after="120"/>
      </w:pPr>
      <w:r>
        <w:t xml:space="preserve">This guide provides a structured path from raw DICOM and report data to a compliant, scored submission. Treat the first working baseline as a checkpoint, not the finish line: iterate on cross-validation stability, multimodal fusion, and efficiency once you have a reliable pipeline end-to-end. Keep a clear record of your methodology as you go, since a detailed technical writeup and reproducible code are required if you place among the winners (Section 2.8, Winner's Obligations).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RSNA Knee Abnormality Detection —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2026-08-09T13:48:24.763Z</dcterms:created>
  <dcterms:modified xsi:type="dcterms:W3CDTF">2026-08-09T13:48:24.763Z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