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Northwind Therapeutics, Inc.</w:t>
      </w:r>
    </w:p>
    <w:p>
      <w:pPr>
        <w:pStyle w:val="Heading2"/>
      </w:pPr>
      <w:r>
        <w:t>Post-Acquisition Integration Status Memorandum</w:t>
      </w:r>
    </w:p>
    <w:p>
      <w:r>
        <w:t>Prepared for the Operating Committee. This memorandum summarises the integration position of the three bolt-on acquisitions completed since 2021 and the open decisions carried into FY2026.</w:t>
      </w:r>
    </w:p>
    <w:p>
      <w:pPr>
        <w:pStyle w:val="Heading2"/>
      </w:pPr>
      <w:r>
        <w:t>Position by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Acquired</w:t>
            </w:r>
          </w:p>
        </w:tc>
        <w:tc>
          <w:tcPr>
            <w:tcW w:type="dxa" w:w="2160"/>
          </w:tcPr>
          <w:p>
            <w:r>
              <w:t>Integration state</w:t>
            </w:r>
          </w:p>
        </w:tc>
        <w:tc>
          <w:tcPr>
            <w:tcW w:type="dxa" w:w="2160"/>
          </w:tcPr>
          <w:p>
            <w:r>
              <w:t>Open decision</w:t>
            </w:r>
          </w:p>
        </w:tc>
      </w:tr>
      <w:tr>
        <w:tc>
          <w:tcPr>
            <w:tcW w:type="dxa" w:w="2160"/>
          </w:tcPr>
          <w:p>
            <w:r>
              <w:t>Calder Pharma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Finance ledgers migrated to SAP; HR, IT and regulatory standalone</w:t>
            </w:r>
          </w:p>
        </w:tc>
        <w:tc>
          <w:tcPr>
            <w:tcW w:type="dxa" w:w="2160"/>
          </w:tcPr>
          <w:p>
            <w:r>
              <w:t>Whether to retain Bridgewater as HQ or consolidate into Raleigh</w:t>
            </w:r>
          </w:p>
        </w:tc>
      </w:tr>
      <w:tr>
        <w:tc>
          <w:tcPr>
            <w:tcW w:type="dxa" w:w="2160"/>
          </w:tcPr>
          <w:p>
            <w:r>
              <w:t>Deveron Labs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Fully standalone on NetSuite; separate payroll and Veeva tenancy</w:t>
            </w:r>
          </w:p>
        </w:tc>
        <w:tc>
          <w:tcPr>
            <w:tcW w:type="dxa" w:w="2160"/>
          </w:tcPr>
          <w:p>
            <w:r>
              <w:t>ERP migration deferred twice; Ohio works agreement requires 60-day consultation</w:t>
            </w:r>
          </w:p>
        </w:tc>
      </w:tr>
      <w:tr>
        <w:tc>
          <w:tcPr>
            <w:tcW w:type="dxa" w:w="2160"/>
          </w:tcPr>
          <w:p>
            <w:r>
              <w:t>Lyle Specialty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Standalone on Microsoft Dynamics; separate commercial field force</w:t>
            </w:r>
          </w:p>
        </w:tc>
        <w:tc>
          <w:tcPr>
            <w:tcW w:type="dxa" w:w="2160"/>
          </w:tcPr>
          <w:p>
            <w:r>
              <w:t>Retention undertaking blocks regulatory reductions before 31 Dec 2026</w:t>
            </w:r>
          </w:p>
        </w:tc>
      </w:tr>
    </w:tbl>
    <w:p>
      <w:pPr>
        <w:pStyle w:val="Heading2"/>
      </w:pPr>
      <w:r>
        <w:t>Recurring themes</w:t>
      </w:r>
    </w:p>
    <w:p>
      <w:pPr>
        <w:pStyle w:val="ListBullet"/>
      </w:pPr>
      <w:r>
        <w:t>Four parallel month-end close processes; consolidated close of 16 working days against a sponsor target of 8.</w:t>
      </w:r>
    </w:p>
    <w:p>
      <w:pPr>
        <w:pStyle w:val="ListBullet"/>
      </w:pPr>
      <w:r>
        <w:t>No preferred-supplier agreement across 34 professional-services vendors.</w:t>
      </w:r>
    </w:p>
    <w:p>
      <w:pPr>
        <w:pStyle w:val="ListBullet"/>
      </w:pPr>
      <w:r>
        <w:t>Three ERP instances and three payroll systems; single-ERP consolidation scoped at $14M over 26 months and deferred in 2022 and 2024.</w:t>
      </w:r>
    </w:p>
    <w:p>
      <w:pPr>
        <w:pStyle w:val="ListBullet"/>
      </w:pPr>
      <w:r>
        <w:t>Office occupancy averaging 41% against 164,000 sq ft of contracted office space at the three non-manufacturing sites.</w:t>
      </w:r>
    </w:p>
    <w:p>
      <w:r>
        <w:t>FICTIONAL SAMPLE - Northwind Therapeutics is not a real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