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ejmm95spk9jh" w:id="0"/>
      <w:bookmarkEnd w:id="0"/>
      <w:r w:rsidDel="00000000" w:rsidR="00000000" w:rsidRPr="00000000">
        <w:rPr>
          <w:b w:val="1"/>
          <w:rtl w:val="0"/>
        </w:rPr>
        <w:t xml:space="preserve">Dashboard: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cx9elyq963w6" w:id="1"/>
      <w:bookmarkEnd w:id="1"/>
      <w:r w:rsidDel="00000000" w:rsidR="00000000" w:rsidRPr="00000000">
        <w:rPr>
          <w:b w:val="1"/>
          <w:rtl w:val="0"/>
        </w:rPr>
        <w:t xml:space="preserve">Problem Statements: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has total startup funding changed from </w:t>
      </w:r>
      <w:r w:rsidDel="00000000" w:rsidR="00000000" w:rsidRPr="00000000">
        <w:rPr>
          <w:b w:val="1"/>
          <w:rtl w:val="0"/>
        </w:rPr>
        <w:t xml:space="preserve">2016 to 2022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Which funding stage (</w:t>
      </w:r>
      <w:r w:rsidDel="00000000" w:rsidR="00000000" w:rsidRPr="00000000">
        <w:rPr>
          <w:b w:val="1"/>
          <w:rtl w:val="0"/>
        </w:rPr>
        <w:t xml:space="preserve">Seed, Series A, B, C, D, IPO</w:t>
      </w:r>
      <w:r w:rsidDel="00000000" w:rsidR="00000000" w:rsidRPr="00000000">
        <w:rPr>
          <w:rtl w:val="0"/>
        </w:rPr>
        <w:t xml:space="preserve">) received the most investment each year?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sectors</w:t>
      </w:r>
      <w:r w:rsidDel="00000000" w:rsidR="00000000" w:rsidRPr="00000000">
        <w:rPr>
          <w:rtl w:val="0"/>
        </w:rPr>
        <w:t xml:space="preserve"> received the highest funding amounts?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 startup </w:t>
      </w:r>
      <w:r w:rsidDel="00000000" w:rsidR="00000000" w:rsidRPr="00000000">
        <w:rPr>
          <w:b w:val="1"/>
          <w:rtl w:val="0"/>
        </w:rPr>
        <w:t xml:space="preserve">valuations</w:t>
      </w:r>
      <w:r w:rsidDel="00000000" w:rsidR="00000000" w:rsidRPr="00000000">
        <w:rPr>
          <w:rtl w:val="0"/>
        </w:rPr>
        <w:t xml:space="preserve"> compare to their </w:t>
      </w: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 across different industries?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has the </w:t>
      </w:r>
      <w:r w:rsidDel="00000000" w:rsidR="00000000" w:rsidRPr="00000000">
        <w:rPr>
          <w:b w:val="1"/>
          <w:rtl w:val="0"/>
        </w:rPr>
        <w:t xml:space="preserve">number of startup exits</w:t>
      </w:r>
      <w:r w:rsidDel="00000000" w:rsidR="00000000" w:rsidRPr="00000000">
        <w:rPr>
          <w:rtl w:val="0"/>
        </w:rPr>
        <w:t xml:space="preserve"> changed from 2015 to 2023?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Which investment type (</w:t>
      </w:r>
      <w:r w:rsidDel="00000000" w:rsidR="00000000" w:rsidRPr="00000000">
        <w:rPr>
          <w:b w:val="1"/>
          <w:rtl w:val="0"/>
        </w:rPr>
        <w:t xml:space="preserve">Equity, Debt, Convertible Notes, Grants</w:t>
      </w:r>
      <w:r w:rsidDel="00000000" w:rsidR="00000000" w:rsidRPr="00000000">
        <w:rPr>
          <w:rtl w:val="0"/>
        </w:rPr>
        <w:t xml:space="preserve">) was most used in different years?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Which year saw the </w:t>
      </w:r>
      <w:r w:rsidDel="00000000" w:rsidR="00000000" w:rsidRPr="00000000">
        <w:rPr>
          <w:b w:val="1"/>
          <w:rtl w:val="0"/>
        </w:rPr>
        <w:t xml:space="preserve">highest amount</w:t>
      </w:r>
      <w:r w:rsidDel="00000000" w:rsidR="00000000" w:rsidRPr="00000000">
        <w:rPr>
          <w:rtl w:val="0"/>
        </w:rPr>
        <w:t xml:space="preserve"> of total startup funding?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Indian states</w:t>
      </w:r>
      <w:r w:rsidDel="00000000" w:rsidR="00000000" w:rsidRPr="00000000">
        <w:rPr>
          <w:rtl w:val="0"/>
        </w:rPr>
        <w:t xml:space="preserve"> have the highest number of startups?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did </w:t>
      </w:r>
      <w:r w:rsidDel="00000000" w:rsidR="00000000" w:rsidRPr="00000000">
        <w:rPr>
          <w:b w:val="1"/>
          <w:rtl w:val="0"/>
        </w:rPr>
        <w:t xml:space="preserve">funding distribution</w:t>
      </w:r>
      <w:r w:rsidDel="00000000" w:rsidR="00000000" w:rsidRPr="00000000">
        <w:rPr>
          <w:rtl w:val="0"/>
        </w:rPr>
        <w:t xml:space="preserve"> across sectors change over time?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which years did IPO funding remain </w:t>
      </w:r>
      <w:r w:rsidDel="00000000" w:rsidR="00000000" w:rsidRPr="00000000">
        <w:rPr>
          <w:b w:val="1"/>
          <w:rtl w:val="0"/>
        </w:rPr>
        <w:t xml:space="preserve">stable or fluctuate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av5nbskiodjq" w:id="2"/>
      <w:bookmarkEnd w:id="2"/>
      <w:r w:rsidDel="00000000" w:rsidR="00000000" w:rsidRPr="00000000">
        <w:rPr>
          <w:b w:val="1"/>
          <w:rtl w:val="0"/>
        </w:rPr>
        <w:t xml:space="preserve">Key Insights from Startup Funding Trends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before="280" w:lineRule="auto"/>
        <w:rPr/>
      </w:pPr>
      <w:bookmarkStart w:colFirst="0" w:colLast="0" w:name="_8hnkkpqp3bys" w:id="3"/>
      <w:bookmarkEnd w:id="3"/>
      <w:r w:rsidDel="00000000" w:rsidR="00000000" w:rsidRPr="00000000">
        <w:rPr>
          <w:rtl w:val="0"/>
        </w:rPr>
        <w:t xml:space="preserve">1. Startup Funding Over Time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Investment Across Stages</w:t>
      </w:r>
      <w:r w:rsidDel="00000000" w:rsidR="00000000" w:rsidRPr="00000000">
        <w:rPr>
          <w:rtl w:val="0"/>
        </w:rPr>
        <w:t xml:space="preserve">: From </w:t>
      </w:r>
      <w:r w:rsidDel="00000000" w:rsidR="00000000" w:rsidRPr="00000000">
        <w:rPr>
          <w:b w:val="1"/>
          <w:rtl w:val="0"/>
        </w:rPr>
        <w:t xml:space="preserve">2016 to 2018</w:t>
      </w:r>
      <w:r w:rsidDel="00000000" w:rsidR="00000000" w:rsidRPr="00000000">
        <w:rPr>
          <w:rtl w:val="0"/>
        </w:rPr>
        <w:t xml:space="preserve">, total funding across different stages (Seed, Series A, B, C, D, and IPO) remained steady at </w:t>
      </w:r>
      <w:r w:rsidDel="00000000" w:rsidR="00000000" w:rsidRPr="00000000">
        <w:rPr>
          <w:b w:val="1"/>
          <w:rtl w:val="0"/>
        </w:rPr>
        <w:t xml:space="preserve">$1.1B–$1.2B</w:t>
      </w:r>
      <w:r w:rsidDel="00000000" w:rsidR="00000000" w:rsidRPr="00000000">
        <w:rPr>
          <w:rtl w:val="0"/>
        </w:rPr>
        <w:t xml:space="preserve"> annually, indicating a stable investment climate without significant fluctuations.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IPO Funding Stability</w:t>
      </w:r>
      <w:r w:rsidDel="00000000" w:rsidR="00000000" w:rsidRPr="00000000">
        <w:rPr>
          <w:rtl w:val="0"/>
        </w:rPr>
        <w:t xml:space="preserve">: The predictable funding levels for IPOs suggest a mature public market, with startups consistently securing capital upon going public.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Sustained Startup Activity</w:t>
      </w:r>
      <w:r w:rsidDel="00000000" w:rsidR="00000000" w:rsidRPr="00000000">
        <w:rPr>
          <w:rtl w:val="0"/>
        </w:rPr>
        <w:t xml:space="preserve">: The number of funded startups fluctuated with a high increase in 2020, reflecting a steady influx of new ventures.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: The startup funding landscape during this period exhibited </w:t>
      </w:r>
      <w:r w:rsidDel="00000000" w:rsidR="00000000" w:rsidRPr="00000000">
        <w:rPr>
          <w:b w:val="1"/>
          <w:rtl w:val="0"/>
        </w:rPr>
        <w:t xml:space="preserve">stability and maturity</w:t>
      </w:r>
      <w:r w:rsidDel="00000000" w:rsidR="00000000" w:rsidRPr="00000000">
        <w:rPr>
          <w:rtl w:val="0"/>
        </w:rPr>
        <w:t xml:space="preserve">, with no extreme fluctuations, signaling balanced investor confidence.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80" w:lineRule="auto"/>
        <w:rPr/>
      </w:pPr>
      <w:bookmarkStart w:colFirst="0" w:colLast="0" w:name="_62kzqm3z7ks6" w:id="4"/>
      <w:bookmarkEnd w:id="4"/>
      <w:r w:rsidDel="00000000" w:rsidR="00000000" w:rsidRPr="00000000">
        <w:rPr>
          <w:rtl w:val="0"/>
        </w:rPr>
        <w:t xml:space="preserve">2. Sector-Wise Funding &amp; Investment Trends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Significant Capital Inflows</w:t>
      </w:r>
      <w:r w:rsidDel="00000000" w:rsidR="00000000" w:rsidRPr="00000000">
        <w:rPr>
          <w:rtl w:val="0"/>
        </w:rPr>
        <w:t xml:space="preserve">: Investments ranged between </w:t>
      </w:r>
      <w:r w:rsidDel="00000000" w:rsidR="00000000" w:rsidRPr="00000000">
        <w:rPr>
          <w:b w:val="1"/>
          <w:rtl w:val="0"/>
        </w:rPr>
        <w:t xml:space="preserve">$1.5B–$1.9B</w:t>
      </w:r>
      <w:r w:rsidDel="00000000" w:rsidR="00000000" w:rsidRPr="00000000">
        <w:rPr>
          <w:rtl w:val="0"/>
        </w:rPr>
        <w:t xml:space="preserve">, with some sectors consistently attracting </w:t>
      </w:r>
      <w:r w:rsidDel="00000000" w:rsidR="00000000" w:rsidRPr="00000000">
        <w:rPr>
          <w:b w:val="1"/>
          <w:rtl w:val="0"/>
        </w:rPr>
        <w:t xml:space="preserve">$1.1B–$1.2B</w:t>
      </w:r>
      <w:r w:rsidDel="00000000" w:rsidR="00000000" w:rsidRPr="00000000">
        <w:rPr>
          <w:rtl w:val="0"/>
        </w:rPr>
        <w:t xml:space="preserve">, highlighting investor preference for specific industries.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Sectoral Focus</w:t>
      </w:r>
      <w:r w:rsidDel="00000000" w:rsidR="00000000" w:rsidRPr="00000000">
        <w:rPr>
          <w:rtl w:val="0"/>
        </w:rPr>
        <w:t xml:space="preserve">: Sectors like </w:t>
      </w:r>
      <w:r w:rsidDel="00000000" w:rsidR="00000000" w:rsidRPr="00000000">
        <w:rPr>
          <w:b w:val="1"/>
          <w:rtl w:val="0"/>
        </w:rPr>
        <w:t xml:space="preserve">fintech, traveltech and retail</w:t>
      </w:r>
      <w:r w:rsidDel="00000000" w:rsidR="00000000" w:rsidRPr="00000000">
        <w:rPr>
          <w:rtl w:val="0"/>
        </w:rPr>
        <w:t xml:space="preserve"> dominated with </w:t>
      </w:r>
      <w:r w:rsidDel="00000000" w:rsidR="00000000" w:rsidRPr="00000000">
        <w:rPr>
          <w:b w:val="1"/>
          <w:rtl w:val="0"/>
        </w:rPr>
        <w:t xml:space="preserve">high-growth. Preference for Late-Stage Startups</w:t>
      </w:r>
      <w:r w:rsidDel="00000000" w:rsidR="00000000" w:rsidRPr="00000000">
        <w:rPr>
          <w:rtl w:val="0"/>
        </w:rPr>
        <w:t xml:space="preserve">: The largest funding rounds (e.g., </w:t>
      </w:r>
      <w:r w:rsidDel="00000000" w:rsidR="00000000" w:rsidRPr="00000000">
        <w:rPr>
          <w:b w:val="1"/>
          <w:rtl w:val="0"/>
        </w:rPr>
        <w:t xml:space="preserve">$1.5B, $1.6B</w:t>
      </w:r>
      <w:r w:rsidDel="00000000" w:rsidR="00000000" w:rsidRPr="00000000">
        <w:rPr>
          <w:rtl w:val="0"/>
        </w:rPr>
        <w:t xml:space="preserve">) were distributed across all stages, demonstrating a strong investor inclination toward startups with </w:t>
      </w:r>
      <w:r w:rsidDel="00000000" w:rsidR="00000000" w:rsidRPr="00000000">
        <w:rPr>
          <w:b w:val="1"/>
          <w:rtl w:val="0"/>
        </w:rPr>
        <w:t xml:space="preserve">proven scalability and lower risk profiles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: Investors are prioritizing </w:t>
      </w:r>
      <w:r w:rsidDel="00000000" w:rsidR="00000000" w:rsidRPr="00000000">
        <w:rPr>
          <w:b w:val="1"/>
          <w:rtl w:val="0"/>
        </w:rPr>
        <w:t xml:space="preserve">high-growth sectors.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280" w:lineRule="auto"/>
        <w:rPr/>
      </w:pPr>
      <w:bookmarkStart w:colFirst="0" w:colLast="0" w:name="_g8kor5u1micp" w:id="5"/>
      <w:bookmarkEnd w:id="5"/>
      <w:r w:rsidDel="00000000" w:rsidR="00000000" w:rsidRPr="00000000">
        <w:rPr>
          <w:rtl w:val="0"/>
        </w:rPr>
        <w:t xml:space="preserve">3. Startup Valuation vs. Revenue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Scale</w:t>
      </w:r>
      <w:r w:rsidDel="00000000" w:rsidR="00000000" w:rsidRPr="00000000">
        <w:rPr>
          <w:rtl w:val="0"/>
        </w:rPr>
        <w:t xml:space="preserve">: Startups in the dataset report significant revenues, ranging from </w:t>
      </w:r>
      <w:r w:rsidDel="00000000" w:rsidR="00000000" w:rsidRPr="00000000">
        <w:rPr>
          <w:b w:val="1"/>
          <w:rtl w:val="0"/>
        </w:rPr>
        <w:t xml:space="preserve">$4.35B–$4.7B</w:t>
      </w:r>
      <w:r w:rsidDel="00000000" w:rsidR="00000000" w:rsidRPr="00000000">
        <w:rPr>
          <w:rtl w:val="0"/>
        </w:rPr>
        <w:t xml:space="preserve">, positioning them as well-established businesses.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Valuations</w:t>
      </w:r>
      <w:r w:rsidDel="00000000" w:rsidR="00000000" w:rsidRPr="00000000">
        <w:rPr>
          <w:rtl w:val="0"/>
        </w:rPr>
        <w:t xml:space="preserve">: Despite strong revenues, valuations post-funding are significantly higher (</w:t>
      </w:r>
      <w:r w:rsidDel="00000000" w:rsidR="00000000" w:rsidRPr="00000000">
        <w:rPr>
          <w:b w:val="1"/>
          <w:rtl w:val="0"/>
        </w:rPr>
        <w:t xml:space="preserve">$86B, $90B, $92B</w:t>
      </w:r>
      <w:r w:rsidDel="00000000" w:rsidR="00000000" w:rsidRPr="00000000">
        <w:rPr>
          <w:rtl w:val="0"/>
        </w:rPr>
        <w:t xml:space="preserve">), indicating investor confidence in </w:t>
      </w:r>
      <w:r w:rsidDel="00000000" w:rsidR="00000000" w:rsidRPr="00000000">
        <w:rPr>
          <w:b w:val="1"/>
          <w:rtl w:val="0"/>
        </w:rPr>
        <w:t xml:space="preserve">long-term scalability and market potential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Sector-Based Valuation Premiums</w:t>
      </w:r>
      <w:r w:rsidDel="00000000" w:rsidR="00000000" w:rsidRPr="00000000">
        <w:rPr>
          <w:rtl w:val="0"/>
        </w:rPr>
        <w:t xml:space="preserve">: Industries such as </w:t>
      </w:r>
      <w:r w:rsidDel="00000000" w:rsidR="00000000" w:rsidRPr="00000000">
        <w:rPr>
          <w:b w:val="1"/>
          <w:rtl w:val="0"/>
        </w:rPr>
        <w:t xml:space="preserve">EdTech ($86B) and AgriTech ($90B)</w:t>
      </w:r>
      <w:r w:rsidDel="00000000" w:rsidR="00000000" w:rsidRPr="00000000">
        <w:rPr>
          <w:rtl w:val="0"/>
        </w:rPr>
        <w:t xml:space="preserve"> command lower valuations while FinTech and FoodTech command high valuations, reinforcing investor confidence in </w:t>
      </w:r>
      <w:r w:rsidDel="00000000" w:rsidR="00000000" w:rsidRPr="00000000">
        <w:rPr>
          <w:b w:val="1"/>
          <w:rtl w:val="0"/>
        </w:rPr>
        <w:t xml:space="preserve">technology-driven business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disparity between revenue and valuation</w:t>
      </w:r>
      <w:r w:rsidDel="00000000" w:rsidR="00000000" w:rsidRPr="00000000">
        <w:rPr>
          <w:rtl w:val="0"/>
        </w:rPr>
        <w:t xml:space="preserve"> suggests that investors are </w:t>
      </w:r>
      <w:r w:rsidDel="00000000" w:rsidR="00000000" w:rsidRPr="00000000">
        <w:rPr>
          <w:b w:val="1"/>
          <w:rtl w:val="0"/>
        </w:rPr>
        <w:t xml:space="preserve">betting on future growth and market disruption</w:t>
      </w:r>
      <w:r w:rsidDel="00000000" w:rsidR="00000000" w:rsidRPr="00000000">
        <w:rPr>
          <w:rtl w:val="0"/>
        </w:rPr>
        <w:t xml:space="preserve">, rather than immediate profitability.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tqd30u39b3hp" w:id="6"/>
      <w:bookmarkEnd w:id="6"/>
      <w:r w:rsidDel="00000000" w:rsidR="00000000" w:rsidRPr="00000000">
        <w:rPr>
          <w:color w:val="000000"/>
          <w:sz w:val="32"/>
          <w:szCs w:val="32"/>
          <w:rtl w:val="0"/>
        </w:rPr>
        <w:t xml:space="preserve">4. Exit Status Trends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Exit Trend</w:t>
      </w:r>
      <w:r w:rsidDel="00000000" w:rsidR="00000000" w:rsidRPr="00000000">
        <w:rPr>
          <w:rtl w:val="0"/>
        </w:rPr>
        <w:t xml:space="preserve">: Data from </w:t>
      </w:r>
      <w:r w:rsidDel="00000000" w:rsidR="00000000" w:rsidRPr="00000000">
        <w:rPr>
          <w:b w:val="1"/>
          <w:rtl w:val="0"/>
        </w:rPr>
        <w:t xml:space="preserve">2015 to 2023</w:t>
      </w:r>
      <w:r w:rsidDel="00000000" w:rsidR="00000000" w:rsidRPr="00000000">
        <w:rPr>
          <w:rtl w:val="0"/>
        </w:rPr>
        <w:t xml:space="preserve"> highlights exit patterns, which are critical indicators of ecosystem maturity.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</w:t>
      </w:r>
      <w:r w:rsidDel="00000000" w:rsidR="00000000" w:rsidRPr="00000000">
        <w:rPr>
          <w:rtl w:val="0"/>
        </w:rPr>
        <w:t xml:space="preserve">: Exit trends reveal: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fluctuating increase of exit throughout the years.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years like 2017 and 2020 there was a major boost in exit.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 slowdowns in exits, possibly influenced by market conditions.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: A fluctuating ecosystem of exit throughout startups across India.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2rpgl5wg8vep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5. Investment Trends (2016–2022)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sww3ciein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Balanced Funding Mix: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Investments are distributed across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Equity, Debt, Convertible Notes, and Grants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reflecting a mature startup ecosystem.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sww3ciein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Equity and Debt as Key Drivers: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Equity remains a preferred choice for long-term growth, while debt financing is strategically used for scalability without ownership dilution.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sww3ciein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Convertible Notes for Flexibility: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Early-stage startups leverage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convertible notes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raise capital while deferring valuation discussions.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sww3ciein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Stable Investment Levels with 2022 Peak: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Annual funding fluctuated between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$1.6B and $2.1B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with a notable peak in 2022, likely due to post-pandemic recovery and investor confidence.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z3z0gvu8ce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Key Takeaway: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diversified investment landscape supports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sustainable startup growth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The 2022 surge highlights market optimism and expanding funding opportunities.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6uavbpizanu8" w:id="10"/>
      <w:bookmarkEnd w:id="10"/>
      <w:r w:rsidDel="00000000" w:rsidR="00000000" w:rsidRPr="00000000">
        <w:rPr>
          <w:sz w:val="32"/>
          <w:szCs w:val="32"/>
          <w:rtl w:val="0"/>
        </w:rPr>
        <w:t xml:space="preserve">6. Startup Distribution Across Indian States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Startup Hubs Identified:</w:t>
      </w:r>
      <w:r w:rsidDel="00000000" w:rsidR="00000000" w:rsidRPr="00000000">
        <w:rPr>
          <w:rtl w:val="0"/>
        </w:rPr>
        <w:t xml:space="preserve"> The map highlights startup activity in </w:t>
      </w:r>
      <w:r w:rsidDel="00000000" w:rsidR="00000000" w:rsidRPr="00000000">
        <w:rPr>
          <w:b w:val="1"/>
          <w:rtl w:val="0"/>
        </w:rPr>
        <w:t xml:space="preserve">Maharashtra, Karnataka, Tamil Nadu, and Delhi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Concentration in Economic Centers:</w:t>
      </w:r>
      <w:r w:rsidDel="00000000" w:rsidR="00000000" w:rsidRPr="00000000">
        <w:rPr>
          <w:rtl w:val="0"/>
        </w:rPr>
        <w:t xml:space="preserve"> These states are known for </w:t>
      </w:r>
      <w:r w:rsidDel="00000000" w:rsidR="00000000" w:rsidRPr="00000000">
        <w:rPr>
          <w:b w:val="1"/>
          <w:rtl w:val="0"/>
        </w:rPr>
        <w:t xml:space="preserve">major business hubs</w:t>
      </w:r>
      <w:r w:rsidDel="00000000" w:rsidR="00000000" w:rsidRPr="00000000">
        <w:rPr>
          <w:rtl w:val="0"/>
        </w:rPr>
        <w:t xml:space="preserve"> like Mumbai, Bengaluru, Chennai, and Delhi, which provide </w:t>
      </w:r>
      <w:r w:rsidDel="00000000" w:rsidR="00000000" w:rsidRPr="00000000">
        <w:rPr>
          <w:b w:val="1"/>
          <w:rtl w:val="0"/>
        </w:rPr>
        <w:t xml:space="preserve">strong infrastructure and investor networks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Southern and Western Dominance:</w:t>
      </w:r>
      <w:r w:rsidDel="00000000" w:rsidR="00000000" w:rsidRPr="00000000">
        <w:rPr>
          <w:rtl w:val="0"/>
        </w:rPr>
        <w:t xml:space="preserve"> The startup ecosystem is primarily concentrated in the </w:t>
      </w:r>
      <w:r w:rsidDel="00000000" w:rsidR="00000000" w:rsidRPr="00000000">
        <w:rPr>
          <w:b w:val="1"/>
          <w:rtl w:val="0"/>
        </w:rPr>
        <w:t xml:space="preserve">western and southern regions</w:t>
      </w:r>
      <w:r w:rsidDel="00000000" w:rsidR="00000000" w:rsidRPr="00000000">
        <w:rPr>
          <w:rtl w:val="0"/>
        </w:rPr>
        <w:t xml:space="preserve">, indicating </w:t>
      </w:r>
      <w:r w:rsidDel="00000000" w:rsidR="00000000" w:rsidRPr="00000000">
        <w:rPr>
          <w:b w:val="1"/>
          <w:rtl w:val="0"/>
        </w:rPr>
        <w:t xml:space="preserve">regional economic strengths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Presence in Other Regions:</w:t>
      </w:r>
      <w:r w:rsidDel="00000000" w:rsidR="00000000" w:rsidRPr="00000000">
        <w:rPr>
          <w:rtl w:val="0"/>
        </w:rPr>
        <w:t xml:space="preserve"> No visible startup activity in </w:t>
      </w:r>
      <w:r w:rsidDel="00000000" w:rsidR="00000000" w:rsidRPr="00000000">
        <w:rPr>
          <w:b w:val="1"/>
          <w:rtl w:val="0"/>
        </w:rPr>
        <w:t xml:space="preserve">eastern and northern states</w:t>
      </w:r>
      <w:r w:rsidDel="00000000" w:rsidR="00000000" w:rsidRPr="00000000">
        <w:rPr>
          <w:rtl w:val="0"/>
        </w:rPr>
        <w:t xml:space="preserve">, suggesting </w:t>
      </w:r>
      <w:r w:rsidDel="00000000" w:rsidR="00000000" w:rsidRPr="00000000">
        <w:rPr>
          <w:b w:val="1"/>
          <w:rtl w:val="0"/>
        </w:rPr>
        <w:t xml:space="preserve">potential gaps or emerging markets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dgij84krdbi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Takeaway: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Maharashtra, Karnataka, Tamil Nadu, and Delhi</w:t>
      </w:r>
      <w:r w:rsidDel="00000000" w:rsidR="00000000" w:rsidRPr="00000000">
        <w:rPr>
          <w:rtl w:val="0"/>
        </w:rPr>
        <w:t xml:space="preserve"> are key startup destinations.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absence of startups in other states</w:t>
      </w:r>
      <w:r w:rsidDel="00000000" w:rsidR="00000000" w:rsidRPr="00000000">
        <w:rPr>
          <w:rtl w:val="0"/>
        </w:rPr>
        <w:t xml:space="preserve"> highlights </w:t>
      </w:r>
      <w:r w:rsidDel="00000000" w:rsidR="00000000" w:rsidRPr="00000000">
        <w:rPr>
          <w:b w:val="1"/>
          <w:rtl w:val="0"/>
        </w:rPr>
        <w:t xml:space="preserve">opportunities for expansion into underrepresented regions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/>
      </w:pPr>
      <w:bookmarkStart w:colFirst="0" w:colLast="0" w:name="_phxf1dv81bgf" w:id="12"/>
      <w:bookmarkEnd w:id="12"/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eq69er6kp4vu" w:id="13"/>
      <w:bookmarkEnd w:id="13"/>
      <w:r w:rsidDel="00000000" w:rsidR="00000000" w:rsidRPr="00000000">
        <w:rPr>
          <w:b w:val="1"/>
          <w:rtl w:val="0"/>
        </w:rPr>
        <w:t xml:space="preserve">Strategic Insights &amp; Recommendations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zde9pw8qa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Investor Priorities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Investors are favoring </w:t>
      </w:r>
      <w:r w:rsidDel="00000000" w:rsidR="00000000" w:rsidRPr="00000000">
        <w:rPr>
          <w:b w:val="1"/>
          <w:rtl w:val="0"/>
        </w:rPr>
        <w:t xml:space="preserve">high-growth, technology-driven sectors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EdTech and AgriTech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Late-stage startups with </w:t>
      </w:r>
      <w:r w:rsidDel="00000000" w:rsidR="00000000" w:rsidRPr="00000000">
        <w:rPr>
          <w:b w:val="1"/>
          <w:rtl w:val="0"/>
        </w:rPr>
        <w:t xml:space="preserve">proven scalability</w:t>
      </w:r>
      <w:r w:rsidDel="00000000" w:rsidR="00000000" w:rsidRPr="00000000">
        <w:rPr>
          <w:rtl w:val="0"/>
        </w:rPr>
        <w:t xml:space="preserve"> are receiving the majority of funding.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Valuations are </w:t>
      </w:r>
      <w:r w:rsidDel="00000000" w:rsidR="00000000" w:rsidRPr="00000000">
        <w:rPr>
          <w:b w:val="1"/>
          <w:rtl w:val="0"/>
        </w:rPr>
        <w:t xml:space="preserve">driven by growth potential</w:t>
      </w:r>
      <w:r w:rsidDel="00000000" w:rsidR="00000000" w:rsidRPr="00000000">
        <w:rPr>
          <w:rtl w:val="0"/>
        </w:rPr>
        <w:t xml:space="preserve">, rather than current revenue performance.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9yq1cat33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Competitive Early-Stage Funding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the funding landscape remains stable, early-stage startups face </w:t>
      </w:r>
      <w:r w:rsidDel="00000000" w:rsidR="00000000" w:rsidRPr="00000000">
        <w:rPr>
          <w:b w:val="1"/>
          <w:rtl w:val="0"/>
        </w:rPr>
        <w:t xml:space="preserve">greater challenges in securing investments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Startups must emphasize </w:t>
      </w:r>
      <w:r w:rsidDel="00000000" w:rsidR="00000000" w:rsidRPr="00000000">
        <w:rPr>
          <w:b w:val="1"/>
          <w:rtl w:val="0"/>
        </w:rPr>
        <w:t xml:space="preserve">market disruption, scalability, and innovation</w:t>
      </w:r>
      <w:r w:rsidDel="00000000" w:rsidR="00000000" w:rsidRPr="00000000">
        <w:rPr>
          <w:rtl w:val="0"/>
        </w:rPr>
        <w:t xml:space="preserve"> to attract investors.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ps7l2lmpv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Importance of Exit Trends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healthy </w:t>
      </w:r>
      <w:r w:rsidDel="00000000" w:rsidR="00000000" w:rsidRPr="00000000">
        <w:rPr>
          <w:b w:val="1"/>
          <w:rtl w:val="0"/>
        </w:rPr>
        <w:t xml:space="preserve">IPO and acquisition environment</w:t>
      </w:r>
      <w:r w:rsidDel="00000000" w:rsidR="00000000" w:rsidRPr="00000000">
        <w:rPr>
          <w:rtl w:val="0"/>
        </w:rPr>
        <w:t xml:space="preserve"> is critical for maintaining a strong startup ecosystem.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and policymakers should track </w:t>
      </w:r>
      <w:r w:rsidDel="00000000" w:rsidR="00000000" w:rsidRPr="00000000">
        <w:rPr>
          <w:b w:val="1"/>
          <w:rtl w:val="0"/>
        </w:rPr>
        <w:t xml:space="preserve">exit activity</w:t>
      </w:r>
      <w:r w:rsidDel="00000000" w:rsidR="00000000" w:rsidRPr="00000000">
        <w:rPr>
          <w:rtl w:val="0"/>
        </w:rPr>
        <w:t xml:space="preserve"> to assess long-term investment viability.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qurmolan7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2022: A High-Growth Year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surge in funding in </w:t>
      </w: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  <w:t xml:space="preserve"> indicates a </w:t>
      </w:r>
      <w:r w:rsidDel="00000000" w:rsidR="00000000" w:rsidRPr="00000000">
        <w:rPr>
          <w:b w:val="1"/>
          <w:rtl w:val="0"/>
        </w:rPr>
        <w:t xml:space="preserve">post-pandemic resurgence</w:t>
      </w:r>
      <w:r w:rsidDel="00000000" w:rsidR="00000000" w:rsidRPr="00000000">
        <w:rPr>
          <w:rtl w:val="0"/>
        </w:rPr>
        <w:t xml:space="preserve">, with heightened investor confidence in </w:t>
      </w:r>
      <w:r w:rsidDel="00000000" w:rsidR="00000000" w:rsidRPr="00000000">
        <w:rPr>
          <w:b w:val="1"/>
          <w:rtl w:val="0"/>
        </w:rPr>
        <w:t xml:space="preserve">emerging technologies and market expansion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lineRule="auto"/>
        <w:rPr/>
      </w:pPr>
      <w:bookmarkStart w:colFirst="0" w:colLast="0" w:name="_cb0zk0ocqamf" w:id="18"/>
      <w:bookmarkEnd w:id="18"/>
      <w:r w:rsidDel="00000000" w:rsidR="00000000" w:rsidRPr="00000000">
        <w:rPr>
          <w:rtl w:val="0"/>
        </w:rPr>
        <w:t xml:space="preserve">Actionable Recommendations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bcmip5jpy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Investors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Prioritize </w:t>
      </w:r>
      <w:r w:rsidDel="00000000" w:rsidR="00000000" w:rsidRPr="00000000">
        <w:rPr>
          <w:b w:val="1"/>
          <w:rtl w:val="0"/>
        </w:rPr>
        <w:t xml:space="preserve">high-growth sectors and late-stage startups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risk-mitigated, high-return opportunities.</w:t>
        <w:br w:type="textWrapping"/>
        <w:t xml:space="preserve">✔ Diversify portfolios by selectively investing in </w:t>
      </w:r>
      <w:r w:rsidDel="00000000" w:rsidR="00000000" w:rsidRPr="00000000">
        <w:rPr>
          <w:b w:val="1"/>
          <w:rtl w:val="0"/>
        </w:rPr>
        <w:t xml:space="preserve">early-stage startups with strong innovation potential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sgmcnurvy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Startups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Emphasize </w:t>
      </w:r>
      <w:r w:rsidDel="00000000" w:rsidR="00000000" w:rsidRPr="00000000">
        <w:rPr>
          <w:b w:val="1"/>
          <w:rtl w:val="0"/>
        </w:rPr>
        <w:t xml:space="preserve">scalability, disruptive potential, and technological innovation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secure funding.</w:t>
        <w:br w:type="textWrapping"/>
        <w:t xml:space="preserve">✔ Consider </w:t>
      </w:r>
      <w:r w:rsidDel="00000000" w:rsidR="00000000" w:rsidRPr="00000000">
        <w:rPr>
          <w:b w:val="1"/>
          <w:rtl w:val="0"/>
        </w:rPr>
        <w:t xml:space="preserve">convertible notes or grants</w:t>
      </w:r>
      <w:r w:rsidDel="00000000" w:rsidR="00000000" w:rsidRPr="00000000">
        <w:rPr>
          <w:rtl w:val="0"/>
        </w:rPr>
        <w:t xml:space="preserve"> as alternative early-stage funding mechanisms.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9131e930p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Policymakers &amp; Industry Leaders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Support early-stage funding by introducing </w:t>
      </w:r>
      <w:r w:rsidDel="00000000" w:rsidR="00000000" w:rsidRPr="00000000">
        <w:rPr>
          <w:b w:val="1"/>
          <w:rtl w:val="0"/>
        </w:rPr>
        <w:t xml:space="preserve">grants and incentives</w:t>
      </w:r>
      <w:r w:rsidDel="00000000" w:rsidR="00000000" w:rsidRPr="00000000">
        <w:rPr>
          <w:rtl w:val="0"/>
        </w:rPr>
        <w:t xml:space="preserve">, particularly in </w:t>
      </w:r>
      <w:r w:rsidDel="00000000" w:rsidR="00000000" w:rsidRPr="00000000">
        <w:rPr>
          <w:b w:val="1"/>
          <w:rtl w:val="0"/>
        </w:rPr>
        <w:t xml:space="preserve">technology-driven sectors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Strengthen </w:t>
      </w:r>
      <w:r w:rsidDel="00000000" w:rsidR="00000000" w:rsidRPr="00000000">
        <w:rPr>
          <w:b w:val="1"/>
          <w:rtl w:val="0"/>
        </w:rPr>
        <w:t xml:space="preserve">capital markets</w:t>
      </w:r>
      <w:r w:rsidDel="00000000" w:rsidR="00000000" w:rsidRPr="00000000">
        <w:rPr>
          <w:rtl w:val="0"/>
        </w:rPr>
        <w:t xml:space="preserve"> to facilitate </w:t>
      </w:r>
      <w:r w:rsidDel="00000000" w:rsidR="00000000" w:rsidRPr="00000000">
        <w:rPr>
          <w:b w:val="1"/>
          <w:rtl w:val="0"/>
        </w:rPr>
        <w:t xml:space="preserve">smooth exit strategies</w:t>
      </w:r>
      <w:r w:rsidDel="00000000" w:rsidR="00000000" w:rsidRPr="00000000">
        <w:rPr>
          <w:rtl w:val="0"/>
        </w:rPr>
        <w:t xml:space="preserve">, ensuring long-term investor participation.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