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Week 5 — Feasibility Analysis and Recommendations</w:t>
      </w:r>
    </w:p>
    <w:p>
      <w:pPr>
        <w:spacing w:after="160"/>
        <w:jc w:val="both"/>
      </w:pPr>
      <w:r>
        <w:rPr>
          <w:b w:val="false"/>
          <w:bCs w:val="false"/>
          <w:i/>
          <w:iCs/>
        </w:rPr>
        <w:t xml:space="preserve">Project: SiteChat (CleanTasker site communication platform) — Crennotech Pty Ltd</w:t>
      </w:r>
    </w:p>
    <w:p>
      <w:pPr>
        <w:spacing w:after="160"/>
        <w:jc w:val="both"/>
      </w:pPr>
      <w:r>
        <w:rPr>
          <w:b w:val="false"/>
          <w:bCs w:val="false"/>
          <w:i/>
          <w:iCs/>
        </w:rPr>
        <w:t xml:space="preserve">Prepared by: Amrit Dahal (Project Manager), Madhab Poudel, Subham Giri, Sujit Budhathoki</w:t>
      </w:r>
    </w:p>
    <w:p>
      <w:pPr>
        <w:pStyle w:val="Heading2"/>
        <w:spacing w:after="100" w:before="200"/>
      </w:pPr>
      <w:r>
        <w:t xml:space="preserve">1. Feasibility Study</w:t>
      </w:r>
    </w:p>
    <w:p>
      <w:pPr>
        <w:pStyle w:val="Heading3"/>
        <w:spacing w:after="80" w:before="150"/>
      </w:pPr>
      <w:r>
        <w:t xml:space="preserve">Technical Feasibility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Available technologies: React (TypeScript), Flutter, and Firebase (Firestore, Cloud Functions, Cloud Messaging, Storage) are mature, well-documented technologies with strong community and vendor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 expertise required: front-end (React/Flutter) development, Firebase security-rule design, and integration engineering to connect SiteChat with existing CleanTasker APIs.</w:t>
      </w:r>
    </w:p>
    <w:p>
      <w:pPr>
        <w:pStyle w:val="Heading3"/>
        <w:spacing w:after="80" w:before="150"/>
      </w:pPr>
      <w:r>
        <w:t xml:space="preserve">Economic Feasibility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Estimated costs: Firebase usage-based charges (Firestore reads/writes, Cloud Messaging, Storage), Azure hosting for backend integration services, and development effort for both web and mobile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Expected benefits: faster, more reliable site-level communication; fewer missed operational alerts; potential to reduce phone/SMS-based coordination costs currently used across sites.</w:t>
      </w:r>
    </w:p>
    <w:p>
      <w:pPr>
        <w:pStyle w:val="Heading3"/>
        <w:spacing w:after="80" w:before="150"/>
      </w:pPr>
      <w:r>
        <w:t xml:space="preserve">Operational Feasibility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Organisational readiness: cleaning staff and supervisors will need a short onboarding walkthrough to adopt SiteChat in place of existing informal channels.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acceptance: likely to be favourable given the direct link to task and schedule data already familiar to CleanTasker users, contingent on the mobile app's simplicity and reliability.</w:t>
      </w:r>
    </w:p>
    <w:p>
      <w:pPr>
        <w:pStyle w:val="Heading3"/>
        <w:spacing w:after="80" w:before="150"/>
      </w:pPr>
      <w:r>
        <w:t xml:space="preserve">Legal and Compliance Feasibility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Privacy requirements: compliance with the Privacy Act 1988, including consideration of data residency, since Firebase/Google Cloud services may store data outside Australia.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Industry regulations: no payment data is processed by SiteChat itself, but client and site operational data must still be handled under Crennotech's existing contractual confidentiality obligations.</w:t>
      </w:r>
    </w:p>
    <w:p>
      <w:pPr>
        <w:pStyle w:val="Heading2"/>
        <w:spacing w:after="100" w:before="200"/>
      </w:pPr>
      <w:r>
        <w:t xml:space="preserve">2. Recommendations</w:t>
      </w:r>
    </w:p>
    <w:p>
      <w:pPr>
        <w:pStyle w:val="Heading3"/>
        <w:spacing w:after="80" w:before="15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Finding 1: The original Document Scan AI problem and the current SiteChat problem share the same root cause pattern — Crennotech's operations rely on informal, manually mediated processes that lack defined security controls.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Finding 2: SiteChat's technical feasibility is strong given the maturity of React, Flutter, and Firebase, but multi-tenant data isolation via Firestore security rules is the single most safety-critical design decision.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Finding 3: The mid-project brief change was managed without losing continuity of stakeholder analysis or project governance, demonstrating the value of the team's Jira/GitHub evidence trail.</w:t>
      </w:r>
    </w:p>
    <w:p>
      <w:pPr>
        <w:pStyle w:val="Heading3"/>
        <w:spacing w:after="80" w:before="150"/>
      </w:pPr>
      <w:r>
        <w:t xml:space="preserve">Recommended Next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Recommendation 1: Treat Firestore security-rule design and testing as a gating requirement before any Semester 2 build work begins.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Recommendation 2: Confirm Firebase data-residency settings and validate them against Crennotech's compliance obligations before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Recommendation 3: Carry the Smart Document Scan AI analysis forward as a documented future-phase opportunity, since the underlying business problem remains valid even though SiteChat is the current build priority.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5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</w:pPr>
    <w:rPr>
      <w:rFonts w:ascii="Calibri" w:cs="Calibri" w:eastAsia="Calibri" w:hAnsi="Calibri"/>
      <w:b/>
      <w:bCs/>
      <w:i/>
      <w:i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2026-08-17T00:16:51.148Z</dcterms:created>
  <dcterms:modified xsi:type="dcterms:W3CDTF">2026-08-17T00:16:51.148Z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