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2"/>
          <w:szCs w:val="32"/>
        </w:rPr>
        <w:t xml:space="preserve">SiteChat — Assessment 2 Industry Project Report</w:t>
      </w:r>
    </w:p>
    <w:p>
      <w:pPr>
        <w:spacing w:after="280"/>
        <w:jc w:val="center"/>
      </w:pPr>
      <w:r>
        <w:rPr>
          <w:i/>
          <w:iCs/>
          <w:color w:val="44546A"/>
          <w:sz w:val="24"/>
          <w:szCs w:val="24"/>
        </w:rPr>
        <w:t xml:space="preserve">Week 6 Deliverables: Executive Summary, Introduction &amp; Project Planning</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c>
          <w:tcPr>
            <w:tcW w:type="dxa" w:w="2600"/>
            <w:shd w:fill="1F3864" w:val="clear"/>
            <w:tcMar>
              <w:top w:type="dxa" w:w="60"/>
              <w:left w:type="dxa" w:w="90"/>
              <w:bottom w:type="dxa" w:w="60"/>
              <w:right w:type="dxa" w:w="90"/>
            </w:tcMar>
          </w:tcPr>
          <w:p>
            <w:r>
              <w:rPr>
                <w:b/>
                <w:bCs/>
                <w:color w:val="FFFFFF"/>
                <w:sz w:val="18"/>
                <w:szCs w:val="18"/>
              </w:rPr>
              <w:t xml:space="preserve">Field</w:t>
            </w:r>
          </w:p>
        </w:tc>
        <w:tc>
          <w:tcPr>
            <w:tcW w:type="dxa" w:w="6300"/>
            <w:shd w:fill="1F3864" w:val="clear"/>
            <w:tcMar>
              <w:top w:type="dxa" w:w="60"/>
              <w:left w:type="dxa" w:w="90"/>
              <w:bottom w:type="dxa" w:w="60"/>
              <w:right w:type="dxa" w:w="90"/>
            </w:tcMar>
          </w:tcPr>
          <w:p>
            <w:r>
              <w:rPr>
                <w:b/>
                <w:bCs/>
                <w:color w:val="FFFFFF"/>
                <w:sz w:val="18"/>
                <w:szCs w:val="18"/>
              </w:rPr>
              <w:t xml:space="preserve">Details</w:t>
            </w:r>
          </w:p>
        </w:tc>
      </w:tr>
      <w:tr>
        <w:tc>
          <w:tcPr>
            <w:tcW w:type="dxa" w:w="2600"/>
            <w:tcMar>
              <w:top w:type="dxa" w:w="60"/>
              <w:left w:type="dxa" w:w="90"/>
              <w:bottom w:type="dxa" w:w="60"/>
              <w:right w:type="dxa" w:w="90"/>
            </w:tcMar>
          </w:tcPr>
          <w:p>
            <w:r>
              <w:rPr>
                <w:b w:val="false"/>
                <w:bCs w:val="false"/>
                <w:sz w:val="18"/>
                <w:szCs w:val="18"/>
              </w:rPr>
              <w:t xml:space="preserve">Project</w:t>
            </w:r>
          </w:p>
        </w:tc>
        <w:tc>
          <w:tcPr>
            <w:tcW w:type="dxa" w:w="6300"/>
            <w:tcMar>
              <w:top w:type="dxa" w:w="60"/>
              <w:left w:type="dxa" w:w="90"/>
              <w:bottom w:type="dxa" w:w="60"/>
              <w:right w:type="dxa" w:w="90"/>
            </w:tcMar>
          </w:tcPr>
          <w:p>
            <w:r>
              <w:rPr>
                <w:b w:val="false"/>
                <w:bCs w:val="false"/>
                <w:sz w:val="18"/>
                <w:szCs w:val="18"/>
              </w:rPr>
              <w:t xml:space="preserve">SiteChat — real-time site communication platform for Crennotech Pty Ltd (CleanTasker)</w:t>
            </w:r>
          </w:p>
        </w:tc>
      </w:tr>
      <w:tr>
        <w:tc>
          <w:tcPr>
            <w:tcW w:type="dxa" w:w="2600"/>
            <w:tcMar>
              <w:top w:type="dxa" w:w="60"/>
              <w:left w:type="dxa" w:w="90"/>
              <w:bottom w:type="dxa" w:w="60"/>
              <w:right w:type="dxa" w:w="90"/>
            </w:tcMar>
          </w:tcPr>
          <w:p>
            <w:r>
              <w:rPr>
                <w:b w:val="false"/>
                <w:bCs w:val="false"/>
                <w:sz w:val="18"/>
                <w:szCs w:val="18"/>
              </w:rPr>
              <w:t xml:space="preserve">Assessment</w:t>
            </w:r>
          </w:p>
        </w:tc>
        <w:tc>
          <w:tcPr>
            <w:tcW w:type="dxa" w:w="6300"/>
            <w:tcMar>
              <w:top w:type="dxa" w:w="60"/>
              <w:left w:type="dxa" w:w="90"/>
              <w:bottom w:type="dxa" w:w="60"/>
              <w:right w:type="dxa" w:w="90"/>
            </w:tcMar>
          </w:tcPr>
          <w:p>
            <w:r>
              <w:rPr>
                <w:b w:val="false"/>
                <w:bCs w:val="false"/>
                <w:sz w:val="18"/>
                <w:szCs w:val="18"/>
              </w:rPr>
              <w:t xml:space="preserve">ICT942 Assessment 2 — Industry Project Report (40% — 20% report + 20% presentation)</w:t>
            </w:r>
          </w:p>
        </w:tc>
      </w:tr>
      <w:tr>
        <w:tc>
          <w:tcPr>
            <w:tcW w:type="dxa" w:w="2600"/>
            <w:tcMar>
              <w:top w:type="dxa" w:w="60"/>
              <w:left w:type="dxa" w:w="90"/>
              <w:bottom w:type="dxa" w:w="60"/>
              <w:right w:type="dxa" w:w="90"/>
            </w:tcMar>
          </w:tcPr>
          <w:p>
            <w:r>
              <w:rPr>
                <w:b w:val="false"/>
                <w:bCs w:val="false"/>
                <w:sz w:val="18"/>
                <w:szCs w:val="18"/>
              </w:rPr>
              <w:t xml:space="preserve">Deliverable date</w:t>
            </w:r>
          </w:p>
        </w:tc>
        <w:tc>
          <w:tcPr>
            <w:tcW w:type="dxa" w:w="6300"/>
            <w:tcMar>
              <w:top w:type="dxa" w:w="60"/>
              <w:left w:type="dxa" w:w="90"/>
              <w:bottom w:type="dxa" w:w="60"/>
              <w:right w:type="dxa" w:w="90"/>
            </w:tcMar>
          </w:tcPr>
          <w:p>
            <w:r>
              <w:rPr>
                <w:b w:val="false"/>
                <w:bCs w:val="false"/>
                <w:sz w:val="18"/>
                <w:szCs w:val="18"/>
              </w:rPr>
              <w:t xml:space="preserve">Week 6 (by Sunday 30 August 2026)</w:t>
            </w:r>
          </w:p>
        </w:tc>
      </w:tr>
      <w:tr>
        <w:tc>
          <w:tcPr>
            <w:tcW w:type="dxa" w:w="2600"/>
            <w:tcMar>
              <w:top w:type="dxa" w:w="60"/>
              <w:left w:type="dxa" w:w="90"/>
              <w:bottom w:type="dxa" w:w="60"/>
              <w:right w:type="dxa" w:w="90"/>
            </w:tcMar>
          </w:tcPr>
          <w:p>
            <w:r>
              <w:rPr>
                <w:b w:val="false"/>
                <w:bCs w:val="false"/>
                <w:sz w:val="18"/>
                <w:szCs w:val="18"/>
              </w:rPr>
              <w:t xml:space="preserve">Prepared by</w:t>
            </w:r>
          </w:p>
        </w:tc>
        <w:tc>
          <w:tcPr>
            <w:tcW w:type="dxa" w:w="6300"/>
            <w:tcMar>
              <w:top w:type="dxa" w:w="60"/>
              <w:left w:type="dxa" w:w="90"/>
              <w:bottom w:type="dxa" w:w="60"/>
              <w:right w:type="dxa" w:w="90"/>
            </w:tcMar>
          </w:tcPr>
          <w:p>
            <w:r>
              <w:rPr>
                <w:b w:val="false"/>
                <w:bCs w:val="false"/>
                <w:sz w:val="18"/>
                <w:szCs w:val="18"/>
              </w:rPr>
              <w:t xml:space="preserve">Amrit Dahal (PM), Madhab Poudel (BA), Subham Giri (Tech Lead), Sujit Budhathoki (QA &amp; Documentation)</w:t>
            </w:r>
          </w:p>
        </w:tc>
      </w:tr>
      <w:tr>
        <w:tc>
          <w:tcPr>
            <w:tcW w:type="dxa" w:w="2600"/>
            <w:tcMar>
              <w:top w:type="dxa" w:w="60"/>
              <w:left w:type="dxa" w:w="90"/>
              <w:bottom w:type="dxa" w:w="60"/>
              <w:right w:type="dxa" w:w="90"/>
            </w:tcMar>
          </w:tcPr>
          <w:p>
            <w:r>
              <w:rPr>
                <w:b w:val="false"/>
                <w:bCs w:val="false"/>
                <w:sz w:val="18"/>
                <w:szCs w:val="18"/>
              </w:rPr>
              <w:t xml:space="preserve">Supervisor</w:t>
            </w:r>
          </w:p>
        </w:tc>
        <w:tc>
          <w:tcPr>
            <w:tcW w:type="dxa" w:w="6300"/>
            <w:tcMar>
              <w:top w:type="dxa" w:w="60"/>
              <w:left w:type="dxa" w:w="90"/>
              <w:bottom w:type="dxa" w:w="60"/>
              <w:right w:type="dxa" w:w="90"/>
            </w:tcMar>
          </w:tcPr>
          <w:p>
            <w:r>
              <w:rPr>
                <w:b w:val="false"/>
                <w:bCs w:val="false"/>
                <w:sz w:val="18"/>
                <w:szCs w:val="18"/>
              </w:rPr>
              <w:t xml:space="preserve">Dr Ashraf Uddin (client mentor: Kiran Vilasagaram, Crennotech)</w:t>
            </w:r>
          </w:p>
        </w:tc>
      </w:tr>
    </w:tbl>
    <w:p>
      <w:pPr>
        <w:pStyle w:val="Heading1"/>
        <w:spacing w:after="120" w:before="280"/>
      </w:pPr>
      <w:r>
        <w:rPr>
          <w:b/>
          <w:bCs/>
          <w:color w:val="1F3864"/>
          <w:sz w:val="30"/>
          <w:szCs w:val="30"/>
        </w:rPr>
        <w:t xml:space="preserve">Executive Summary</w:t>
      </w:r>
    </w:p>
    <w:p>
      <w:pPr>
        <w:spacing w:after="140"/>
        <w:jc w:val="both"/>
      </w:pPr>
      <w:r>
        <w:rPr>
          <w:sz w:val="21"/>
          <w:szCs w:val="21"/>
        </w:rPr>
        <w:t xml:space="preserve">Crennotech Pty Ltd's CleanTasker platform coordinates commercial cleaning operations across Australia and New Zealand, but cleaners, supervisors, managers and clients currently rely on ad-hoc phone calls and SMS to communicate at the site level, separate from the operational data already held in CleanTasker. This fragmentation causes missed task updates, delayed responses to site issues, and no auditable record of site-level communication.</w:t>
      </w:r>
    </w:p>
    <w:p>
      <w:pPr>
        <w:spacing w:after="140"/>
        <w:jc w:val="both"/>
      </w:pPr>
      <w:r>
        <w:rPr>
          <w:sz w:val="21"/>
          <w:szCs w:val="21"/>
        </w:rPr>
        <w:t xml:space="preserve">SiteChat is proposed as a real-time, site-scoped communication platform built on React (TypeScript), Flutter and Firebase, integrated with existing CleanTasker APIs via an Azure-hosted backend. Each client site has its own isolated, secured chat room combining human messages with system-generated operational alerts, so cleaners, supervisors, managers and clients see a single, auditable communication trail per site.</w:t>
      </w:r>
    </w:p>
    <w:p>
      <w:pPr>
        <w:spacing w:after="140"/>
        <w:jc w:val="both"/>
      </w:pPr>
      <w:r>
        <w:rPr>
          <w:sz w:val="21"/>
          <w:szCs w:val="21"/>
        </w:rPr>
        <w:t xml:space="preserve">This report builds on the Semester 1 analysis and design (project charter, stakeholder analysis, requirements specification, architecture and risk register) and extends it into a full industry project report: an updated business case, a technology landscape analysis, a refined solution design and cost model, and a working proof of concept demonstrating real-time, access-controlled messaging.</w:t>
      </w:r>
    </w:p>
    <w:p>
      <w:pPr>
        <w:spacing w:after="140"/>
        <w:jc w:val="both"/>
      </w:pPr>
      <w:r>
        <w:rPr>
          <w:sz w:val="21"/>
          <w:szCs w:val="21"/>
        </w:rPr>
        <w:t xml:space="preserve">The proof of concept, to be evaluated against measured KPIs in Week 8, is expected to demonstrate that Firestore-based multi-tenant isolation and sub-2-second message delivery are both technically achievable within the team's skill set and budget.</w:t>
      </w:r>
    </w:p>
    <w:p>
      <w:pPr>
        <w:spacing w:after="140"/>
        <w:jc w:val="both"/>
      </w:pPr>
      <w:r>
        <w:rPr>
          <w:sz w:val="21"/>
          <w:szCs w:val="21"/>
        </w:rPr>
        <w:t xml:space="preserve">We recommend Crennotech proceed to a funded pilot of SiteChat across a limited set of sites in Semester 2 following successful completion of this proof of concept, with Firestore security-rule testing treated as a gating requirement before any further build work.</w:t>
      </w:r>
    </w:p>
    <w:p>
      <w:pPr>
        <w:pStyle w:val="Heading1"/>
        <w:spacing w:after="120" w:before="280"/>
      </w:pPr>
      <w:r>
        <w:rPr>
          <w:b/>
          <w:bCs/>
          <w:color w:val="1F3864"/>
          <w:sz w:val="30"/>
          <w:szCs w:val="30"/>
        </w:rPr>
        <w:t xml:space="preserve">1. Introduction</w:t>
      </w:r>
    </w:p>
    <w:p>
      <w:pPr>
        <w:pStyle w:val="Heading2"/>
        <w:spacing w:after="100" w:before="200"/>
      </w:pPr>
      <w:r>
        <w:rPr>
          <w:b/>
          <w:bCs/>
          <w:color w:val="1F3864"/>
          <w:sz w:val="24"/>
          <w:szCs w:val="24"/>
        </w:rPr>
        <w:t xml:space="preserve">1.1 Business Context &amp; Problem Statement</w:t>
      </w:r>
    </w:p>
    <w:p>
      <w:pPr>
        <w:spacing w:after="140"/>
        <w:jc w:val="both"/>
      </w:pPr>
      <w:r>
        <w:rPr>
          <w:sz w:val="21"/>
          <w:szCs w:val="21"/>
        </w:rPr>
        <w:t xml:space="preserve">Crennotech Pty Ltd is a Brisbane-based technology company behind CleanTasker, a management platform used by commercial cleaning agencies across Australia and New Zealand to schedule jobs, manage staff and administer contracts. Site-level communication — between cleaners, supervisors, managers and clients — currently happens outside CleanTasker, through personal phone calls, SMS and informal messaging apps.</w:t>
      </w:r>
    </w:p>
    <w:p>
      <w:pPr>
        <w:spacing w:after="140"/>
        <w:jc w:val="both"/>
      </w:pPr>
      <w:r>
        <w:rPr>
          <w:sz w:val="21"/>
          <w:szCs w:val="21"/>
        </w:rPr>
        <w:t xml:space="preserve">This creates three quantifiable problems: (1) operational alerts such as overdue tasks or failed inspections are not reliably seen by the right person, since there is no shared channel tied to the relevant site; (2) there is no audit trail of site-level communication, which matters when a client disputes whether an issue was raised or actioned; and (3) onboarding a new site currently requires staff to set up ad-hoc phone/SMS groups manually, adding delay before a site becomes fully operational.</w:t>
      </w:r>
    </w:p>
    <w:p>
      <w:pPr>
        <w:spacing w:after="140"/>
        <w:jc w:val="both"/>
      </w:pPr>
      <w:r>
        <w:rPr>
          <w:sz w:val="21"/>
          <w:szCs w:val="21"/>
        </w:rPr>
        <w:t xml:space="preserve">Because site communication may reference client-confidential operational data (schedules, access details, incident reports), any solution must enforce strict per-site data isolation and control access by role — the same cybersecurity lens applied throughout Semester 1.</w:t>
      </w:r>
    </w:p>
    <w:p>
      <w:pPr>
        <w:pStyle w:val="Heading2"/>
        <w:spacing w:after="100" w:before="200"/>
      </w:pPr>
      <w:r>
        <w:rPr>
          <w:b/>
          <w:bCs/>
          <w:color w:val="1F3864"/>
          <w:sz w:val="24"/>
          <w:szCs w:val="24"/>
        </w:rPr>
        <w:t xml:space="preserve">1.2 Goals, Objectives &amp; Success Criteria</w:t>
      </w:r>
    </w:p>
    <w:p>
      <w:pPr>
        <w:pStyle w:val="ListParagraph"/>
        <w:numPr>
          <w:ilvl w:val="0"/>
          <w:numId w:val="1"/>
        </w:numPr>
        <w:spacing w:after="70"/>
      </w:pPr>
      <w:r>
        <w:rPr>
          <w:sz w:val="21"/>
          <w:szCs w:val="21"/>
        </w:rPr>
        <w:t xml:space="preserve">O1 [Design]: By Week 7, finalise the SiteChat solution architecture, technology stack, and cost model, peer-reviewed by the team and approved by the supervisor.</w:t>
      </w:r>
    </w:p>
    <w:p>
      <w:pPr>
        <w:pStyle w:val="ListParagraph"/>
        <w:numPr>
          <w:ilvl w:val="0"/>
          <w:numId w:val="1"/>
        </w:numPr>
        <w:spacing w:after="70"/>
      </w:pPr>
      <w:r>
        <w:rPr>
          <w:sz w:val="21"/>
          <w:szCs w:val="21"/>
        </w:rPr>
        <w:t xml:space="preserve">O2 [Analyse]: By Week 7, complete a technology and market survey of at least 3–4 comparable site-communication tools, with a gap analysis linking each gap to the proposed solution.</w:t>
      </w:r>
    </w:p>
    <w:p>
      <w:pPr>
        <w:pStyle w:val="ListParagraph"/>
        <w:numPr>
          <w:ilvl w:val="0"/>
          <w:numId w:val="1"/>
        </w:numPr>
        <w:spacing w:after="70"/>
      </w:pPr>
      <w:r>
        <w:rPr>
          <w:sz w:val="21"/>
          <w:szCs w:val="21"/>
        </w:rPr>
        <w:t xml:space="preserve">O3 [Build]: By Week 8, implement a working proof of concept demonstrating real-time, access-controlled messaging within a single Firestore-secured site room, using synthetic data only.</w:t>
      </w:r>
    </w:p>
    <w:p>
      <w:pPr>
        <w:pStyle w:val="ListParagraph"/>
        <w:numPr>
          <w:ilvl w:val="0"/>
          <w:numId w:val="1"/>
        </w:numPr>
        <w:spacing w:after="70"/>
      </w:pPr>
      <w:r>
        <w:rPr>
          <w:sz w:val="21"/>
          <w:szCs w:val="21"/>
        </w:rPr>
        <w:t xml:space="preserve">O4 [Evaluate]: By Week 8, measure PoC performance against at least 2 KPIs — message delivery latency and Firestore security-rule test pass rate.</w:t>
      </w:r>
    </w:p>
    <w:p>
      <w:pPr>
        <w:spacing w:after="140"/>
        <w:jc w:val="both"/>
      </w:pPr>
      <w:r>
        <w:rPr>
          <w:sz w:val="21"/>
          <w:szCs w:val="21"/>
        </w:rPr>
        <w:t xml:space="preserve">Success criteria:</w:t>
      </w:r>
    </w:p>
    <w:p>
      <w:pPr>
        <w:pStyle w:val="ListParagraph"/>
        <w:numPr>
          <w:ilvl w:val="0"/>
          <w:numId w:val="1"/>
        </w:numPr>
        <w:spacing w:after="70"/>
      </w:pPr>
      <w:r>
        <w:rPr>
          <w:sz w:val="21"/>
          <w:szCs w:val="21"/>
        </w:rPr>
        <w:t xml:space="preserve">PoC delivers messages to all connected participants within 2 seconds under normal load.</w:t>
      </w:r>
    </w:p>
    <w:p>
      <w:pPr>
        <w:pStyle w:val="ListParagraph"/>
        <w:numPr>
          <w:ilvl w:val="0"/>
          <w:numId w:val="1"/>
        </w:numPr>
        <w:spacing w:after="70"/>
      </w:pPr>
      <w:r>
        <w:rPr>
          <w:sz w:val="21"/>
          <w:szCs w:val="21"/>
        </w:rPr>
        <w:t xml:space="preserve">100% of automated Firestore security-rule tests pass, with no cross-site data access possible.</w:t>
      </w:r>
    </w:p>
    <w:p>
      <w:pPr>
        <w:pStyle w:val="ListParagraph"/>
        <w:numPr>
          <w:ilvl w:val="0"/>
          <w:numId w:val="1"/>
        </w:numPr>
        <w:spacing w:after="70"/>
      </w:pPr>
      <w:r>
        <w:rPr>
          <w:sz w:val="21"/>
          <w:szCs w:val="21"/>
        </w:rPr>
        <w:t xml:space="preserve">Cost model validated against real Firebase and Azure pricing calculators, not estimated figures.</w:t>
      </w:r>
    </w:p>
    <w:p>
      <w:pPr>
        <w:pStyle w:val="Heading2"/>
        <w:spacing w:after="100" w:before="200"/>
      </w:pPr>
      <w:r>
        <w:rPr>
          <w:b/>
          <w:bCs/>
          <w:color w:val="1F3864"/>
          <w:sz w:val="24"/>
          <w:szCs w:val="24"/>
        </w:rPr>
        <w:t xml:space="preserve">1.3 Project Scope</w:t>
      </w:r>
    </w:p>
    <w:p>
      <w:pPr>
        <w:pStyle w:val="Heading3"/>
        <w:spacing w:after="80" w:before="150"/>
      </w:pPr>
      <w:r>
        <w:rPr>
          <w:b/>
          <w:bCs/>
          <w:i/>
          <w:iCs/>
          <w:color w:val="44546A"/>
          <w:sz w:val="21"/>
          <w:szCs w:val="21"/>
        </w:rPr>
        <w:t xml:space="preserve">In Scope</w:t>
      </w:r>
    </w:p>
    <w:p>
      <w:pPr>
        <w:pStyle w:val="ListParagraph"/>
        <w:numPr>
          <w:ilvl w:val="0"/>
          <w:numId w:val="1"/>
        </w:numPr>
        <w:spacing w:after="70"/>
      </w:pPr>
      <w:r>
        <w:rPr>
          <w:sz w:val="21"/>
          <w:szCs w:val="21"/>
        </w:rPr>
        <w:t xml:space="preserve">Technology and market landscape analysis for site-level communication tools.</w:t>
      </w:r>
    </w:p>
    <w:p>
      <w:pPr>
        <w:pStyle w:val="ListParagraph"/>
        <w:numPr>
          <w:ilvl w:val="0"/>
          <w:numId w:val="1"/>
        </w:numPr>
        <w:spacing w:after="70"/>
      </w:pPr>
      <w:r>
        <w:rPr>
          <w:sz w:val="21"/>
          <w:szCs w:val="21"/>
        </w:rPr>
        <w:t xml:space="preserve">Refinement of the SiteChat architecture, Firestore data model and security rules from Semester 1.</w:t>
      </w:r>
    </w:p>
    <w:p>
      <w:pPr>
        <w:pStyle w:val="ListParagraph"/>
        <w:numPr>
          <w:ilvl w:val="0"/>
          <w:numId w:val="1"/>
        </w:numPr>
        <w:spacing w:after="70"/>
      </w:pPr>
      <w:r>
        <w:rPr>
          <w:sz w:val="21"/>
          <w:szCs w:val="21"/>
        </w:rPr>
        <w:t xml:space="preserve">A working proof of concept for one core feature: real-time, site-scoped messaging with access control.</w:t>
      </w:r>
    </w:p>
    <w:p>
      <w:pPr>
        <w:pStyle w:val="ListParagraph"/>
        <w:numPr>
          <w:ilvl w:val="0"/>
          <w:numId w:val="1"/>
        </w:numPr>
        <w:spacing w:after="70"/>
      </w:pPr>
      <w:r>
        <w:rPr>
          <w:sz w:val="21"/>
          <w:szCs w:val="21"/>
        </w:rPr>
        <w:t xml:space="preserve">Cost-benefit analysis and feasibility study for a limited-site pilot deployment.</w:t>
      </w:r>
    </w:p>
    <w:p>
      <w:pPr>
        <w:pStyle w:val="Heading3"/>
        <w:spacing w:after="80" w:before="150"/>
      </w:pPr>
      <w:r>
        <w:rPr>
          <w:b/>
          <w:bCs/>
          <w:i/>
          <w:iCs/>
          <w:color w:val="44546A"/>
          <w:sz w:val="21"/>
          <w:szCs w:val="21"/>
        </w:rPr>
        <w:t xml:space="preserve">Out of Scope</w:t>
      </w:r>
    </w:p>
    <w:p>
      <w:pPr>
        <w:pStyle w:val="ListParagraph"/>
        <w:numPr>
          <w:ilvl w:val="0"/>
          <w:numId w:val="1"/>
        </w:numPr>
        <w:spacing w:after="70"/>
      </w:pPr>
      <w:r>
        <w:rPr>
          <w:sz w:val="21"/>
          <w:szCs w:val="21"/>
        </w:rPr>
        <w:t xml:space="preserve">Full production deployment of SiteChat (proof of concept only).</w:t>
      </w:r>
    </w:p>
    <w:p>
      <w:pPr>
        <w:pStyle w:val="ListParagraph"/>
        <w:numPr>
          <w:ilvl w:val="0"/>
          <w:numId w:val="1"/>
        </w:numPr>
        <w:spacing w:after="70"/>
      </w:pPr>
      <w:r>
        <w:rPr>
          <w:sz w:val="21"/>
          <w:szCs w:val="21"/>
        </w:rPr>
        <w:t xml:space="preserve">Integration with real, live CleanTasker data or production client sites.</w:t>
      </w:r>
    </w:p>
    <w:p>
      <w:pPr>
        <w:pStyle w:val="ListParagraph"/>
        <w:numPr>
          <w:ilvl w:val="0"/>
          <w:numId w:val="1"/>
        </w:numPr>
        <w:spacing w:after="70"/>
      </w:pPr>
      <w:r>
        <w:rPr>
          <w:sz w:val="21"/>
          <w:szCs w:val="21"/>
        </w:rPr>
        <w:t xml:space="preserve">Attachments, notifications and system-message features beyond the core messaging PoC (documented as future work).</w:t>
      </w:r>
    </w:p>
    <w:p>
      <w:pPr>
        <w:pStyle w:val="Heading3"/>
        <w:spacing w:after="80" w:before="150"/>
      </w:pPr>
      <w:r>
        <w:rPr>
          <w:b/>
          <w:bCs/>
          <w:i/>
          <w:iCs/>
          <w:color w:val="44546A"/>
          <w:sz w:val="21"/>
          <w:szCs w:val="21"/>
        </w:rPr>
        <w:t xml:space="preserve">Assumptions</w:t>
      </w:r>
    </w:p>
    <w:p>
      <w:pPr>
        <w:pStyle w:val="ListParagraph"/>
        <w:numPr>
          <w:ilvl w:val="0"/>
          <w:numId w:val="1"/>
        </w:numPr>
        <w:spacing w:after="70"/>
      </w:pPr>
      <w:r>
        <w:rPr>
          <w:sz w:val="21"/>
          <w:szCs w:val="21"/>
        </w:rPr>
        <w:t xml:space="preserve">The team retains access to a Firebase Spark/Blaze development project and Azure trial credit for the PoC.</w:t>
      </w:r>
    </w:p>
    <w:p>
      <w:pPr>
        <w:pStyle w:val="ListParagraph"/>
        <w:numPr>
          <w:ilvl w:val="0"/>
          <w:numId w:val="1"/>
        </w:numPr>
        <w:spacing w:after="70"/>
      </w:pPr>
      <w:r>
        <w:rPr>
          <w:sz w:val="21"/>
          <w:szCs w:val="21"/>
        </w:rPr>
        <w:t xml:space="preserve">Team members retain baseline proficiency in React, Flutter and Firebase from Semester 1 SRS work.</w:t>
      </w:r>
    </w:p>
    <w:p>
      <w:pPr>
        <w:pStyle w:val="Heading3"/>
        <w:spacing w:after="80" w:before="150"/>
      </w:pPr>
      <w:r>
        <w:rPr>
          <w:b/>
          <w:bCs/>
          <w:i/>
          <w:iCs/>
          <w:color w:val="44546A"/>
          <w:sz w:val="21"/>
          <w:szCs w:val="21"/>
        </w:rPr>
        <w:t xml:space="preserve">Constraints</w:t>
      </w:r>
    </w:p>
    <w:p>
      <w:pPr>
        <w:pStyle w:val="ListParagraph"/>
        <w:numPr>
          <w:ilvl w:val="0"/>
          <w:numId w:val="1"/>
        </w:numPr>
        <w:spacing w:after="70"/>
      </w:pPr>
      <w:r>
        <w:rPr>
          <w:sz w:val="21"/>
          <w:szCs w:val="21"/>
        </w:rPr>
        <w:t xml:space="preserve">Three-week timeline (Weeks 6–8) to complete the full Assessment 2 report and PoC.</w:t>
      </w:r>
    </w:p>
    <w:p>
      <w:pPr>
        <w:pStyle w:val="ListParagraph"/>
        <w:numPr>
          <w:ilvl w:val="0"/>
          <w:numId w:val="1"/>
        </w:numPr>
        <w:spacing w:after="70"/>
      </w:pPr>
      <w:r>
        <w:rPr>
          <w:sz w:val="21"/>
          <w:szCs w:val="21"/>
        </w:rPr>
        <w:t xml:space="preserve">PoC data must be synthetic or de-identified — no real CleanTasker client data.</w:t>
      </w:r>
    </w:p>
    <w:p>
      <w:pPr>
        <w:pStyle w:val="ListParagraph"/>
        <w:numPr>
          <w:ilvl w:val="0"/>
          <w:numId w:val="1"/>
        </w:numPr>
        <w:spacing w:after="70"/>
      </w:pPr>
      <w:r>
        <w:rPr>
          <w:sz w:val="21"/>
          <w:szCs w:val="21"/>
        </w:rPr>
        <w:t xml:space="preserve">Must comply with the Privacy Act 1988 and Crennotech's existing confidentiality obligations.</w:t>
      </w:r>
    </w:p>
    <w:p>
      <w:pPr>
        <w:pStyle w:val="Heading1"/>
        <w:spacing w:after="120" w:before="280"/>
      </w:pPr>
      <w:r>
        <w:rPr>
          <w:b/>
          <w:bCs/>
          <w:color w:val="1F3864"/>
          <w:sz w:val="30"/>
          <w:szCs w:val="30"/>
        </w:rPr>
        <w:t xml:space="preserve">2. Project Planning</w:t>
      </w:r>
    </w:p>
    <w:p>
      <w:pPr>
        <w:pStyle w:val="Heading2"/>
        <w:spacing w:after="100" w:before="200"/>
      </w:pPr>
      <w:r>
        <w:rPr>
          <w:b/>
          <w:bCs/>
          <w:color w:val="1F3864"/>
          <w:sz w:val="24"/>
          <w:szCs w:val="24"/>
        </w:rPr>
        <w:t xml:space="preserve">2.1 Project Charter</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c>
          <w:tcPr>
            <w:tcW w:type="dxa" w:w="2600"/>
            <w:shd w:fill="1F3864" w:val="clear"/>
            <w:tcMar>
              <w:top w:type="dxa" w:w="60"/>
              <w:left w:type="dxa" w:w="90"/>
              <w:bottom w:type="dxa" w:w="60"/>
              <w:right w:type="dxa" w:w="90"/>
            </w:tcMar>
          </w:tcPr>
          <w:p>
            <w:r>
              <w:rPr>
                <w:b/>
                <w:bCs/>
                <w:color w:val="FFFFFF"/>
                <w:sz w:val="18"/>
                <w:szCs w:val="18"/>
              </w:rPr>
              <w:t xml:space="preserve">Field</w:t>
            </w:r>
          </w:p>
        </w:tc>
        <w:tc>
          <w:tcPr>
            <w:tcW w:type="dxa" w:w="6300"/>
            <w:shd w:fill="1F3864" w:val="clear"/>
            <w:tcMar>
              <w:top w:type="dxa" w:w="60"/>
              <w:left w:type="dxa" w:w="90"/>
              <w:bottom w:type="dxa" w:w="60"/>
              <w:right w:type="dxa" w:w="90"/>
            </w:tcMar>
          </w:tcPr>
          <w:p>
            <w:r>
              <w:rPr>
                <w:b/>
                <w:bCs/>
                <w:color w:val="FFFFFF"/>
                <w:sz w:val="18"/>
                <w:szCs w:val="18"/>
              </w:rPr>
              <w:t xml:space="preserve">Details</w:t>
            </w:r>
          </w:p>
        </w:tc>
      </w:tr>
      <w:tr>
        <w:tc>
          <w:tcPr>
            <w:tcW w:type="dxa" w:w="2600"/>
            <w:tcMar>
              <w:top w:type="dxa" w:w="60"/>
              <w:left w:type="dxa" w:w="90"/>
              <w:bottom w:type="dxa" w:w="60"/>
              <w:right w:type="dxa" w:w="90"/>
            </w:tcMar>
          </w:tcPr>
          <w:p>
            <w:r>
              <w:rPr>
                <w:b w:val="false"/>
                <w:bCs w:val="false"/>
                <w:sz w:val="18"/>
                <w:szCs w:val="18"/>
              </w:rPr>
              <w:t xml:space="preserve">Project title</w:t>
            </w:r>
          </w:p>
        </w:tc>
        <w:tc>
          <w:tcPr>
            <w:tcW w:type="dxa" w:w="6300"/>
            <w:tcMar>
              <w:top w:type="dxa" w:w="60"/>
              <w:left w:type="dxa" w:w="90"/>
              <w:bottom w:type="dxa" w:w="60"/>
              <w:right w:type="dxa" w:w="90"/>
            </w:tcMar>
          </w:tcPr>
          <w:p>
            <w:r>
              <w:rPr>
                <w:b w:val="false"/>
                <w:bCs w:val="false"/>
                <w:sz w:val="18"/>
                <w:szCs w:val="18"/>
              </w:rPr>
              <w:t xml:space="preserve">SiteChat — Real-Time Site Communication Platform for CleanTasker</w:t>
            </w:r>
          </w:p>
        </w:tc>
      </w:tr>
      <w:tr>
        <w:tc>
          <w:tcPr>
            <w:tcW w:type="dxa" w:w="2600"/>
            <w:tcMar>
              <w:top w:type="dxa" w:w="60"/>
              <w:left w:type="dxa" w:w="90"/>
              <w:bottom w:type="dxa" w:w="60"/>
              <w:right w:type="dxa" w:w="90"/>
            </w:tcMar>
          </w:tcPr>
          <w:p>
            <w:r>
              <w:rPr>
                <w:b w:val="false"/>
                <w:bCs w:val="false"/>
                <w:sz w:val="18"/>
                <w:szCs w:val="18"/>
              </w:rPr>
              <w:t xml:space="preserve">Sponsor</w:t>
            </w:r>
          </w:p>
        </w:tc>
        <w:tc>
          <w:tcPr>
            <w:tcW w:type="dxa" w:w="6300"/>
            <w:tcMar>
              <w:top w:type="dxa" w:w="60"/>
              <w:left w:type="dxa" w:w="90"/>
              <w:bottom w:type="dxa" w:w="60"/>
              <w:right w:type="dxa" w:w="90"/>
            </w:tcMar>
          </w:tcPr>
          <w:p>
            <w:r>
              <w:rPr>
                <w:b w:val="false"/>
                <w:bCs w:val="false"/>
                <w:sz w:val="18"/>
                <w:szCs w:val="18"/>
              </w:rPr>
              <w:t xml:space="preserve">Crennotech Pty Ltd (client mentor: Kiran Vilasagaram)</w:t>
            </w:r>
          </w:p>
        </w:tc>
      </w:tr>
      <w:tr>
        <w:tc>
          <w:tcPr>
            <w:tcW w:type="dxa" w:w="2600"/>
            <w:tcMar>
              <w:top w:type="dxa" w:w="60"/>
              <w:left w:type="dxa" w:w="90"/>
              <w:bottom w:type="dxa" w:w="60"/>
              <w:right w:type="dxa" w:w="90"/>
            </w:tcMar>
          </w:tcPr>
          <w:p>
            <w:r>
              <w:rPr>
                <w:b w:val="false"/>
                <w:bCs w:val="false"/>
                <w:sz w:val="18"/>
                <w:szCs w:val="18"/>
              </w:rPr>
              <w:t xml:space="preserve">Project Manager</w:t>
            </w:r>
          </w:p>
        </w:tc>
        <w:tc>
          <w:tcPr>
            <w:tcW w:type="dxa" w:w="6300"/>
            <w:tcMar>
              <w:top w:type="dxa" w:w="60"/>
              <w:left w:type="dxa" w:w="90"/>
              <w:bottom w:type="dxa" w:w="60"/>
              <w:right w:type="dxa" w:w="90"/>
            </w:tcMar>
          </w:tcPr>
          <w:p>
            <w:r>
              <w:rPr>
                <w:b w:val="false"/>
                <w:bCs w:val="false"/>
                <w:sz w:val="18"/>
                <w:szCs w:val="18"/>
              </w:rPr>
              <w:t xml:space="preserve">Amrit Dahal</w:t>
            </w:r>
          </w:p>
        </w:tc>
      </w:tr>
      <w:tr>
        <w:tc>
          <w:tcPr>
            <w:tcW w:type="dxa" w:w="2600"/>
            <w:tcMar>
              <w:top w:type="dxa" w:w="60"/>
              <w:left w:type="dxa" w:w="90"/>
              <w:bottom w:type="dxa" w:w="60"/>
              <w:right w:type="dxa" w:w="90"/>
            </w:tcMar>
          </w:tcPr>
          <w:p>
            <w:r>
              <w:rPr>
                <w:b w:val="false"/>
                <w:bCs w:val="false"/>
                <w:sz w:val="18"/>
                <w:szCs w:val="18"/>
              </w:rPr>
              <w:t xml:space="preserve">Duration</w:t>
            </w:r>
          </w:p>
        </w:tc>
        <w:tc>
          <w:tcPr>
            <w:tcW w:type="dxa" w:w="6300"/>
            <w:tcMar>
              <w:top w:type="dxa" w:w="60"/>
              <w:left w:type="dxa" w:w="90"/>
              <w:bottom w:type="dxa" w:w="60"/>
              <w:right w:type="dxa" w:w="90"/>
            </w:tcMar>
          </w:tcPr>
          <w:p>
            <w:r>
              <w:rPr>
                <w:b w:val="false"/>
                <w:bCs w:val="false"/>
                <w:sz w:val="18"/>
                <w:szCs w:val="18"/>
              </w:rPr>
              <w:t xml:space="preserve">Weeks 6–8 (24 August – 13 September 2026)</w:t>
            </w:r>
          </w:p>
        </w:tc>
      </w:tr>
      <w:tr>
        <w:tc>
          <w:tcPr>
            <w:tcW w:type="dxa" w:w="2600"/>
            <w:tcMar>
              <w:top w:type="dxa" w:w="60"/>
              <w:left w:type="dxa" w:w="90"/>
              <w:bottom w:type="dxa" w:w="60"/>
              <w:right w:type="dxa" w:w="90"/>
            </w:tcMar>
          </w:tcPr>
          <w:p>
            <w:r>
              <w:rPr>
                <w:b w:val="false"/>
                <w:bCs w:val="false"/>
                <w:sz w:val="18"/>
                <w:szCs w:val="18"/>
              </w:rPr>
              <w:t xml:space="preserve">Budget</w:t>
            </w:r>
          </w:p>
        </w:tc>
        <w:tc>
          <w:tcPr>
            <w:tcW w:type="dxa" w:w="6300"/>
            <w:tcMar>
              <w:top w:type="dxa" w:w="60"/>
              <w:left w:type="dxa" w:w="90"/>
              <w:bottom w:type="dxa" w:w="60"/>
              <w:right w:type="dxa" w:w="90"/>
            </w:tcMar>
          </w:tcPr>
          <w:p>
            <w:r>
              <w:rPr>
                <w:b w:val="false"/>
                <w:bCs w:val="false"/>
                <w:sz w:val="18"/>
                <w:szCs w:val="18"/>
              </w:rPr>
              <w:t xml:space="preserve">Firebase Spark/Blaze development tier + Azure trial credit; no capital budget for Semester 2 pilot at this stage</w:t>
            </w:r>
          </w:p>
        </w:tc>
      </w:tr>
      <w:tr>
        <w:tc>
          <w:tcPr>
            <w:tcW w:type="dxa" w:w="2600"/>
            <w:tcMar>
              <w:top w:type="dxa" w:w="60"/>
              <w:left w:type="dxa" w:w="90"/>
              <w:bottom w:type="dxa" w:w="60"/>
              <w:right w:type="dxa" w:w="90"/>
            </w:tcMar>
          </w:tcPr>
          <w:p>
            <w:r>
              <w:rPr>
                <w:b w:val="false"/>
                <w:bCs w:val="false"/>
                <w:sz w:val="18"/>
                <w:szCs w:val="18"/>
              </w:rPr>
              <w:t xml:space="preserve">Scope summary</w:t>
            </w:r>
          </w:p>
        </w:tc>
        <w:tc>
          <w:tcPr>
            <w:tcW w:type="dxa" w:w="6300"/>
            <w:tcMar>
              <w:top w:type="dxa" w:w="60"/>
              <w:left w:type="dxa" w:w="90"/>
              <w:bottom w:type="dxa" w:w="60"/>
              <w:right w:type="dxa" w:w="90"/>
            </w:tcMar>
          </w:tcPr>
          <w:p>
            <w:r>
              <w:rPr>
                <w:b w:val="false"/>
                <w:bCs w:val="false"/>
                <w:sz w:val="18"/>
                <w:szCs w:val="18"/>
              </w:rPr>
              <w:t xml:space="preserve">Landscape analysis, solution design refinement, cost model, and a working PoC for real-time site-scoped messaging</w:t>
            </w:r>
          </w:p>
        </w:tc>
      </w:tr>
      <w:tr>
        <w:tc>
          <w:tcPr>
            <w:tcW w:type="dxa" w:w="2600"/>
            <w:tcMar>
              <w:top w:type="dxa" w:w="60"/>
              <w:left w:type="dxa" w:w="90"/>
              <w:bottom w:type="dxa" w:w="60"/>
              <w:right w:type="dxa" w:w="90"/>
            </w:tcMar>
          </w:tcPr>
          <w:p>
            <w:r>
              <w:rPr>
                <w:b w:val="false"/>
                <w:bCs w:val="false"/>
                <w:sz w:val="18"/>
                <w:szCs w:val="18"/>
              </w:rPr>
              <w:t xml:space="preserve">Key stakeholders</w:t>
            </w:r>
          </w:p>
        </w:tc>
        <w:tc>
          <w:tcPr>
            <w:tcW w:type="dxa" w:w="6300"/>
            <w:tcMar>
              <w:top w:type="dxa" w:w="60"/>
              <w:left w:type="dxa" w:w="90"/>
              <w:bottom w:type="dxa" w:w="60"/>
              <w:right w:type="dxa" w:w="90"/>
            </w:tcMar>
          </w:tcPr>
          <w:p>
            <w:r>
              <w:rPr>
                <w:b w:val="false"/>
                <w:bCs w:val="false"/>
                <w:sz w:val="18"/>
                <w:szCs w:val="18"/>
              </w:rPr>
              <w:t xml:space="preserve">Crennotech sponsor, CleanTasker Dev/API team, cleaning supervisors and staff, commercial clients, CIHE project team</w:t>
            </w:r>
          </w:p>
        </w:tc>
      </w:tr>
      <w:tr>
        <w:tc>
          <w:tcPr>
            <w:tcW w:type="dxa" w:w="2600"/>
            <w:tcMar>
              <w:top w:type="dxa" w:w="60"/>
              <w:left w:type="dxa" w:w="90"/>
              <w:bottom w:type="dxa" w:w="60"/>
              <w:right w:type="dxa" w:w="90"/>
            </w:tcMar>
          </w:tcPr>
          <w:p>
            <w:r>
              <w:rPr>
                <w:b w:val="false"/>
                <w:bCs w:val="false"/>
                <w:sz w:val="18"/>
                <w:szCs w:val="18"/>
              </w:rPr>
              <w:t xml:space="preserve">Acceptance criteria</w:t>
            </w:r>
          </w:p>
        </w:tc>
        <w:tc>
          <w:tcPr>
            <w:tcW w:type="dxa" w:w="6300"/>
            <w:tcMar>
              <w:top w:type="dxa" w:w="60"/>
              <w:left w:type="dxa" w:w="90"/>
              <w:bottom w:type="dxa" w:w="60"/>
              <w:right w:type="dxa" w:w="90"/>
            </w:tcMar>
          </w:tcPr>
          <w:p>
            <w:r>
              <w:rPr>
                <w:b w:val="false"/>
                <w:bCs w:val="false"/>
                <w:sz w:val="18"/>
                <w:szCs w:val="18"/>
              </w:rPr>
              <w:t xml:space="preserve">PoC meets the KPIs in Section 1.2; report meets the Assessment 2 word count, structure and referencing requirements</w:t>
            </w:r>
          </w:p>
        </w:tc>
      </w:tr>
      <w:tr>
        <w:tc>
          <w:tcPr>
            <w:tcW w:type="dxa" w:w="2600"/>
            <w:tcMar>
              <w:top w:type="dxa" w:w="60"/>
              <w:left w:type="dxa" w:w="90"/>
              <w:bottom w:type="dxa" w:w="60"/>
              <w:right w:type="dxa" w:w="90"/>
            </w:tcMar>
          </w:tcPr>
          <w:p>
            <w:r>
              <w:rPr>
                <w:b w:val="false"/>
                <w:bCs w:val="false"/>
                <w:sz w:val="18"/>
                <w:szCs w:val="18"/>
              </w:rPr>
              <w:t xml:space="preserve">Delegated authority</w:t>
            </w:r>
          </w:p>
        </w:tc>
        <w:tc>
          <w:tcPr>
            <w:tcW w:type="dxa" w:w="6300"/>
            <w:tcMar>
              <w:top w:type="dxa" w:w="60"/>
              <w:left w:type="dxa" w:w="90"/>
              <w:bottom w:type="dxa" w:w="60"/>
              <w:right w:type="dxa" w:w="90"/>
            </w:tcMar>
          </w:tcPr>
          <w:p>
            <w:r>
              <w:rPr>
                <w:b w:val="false"/>
                <w:bCs w:val="false"/>
                <w:sz w:val="18"/>
                <w:szCs w:val="18"/>
              </w:rPr>
              <w:t xml:space="preserve">Project Manager may re-baseline the Week 6–8 schedule in Jira on unresolved supervisor escalation</w:t>
            </w:r>
          </w:p>
        </w:tc>
      </w:tr>
    </w:tbl>
    <w:p>
      <w:pPr>
        <w:pStyle w:val="Heading2"/>
        <w:spacing w:after="100" w:before="200"/>
      </w:pPr>
      <w:r>
        <w:rPr>
          <w:b/>
          <w:bCs/>
          <w:color w:val="1F3864"/>
          <w:sz w:val="24"/>
          <w:szCs w:val="24"/>
        </w:rPr>
        <w:t xml:space="preserve">2.2 Project Roadmap</w:t>
      </w:r>
    </w:p>
    <w:p>
      <w:pPr>
        <w:spacing w:after="140"/>
        <w:jc w:val="both"/>
      </w:pPr>
      <w:r>
        <w:rPr>
          <w:sz w:val="21"/>
          <w:szCs w:val="21"/>
        </w:rPr>
        <w:t xml:space="preserve">The roadmap follows the three-week Assessment 2 window: Week 6 (24–30 Aug) covers the business case and planning artefacts in this document; Week 7 (31 Aug–6 Sept) covers the landscape analysis, solution design and PoC start; Week 8 (7–13 Sept) covers the PoC build, evaluation, and final report compilation. The critical path runs through the PoC build in Week 8: any delay to the Week 7 PoC scaffold directly threatens the Week 8 KPI evaluation and final submission, so the team's contingency is to fix the PoC scope to a single feature (site-scoped messaging) at Week 6 kick-off rather than expanding it later. Full task-level dates are tracked in the accompanying Jira &amp; GitHub Schedule document.</w:t>
      </w:r>
    </w:p>
    <w:p>
      <w:pPr>
        <w:pStyle w:val="Heading2"/>
        <w:spacing w:after="100" w:before="200"/>
      </w:pPr>
      <w:r>
        <w:rPr>
          <w:b/>
          <w:bCs/>
          <w:color w:val="1F3864"/>
          <w:sz w:val="24"/>
          <w:szCs w:val="24"/>
        </w:rPr>
        <w:t xml:space="preserve">2.3 Team Roles &amp; RACI Matrix</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1650"/>
        <w:gridCol w:w="1650"/>
        <w:gridCol w:w="1650"/>
        <w:gridCol w:w="1650"/>
      </w:tblGrid>
      <w:tr>
        <w:tc>
          <w:tcPr>
            <w:tcW w:type="dxa" w:w="2700"/>
            <w:shd w:fill="1F3864" w:val="clear"/>
            <w:tcMar>
              <w:top w:type="dxa" w:w="60"/>
              <w:left w:type="dxa" w:w="90"/>
              <w:bottom w:type="dxa" w:w="60"/>
              <w:right w:type="dxa" w:w="90"/>
            </w:tcMar>
          </w:tcPr>
          <w:p>
            <w:r>
              <w:rPr>
                <w:b/>
                <w:bCs/>
                <w:color w:val="FFFFFF"/>
                <w:sz w:val="18"/>
                <w:szCs w:val="18"/>
              </w:rPr>
              <w:t xml:space="preserve">Deliverable</w:t>
            </w:r>
          </w:p>
        </w:tc>
        <w:tc>
          <w:tcPr>
            <w:tcW w:type="dxa" w:w="1650"/>
            <w:shd w:fill="1F3864" w:val="clear"/>
            <w:tcMar>
              <w:top w:type="dxa" w:w="60"/>
              <w:left w:type="dxa" w:w="90"/>
              <w:bottom w:type="dxa" w:w="60"/>
              <w:right w:type="dxa" w:w="90"/>
            </w:tcMar>
          </w:tcPr>
          <w:p>
            <w:r>
              <w:rPr>
                <w:b/>
                <w:bCs/>
                <w:color w:val="FFFFFF"/>
                <w:sz w:val="18"/>
                <w:szCs w:val="18"/>
              </w:rPr>
              <w:t xml:space="preserve">Amrit (PM)</w:t>
            </w:r>
          </w:p>
        </w:tc>
        <w:tc>
          <w:tcPr>
            <w:tcW w:type="dxa" w:w="1650"/>
            <w:shd w:fill="1F3864" w:val="clear"/>
            <w:tcMar>
              <w:top w:type="dxa" w:w="60"/>
              <w:left w:type="dxa" w:w="90"/>
              <w:bottom w:type="dxa" w:w="60"/>
              <w:right w:type="dxa" w:w="90"/>
            </w:tcMar>
          </w:tcPr>
          <w:p>
            <w:r>
              <w:rPr>
                <w:b/>
                <w:bCs/>
                <w:color w:val="FFFFFF"/>
                <w:sz w:val="18"/>
                <w:szCs w:val="18"/>
              </w:rPr>
              <w:t xml:space="preserve">Madhab (BA)</w:t>
            </w:r>
          </w:p>
        </w:tc>
        <w:tc>
          <w:tcPr>
            <w:tcW w:type="dxa" w:w="1650"/>
            <w:shd w:fill="1F3864" w:val="clear"/>
            <w:tcMar>
              <w:top w:type="dxa" w:w="60"/>
              <w:left w:type="dxa" w:w="90"/>
              <w:bottom w:type="dxa" w:w="60"/>
              <w:right w:type="dxa" w:w="90"/>
            </w:tcMar>
          </w:tcPr>
          <w:p>
            <w:r>
              <w:rPr>
                <w:b/>
                <w:bCs/>
                <w:color w:val="FFFFFF"/>
                <w:sz w:val="18"/>
                <w:szCs w:val="18"/>
              </w:rPr>
              <w:t xml:space="preserve">Subham (Tech)</w:t>
            </w:r>
          </w:p>
        </w:tc>
        <w:tc>
          <w:tcPr>
            <w:tcW w:type="dxa" w:w="1650"/>
            <w:shd w:fill="1F3864" w:val="clear"/>
            <w:tcMar>
              <w:top w:type="dxa" w:w="60"/>
              <w:left w:type="dxa" w:w="90"/>
              <w:bottom w:type="dxa" w:w="60"/>
              <w:right w:type="dxa" w:w="90"/>
            </w:tcMar>
          </w:tcPr>
          <w:p>
            <w:r>
              <w:rPr>
                <w:b/>
                <w:bCs/>
                <w:color w:val="FFFFFF"/>
                <w:sz w:val="18"/>
                <w:szCs w:val="18"/>
              </w:rPr>
              <w:t xml:space="preserve">Sujit (QA/Doc)</w:t>
            </w:r>
          </w:p>
        </w:tc>
      </w:tr>
      <w:tr>
        <w:tc>
          <w:tcPr>
            <w:tcW w:type="dxa" w:w="2700"/>
            <w:tcMar>
              <w:top w:type="dxa" w:w="60"/>
              <w:left w:type="dxa" w:w="90"/>
              <w:bottom w:type="dxa" w:w="60"/>
              <w:right w:type="dxa" w:w="90"/>
            </w:tcMar>
          </w:tcPr>
          <w:p>
            <w:r>
              <w:rPr>
                <w:b w:val="false"/>
                <w:bCs w:val="false"/>
                <w:sz w:val="18"/>
                <w:szCs w:val="18"/>
              </w:rPr>
              <w:t xml:space="preserve">Industry Analysis &amp; Landscape Report</w:t>
            </w:r>
          </w:p>
        </w:tc>
        <w:tc>
          <w:tcPr>
            <w:tcW w:type="dxa" w:w="1650"/>
            <w:tcMar>
              <w:top w:type="dxa" w:w="60"/>
              <w:left w:type="dxa" w:w="90"/>
              <w:bottom w:type="dxa" w:w="60"/>
              <w:right w:type="dxa" w:w="90"/>
            </w:tcMar>
          </w:tcPr>
          <w:p>
            <w:r>
              <w:rPr>
                <w:b w:val="false"/>
                <w:bCs w:val="false"/>
                <w:sz w:val="18"/>
                <w:szCs w:val="18"/>
              </w:rPr>
              <w:t xml:space="preserve">A</w:t>
            </w:r>
          </w:p>
        </w:tc>
        <w:tc>
          <w:tcPr>
            <w:tcW w:type="dxa" w:w="1650"/>
            <w:tcMar>
              <w:top w:type="dxa" w:w="60"/>
              <w:left w:type="dxa" w:w="90"/>
              <w:bottom w:type="dxa" w:w="60"/>
              <w:right w:type="dxa" w:w="90"/>
            </w:tcMar>
          </w:tcPr>
          <w:p>
            <w:r>
              <w:rPr>
                <w:b w:val="false"/>
                <w:bCs w:val="false"/>
                <w:sz w:val="18"/>
                <w:szCs w:val="18"/>
              </w:rPr>
              <w:t xml:space="preserve">R</w:t>
            </w:r>
          </w:p>
        </w:tc>
        <w:tc>
          <w:tcPr>
            <w:tcW w:type="dxa" w:w="1650"/>
            <w:tcMar>
              <w:top w:type="dxa" w:w="60"/>
              <w:left w:type="dxa" w:w="90"/>
              <w:bottom w:type="dxa" w:w="60"/>
              <w:right w:type="dxa" w:w="90"/>
            </w:tcMar>
          </w:tcPr>
          <w:p>
            <w:r>
              <w:rPr>
                <w:b w:val="false"/>
                <w:bCs w:val="false"/>
                <w:sz w:val="18"/>
                <w:szCs w:val="18"/>
              </w:rPr>
              <w:t xml:space="preserve">C</w:t>
            </w:r>
          </w:p>
        </w:tc>
        <w:tc>
          <w:tcPr>
            <w:tcW w:type="dxa" w:w="1650"/>
            <w:tcMar>
              <w:top w:type="dxa" w:w="60"/>
              <w:left w:type="dxa" w:w="90"/>
              <w:bottom w:type="dxa" w:w="60"/>
              <w:right w:type="dxa" w:w="90"/>
            </w:tcMar>
          </w:tcPr>
          <w:p>
            <w:r>
              <w:rPr>
                <w:b w:val="false"/>
                <w:bCs w:val="false"/>
                <w:sz w:val="18"/>
                <w:szCs w:val="18"/>
              </w:rPr>
              <w:t xml:space="preserve">I</w:t>
            </w:r>
          </w:p>
        </w:tc>
      </w:tr>
      <w:tr>
        <w:tc>
          <w:tcPr>
            <w:tcW w:type="dxa" w:w="2700"/>
            <w:tcMar>
              <w:top w:type="dxa" w:w="60"/>
              <w:left w:type="dxa" w:w="90"/>
              <w:bottom w:type="dxa" w:w="60"/>
              <w:right w:type="dxa" w:w="90"/>
            </w:tcMar>
          </w:tcPr>
          <w:p>
            <w:r>
              <w:rPr>
                <w:b w:val="false"/>
                <w:bCs w:val="false"/>
                <w:sz w:val="18"/>
                <w:szCs w:val="18"/>
              </w:rPr>
              <w:t xml:space="preserve">Architecture Diagram</w:t>
            </w:r>
          </w:p>
        </w:tc>
        <w:tc>
          <w:tcPr>
            <w:tcW w:type="dxa" w:w="1650"/>
            <w:tcMar>
              <w:top w:type="dxa" w:w="60"/>
              <w:left w:type="dxa" w:w="90"/>
              <w:bottom w:type="dxa" w:w="60"/>
              <w:right w:type="dxa" w:w="90"/>
            </w:tcMar>
          </w:tcPr>
          <w:p>
            <w:r>
              <w:rPr>
                <w:b w:val="false"/>
                <w:bCs w:val="false"/>
                <w:sz w:val="18"/>
                <w:szCs w:val="18"/>
              </w:rPr>
              <w:t xml:space="preserve">C</w:t>
            </w:r>
          </w:p>
        </w:tc>
        <w:tc>
          <w:tcPr>
            <w:tcW w:type="dxa" w:w="1650"/>
            <w:tcMar>
              <w:top w:type="dxa" w:w="60"/>
              <w:left w:type="dxa" w:w="90"/>
              <w:bottom w:type="dxa" w:w="60"/>
              <w:right w:type="dxa" w:w="90"/>
            </w:tcMar>
          </w:tcPr>
          <w:p>
            <w:r>
              <w:rPr>
                <w:b w:val="false"/>
                <w:bCs w:val="false"/>
                <w:sz w:val="18"/>
                <w:szCs w:val="18"/>
              </w:rPr>
              <w:t xml:space="preserve">I</w:t>
            </w:r>
          </w:p>
        </w:tc>
        <w:tc>
          <w:tcPr>
            <w:tcW w:type="dxa" w:w="1650"/>
            <w:tcMar>
              <w:top w:type="dxa" w:w="60"/>
              <w:left w:type="dxa" w:w="90"/>
              <w:bottom w:type="dxa" w:w="60"/>
              <w:right w:type="dxa" w:w="90"/>
            </w:tcMar>
          </w:tcPr>
          <w:p>
            <w:r>
              <w:rPr>
                <w:b w:val="false"/>
                <w:bCs w:val="false"/>
                <w:sz w:val="18"/>
                <w:szCs w:val="18"/>
              </w:rPr>
              <w:t xml:space="preserve">A/R</w:t>
            </w:r>
          </w:p>
        </w:tc>
        <w:tc>
          <w:tcPr>
            <w:tcW w:type="dxa" w:w="1650"/>
            <w:tcMar>
              <w:top w:type="dxa" w:w="60"/>
              <w:left w:type="dxa" w:w="90"/>
              <w:bottom w:type="dxa" w:w="60"/>
              <w:right w:type="dxa" w:w="90"/>
            </w:tcMar>
          </w:tcPr>
          <w:p>
            <w:r>
              <w:rPr>
                <w:b w:val="false"/>
                <w:bCs w:val="false"/>
                <w:sz w:val="18"/>
                <w:szCs w:val="18"/>
              </w:rPr>
              <w:t xml:space="preserve">R</w:t>
            </w:r>
          </w:p>
        </w:tc>
      </w:tr>
      <w:tr>
        <w:tc>
          <w:tcPr>
            <w:tcW w:type="dxa" w:w="2700"/>
            <w:tcMar>
              <w:top w:type="dxa" w:w="60"/>
              <w:left w:type="dxa" w:w="90"/>
              <w:bottom w:type="dxa" w:w="60"/>
              <w:right w:type="dxa" w:w="90"/>
            </w:tcMar>
          </w:tcPr>
          <w:p>
            <w:r>
              <w:rPr>
                <w:b w:val="false"/>
                <w:bCs w:val="false"/>
                <w:sz w:val="18"/>
                <w:szCs w:val="18"/>
              </w:rPr>
              <w:t xml:space="preserve">PoC Implementation</w:t>
            </w:r>
          </w:p>
        </w:tc>
        <w:tc>
          <w:tcPr>
            <w:tcW w:type="dxa" w:w="1650"/>
            <w:tcMar>
              <w:top w:type="dxa" w:w="60"/>
              <w:left w:type="dxa" w:w="90"/>
              <w:bottom w:type="dxa" w:w="60"/>
              <w:right w:type="dxa" w:w="90"/>
            </w:tcMar>
          </w:tcPr>
          <w:p>
            <w:r>
              <w:rPr>
                <w:b w:val="false"/>
                <w:bCs w:val="false"/>
                <w:sz w:val="18"/>
                <w:szCs w:val="18"/>
              </w:rPr>
              <w:t xml:space="preserve">I</w:t>
            </w:r>
          </w:p>
        </w:tc>
        <w:tc>
          <w:tcPr>
            <w:tcW w:type="dxa" w:w="1650"/>
            <w:tcMar>
              <w:top w:type="dxa" w:w="60"/>
              <w:left w:type="dxa" w:w="90"/>
              <w:bottom w:type="dxa" w:w="60"/>
              <w:right w:type="dxa" w:w="90"/>
            </w:tcMar>
          </w:tcPr>
          <w:p>
            <w:r>
              <w:rPr>
                <w:b w:val="false"/>
                <w:bCs w:val="false"/>
                <w:sz w:val="18"/>
                <w:szCs w:val="18"/>
              </w:rPr>
              <w:t xml:space="preserve">C</w:t>
            </w:r>
          </w:p>
        </w:tc>
        <w:tc>
          <w:tcPr>
            <w:tcW w:type="dxa" w:w="1650"/>
            <w:tcMar>
              <w:top w:type="dxa" w:w="60"/>
              <w:left w:type="dxa" w:w="90"/>
              <w:bottom w:type="dxa" w:w="60"/>
              <w:right w:type="dxa" w:w="90"/>
            </w:tcMar>
          </w:tcPr>
          <w:p>
            <w:r>
              <w:rPr>
                <w:b w:val="false"/>
                <w:bCs w:val="false"/>
                <w:sz w:val="18"/>
                <w:szCs w:val="18"/>
              </w:rPr>
              <w:t xml:space="preserve">A/R</w:t>
            </w:r>
          </w:p>
        </w:tc>
        <w:tc>
          <w:tcPr>
            <w:tcW w:type="dxa" w:w="1650"/>
            <w:tcMar>
              <w:top w:type="dxa" w:w="60"/>
              <w:left w:type="dxa" w:w="90"/>
              <w:bottom w:type="dxa" w:w="60"/>
              <w:right w:type="dxa" w:w="90"/>
            </w:tcMar>
          </w:tcPr>
          <w:p>
            <w:r>
              <w:rPr>
                <w:b w:val="false"/>
                <w:bCs w:val="false"/>
                <w:sz w:val="18"/>
                <w:szCs w:val="18"/>
              </w:rPr>
              <w:t xml:space="preserve">R</w:t>
            </w:r>
          </w:p>
        </w:tc>
      </w:tr>
      <w:tr>
        <w:tc>
          <w:tcPr>
            <w:tcW w:type="dxa" w:w="2700"/>
            <w:tcMar>
              <w:top w:type="dxa" w:w="60"/>
              <w:left w:type="dxa" w:w="90"/>
              <w:bottom w:type="dxa" w:w="60"/>
              <w:right w:type="dxa" w:w="90"/>
            </w:tcMar>
          </w:tcPr>
          <w:p>
            <w:r>
              <w:rPr>
                <w:b w:val="false"/>
                <w:bCs w:val="false"/>
                <w:sz w:val="18"/>
                <w:szCs w:val="18"/>
              </w:rPr>
              <w:t xml:space="preserve">Cost Model &amp; Feasibility Study</w:t>
            </w:r>
          </w:p>
        </w:tc>
        <w:tc>
          <w:tcPr>
            <w:tcW w:type="dxa" w:w="1650"/>
            <w:tcMar>
              <w:top w:type="dxa" w:w="60"/>
              <w:left w:type="dxa" w:w="90"/>
              <w:bottom w:type="dxa" w:w="60"/>
              <w:right w:type="dxa" w:w="90"/>
            </w:tcMar>
          </w:tcPr>
          <w:p>
            <w:r>
              <w:rPr>
                <w:b w:val="false"/>
                <w:bCs w:val="false"/>
                <w:sz w:val="18"/>
                <w:szCs w:val="18"/>
              </w:rPr>
              <w:t xml:space="preserve">C</w:t>
            </w:r>
          </w:p>
        </w:tc>
        <w:tc>
          <w:tcPr>
            <w:tcW w:type="dxa" w:w="1650"/>
            <w:tcMar>
              <w:top w:type="dxa" w:w="60"/>
              <w:left w:type="dxa" w:w="90"/>
              <w:bottom w:type="dxa" w:w="60"/>
              <w:right w:type="dxa" w:w="90"/>
            </w:tcMar>
          </w:tcPr>
          <w:p>
            <w:r>
              <w:rPr>
                <w:b w:val="false"/>
                <w:bCs w:val="false"/>
                <w:sz w:val="18"/>
                <w:szCs w:val="18"/>
              </w:rPr>
              <w:t xml:space="preserve">A</w:t>
            </w:r>
          </w:p>
        </w:tc>
        <w:tc>
          <w:tcPr>
            <w:tcW w:type="dxa" w:w="1650"/>
            <w:tcMar>
              <w:top w:type="dxa" w:w="60"/>
              <w:left w:type="dxa" w:w="90"/>
              <w:bottom w:type="dxa" w:w="60"/>
              <w:right w:type="dxa" w:w="90"/>
            </w:tcMar>
          </w:tcPr>
          <w:p>
            <w:r>
              <w:rPr>
                <w:b w:val="false"/>
                <w:bCs w:val="false"/>
                <w:sz w:val="18"/>
                <w:szCs w:val="18"/>
              </w:rPr>
              <w:t xml:space="preserve">R</w:t>
            </w:r>
          </w:p>
        </w:tc>
        <w:tc>
          <w:tcPr>
            <w:tcW w:type="dxa" w:w="1650"/>
            <w:tcMar>
              <w:top w:type="dxa" w:w="60"/>
              <w:left w:type="dxa" w:w="90"/>
              <w:bottom w:type="dxa" w:w="60"/>
              <w:right w:type="dxa" w:w="90"/>
            </w:tcMar>
          </w:tcPr>
          <w:p>
            <w:r>
              <w:rPr>
                <w:b w:val="false"/>
                <w:bCs w:val="false"/>
                <w:sz w:val="18"/>
                <w:szCs w:val="18"/>
              </w:rPr>
              <w:t xml:space="preserve">R</w:t>
            </w:r>
          </w:p>
        </w:tc>
      </w:tr>
      <w:tr>
        <w:tc>
          <w:tcPr>
            <w:tcW w:type="dxa" w:w="2700"/>
            <w:tcMar>
              <w:top w:type="dxa" w:w="60"/>
              <w:left w:type="dxa" w:w="90"/>
              <w:bottom w:type="dxa" w:w="60"/>
              <w:right w:type="dxa" w:w="90"/>
            </w:tcMar>
          </w:tcPr>
          <w:p>
            <w:r>
              <w:rPr>
                <w:b w:val="false"/>
                <w:bCs w:val="false"/>
                <w:sz w:val="18"/>
                <w:szCs w:val="18"/>
              </w:rPr>
              <w:t xml:space="preserve">Final Report</w:t>
            </w:r>
          </w:p>
        </w:tc>
        <w:tc>
          <w:tcPr>
            <w:tcW w:type="dxa" w:w="1650"/>
            <w:tcMar>
              <w:top w:type="dxa" w:w="60"/>
              <w:left w:type="dxa" w:w="90"/>
              <w:bottom w:type="dxa" w:w="60"/>
              <w:right w:type="dxa" w:w="90"/>
            </w:tcMar>
          </w:tcPr>
          <w:p>
            <w:r>
              <w:rPr>
                <w:b w:val="false"/>
                <w:bCs w:val="false"/>
                <w:sz w:val="18"/>
                <w:szCs w:val="18"/>
              </w:rPr>
              <w:t xml:space="preserve">A</w:t>
            </w:r>
          </w:p>
        </w:tc>
        <w:tc>
          <w:tcPr>
            <w:tcW w:type="dxa" w:w="1650"/>
            <w:tcMar>
              <w:top w:type="dxa" w:w="60"/>
              <w:left w:type="dxa" w:w="90"/>
              <w:bottom w:type="dxa" w:w="60"/>
              <w:right w:type="dxa" w:w="90"/>
            </w:tcMar>
          </w:tcPr>
          <w:p>
            <w:r>
              <w:rPr>
                <w:b w:val="false"/>
                <w:bCs w:val="false"/>
                <w:sz w:val="18"/>
                <w:szCs w:val="18"/>
              </w:rPr>
              <w:t xml:space="preserve">R</w:t>
            </w:r>
          </w:p>
        </w:tc>
        <w:tc>
          <w:tcPr>
            <w:tcW w:type="dxa" w:w="1650"/>
            <w:tcMar>
              <w:top w:type="dxa" w:w="60"/>
              <w:left w:type="dxa" w:w="90"/>
              <w:bottom w:type="dxa" w:w="60"/>
              <w:right w:type="dxa" w:w="90"/>
            </w:tcMar>
          </w:tcPr>
          <w:p>
            <w:r>
              <w:rPr>
                <w:b w:val="false"/>
                <w:bCs w:val="false"/>
                <w:sz w:val="18"/>
                <w:szCs w:val="18"/>
              </w:rPr>
              <w:t xml:space="preserve">R</w:t>
            </w:r>
          </w:p>
        </w:tc>
        <w:tc>
          <w:tcPr>
            <w:tcW w:type="dxa" w:w="1650"/>
            <w:tcMar>
              <w:top w:type="dxa" w:w="60"/>
              <w:left w:type="dxa" w:w="90"/>
              <w:bottom w:type="dxa" w:w="60"/>
              <w:right w:type="dxa" w:w="90"/>
            </w:tcMar>
          </w:tcPr>
          <w:p>
            <w:r>
              <w:rPr>
                <w:b w:val="false"/>
                <w:bCs w:val="false"/>
                <w:sz w:val="18"/>
                <w:szCs w:val="18"/>
              </w:rPr>
              <w:t xml:space="preserve">R</w:t>
            </w:r>
          </w:p>
        </w:tc>
      </w:tr>
      <w:tr>
        <w:tc>
          <w:tcPr>
            <w:tcW w:type="dxa" w:w="2700"/>
            <w:tcMar>
              <w:top w:type="dxa" w:w="60"/>
              <w:left w:type="dxa" w:w="90"/>
              <w:bottom w:type="dxa" w:w="60"/>
              <w:right w:type="dxa" w:w="90"/>
            </w:tcMar>
          </w:tcPr>
          <w:p>
            <w:r>
              <w:rPr>
                <w:b w:val="false"/>
                <w:bCs w:val="false"/>
                <w:sz w:val="18"/>
                <w:szCs w:val="18"/>
              </w:rPr>
              <w:t xml:space="preserve">Presentation</w:t>
            </w:r>
          </w:p>
        </w:tc>
        <w:tc>
          <w:tcPr>
            <w:tcW w:type="dxa" w:w="1650"/>
            <w:tcMar>
              <w:top w:type="dxa" w:w="60"/>
              <w:left w:type="dxa" w:w="90"/>
              <w:bottom w:type="dxa" w:w="60"/>
              <w:right w:type="dxa" w:w="90"/>
            </w:tcMar>
          </w:tcPr>
          <w:p>
            <w:r>
              <w:rPr>
                <w:b w:val="false"/>
                <w:bCs w:val="false"/>
                <w:sz w:val="18"/>
                <w:szCs w:val="18"/>
              </w:rPr>
              <w:t xml:space="preserve">R</w:t>
            </w:r>
          </w:p>
        </w:tc>
        <w:tc>
          <w:tcPr>
            <w:tcW w:type="dxa" w:w="1650"/>
            <w:tcMar>
              <w:top w:type="dxa" w:w="60"/>
              <w:left w:type="dxa" w:w="90"/>
              <w:bottom w:type="dxa" w:w="60"/>
              <w:right w:type="dxa" w:w="90"/>
            </w:tcMar>
          </w:tcPr>
          <w:p>
            <w:r>
              <w:rPr>
                <w:b w:val="false"/>
                <w:bCs w:val="false"/>
                <w:sz w:val="18"/>
                <w:szCs w:val="18"/>
              </w:rPr>
              <w:t xml:space="preserve">R</w:t>
            </w:r>
          </w:p>
        </w:tc>
        <w:tc>
          <w:tcPr>
            <w:tcW w:type="dxa" w:w="1650"/>
            <w:tcMar>
              <w:top w:type="dxa" w:w="60"/>
              <w:left w:type="dxa" w:w="90"/>
              <w:bottom w:type="dxa" w:w="60"/>
              <w:right w:type="dxa" w:w="90"/>
            </w:tcMar>
          </w:tcPr>
          <w:p>
            <w:r>
              <w:rPr>
                <w:b w:val="false"/>
                <w:bCs w:val="false"/>
                <w:sz w:val="18"/>
                <w:szCs w:val="18"/>
              </w:rPr>
              <w:t xml:space="preserve">R</w:t>
            </w:r>
          </w:p>
        </w:tc>
        <w:tc>
          <w:tcPr>
            <w:tcW w:type="dxa" w:w="1650"/>
            <w:tcMar>
              <w:top w:type="dxa" w:w="60"/>
              <w:left w:type="dxa" w:w="90"/>
              <w:bottom w:type="dxa" w:w="60"/>
              <w:right w:type="dxa" w:w="90"/>
            </w:tcMar>
          </w:tcPr>
          <w:p>
            <w:r>
              <w:rPr>
                <w:b w:val="false"/>
                <w:bCs w:val="false"/>
                <w:sz w:val="18"/>
                <w:szCs w:val="18"/>
              </w:rPr>
              <w:t xml:space="preserve">A/R</w:t>
            </w:r>
          </w:p>
        </w:tc>
      </w:tr>
    </w:tbl>
    <w:p>
      <w:pPr>
        <w:spacing w:after="140"/>
        <w:jc w:val="both"/>
      </w:pPr>
      <w:r>
        <w:rPr>
          <w:sz w:val="21"/>
          <w:szCs w:val="21"/>
        </w:rPr>
        <w:t xml:space="preserve">A = Accountable, R = Responsible, C = Consulted, I = Informed. Each deliverable has exactly one Accountable owner.</w:t>
      </w:r>
    </w:p>
    <w:p>
      <w:pPr>
        <w:pStyle w:val="Heading2"/>
        <w:spacing w:after="100" w:before="200"/>
      </w:pPr>
      <w:r>
        <w:rPr>
          <w:b/>
          <w:bCs/>
          <w:color w:val="1F3864"/>
          <w:sz w:val="24"/>
          <w:szCs w:val="24"/>
        </w:rPr>
        <w:t xml:space="preserve">2.4 Risk Register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450"/>
        <w:gridCol w:w="500"/>
        <w:gridCol w:w="500"/>
        <w:gridCol w:w="700"/>
        <w:gridCol w:w="900"/>
        <w:gridCol w:w="2300"/>
        <w:gridCol w:w="1300"/>
      </w:tblGrid>
      <w:tr>
        <w:tc>
          <w:tcPr>
            <w:tcW w:type="dxa" w:w="700"/>
            <w:shd w:fill="1F3864" w:val="clear"/>
            <w:tcMar>
              <w:top w:type="dxa" w:w="60"/>
              <w:left w:type="dxa" w:w="90"/>
              <w:bottom w:type="dxa" w:w="60"/>
              <w:right w:type="dxa" w:w="90"/>
            </w:tcMar>
          </w:tcPr>
          <w:p>
            <w:r>
              <w:rPr>
                <w:b/>
                <w:bCs/>
                <w:color w:val="FFFFFF"/>
                <w:sz w:val="18"/>
                <w:szCs w:val="18"/>
              </w:rPr>
              <w:t xml:space="preserve">ID</w:t>
            </w:r>
          </w:p>
        </w:tc>
        <w:tc>
          <w:tcPr>
            <w:tcW w:type="dxa" w:w="2450"/>
            <w:shd w:fill="1F3864" w:val="clear"/>
            <w:tcMar>
              <w:top w:type="dxa" w:w="60"/>
              <w:left w:type="dxa" w:w="90"/>
              <w:bottom w:type="dxa" w:w="60"/>
              <w:right w:type="dxa" w:w="90"/>
            </w:tcMar>
          </w:tcPr>
          <w:p>
            <w:r>
              <w:rPr>
                <w:b/>
                <w:bCs/>
                <w:color w:val="FFFFFF"/>
                <w:sz w:val="18"/>
                <w:szCs w:val="18"/>
              </w:rPr>
              <w:t xml:space="preserve">Risk Description</w:t>
            </w:r>
          </w:p>
        </w:tc>
        <w:tc>
          <w:tcPr>
            <w:tcW w:type="dxa" w:w="500"/>
            <w:shd w:fill="1F3864" w:val="clear"/>
            <w:tcMar>
              <w:top w:type="dxa" w:w="60"/>
              <w:left w:type="dxa" w:w="90"/>
              <w:bottom w:type="dxa" w:w="60"/>
              <w:right w:type="dxa" w:w="90"/>
            </w:tcMar>
          </w:tcPr>
          <w:p>
            <w:r>
              <w:rPr>
                <w:b/>
                <w:bCs/>
                <w:color w:val="FFFFFF"/>
                <w:sz w:val="18"/>
                <w:szCs w:val="18"/>
              </w:rPr>
              <w:t xml:space="preserve">L</w:t>
            </w:r>
          </w:p>
        </w:tc>
        <w:tc>
          <w:tcPr>
            <w:tcW w:type="dxa" w:w="500"/>
            <w:shd w:fill="1F3864" w:val="clear"/>
            <w:tcMar>
              <w:top w:type="dxa" w:w="60"/>
              <w:left w:type="dxa" w:w="90"/>
              <w:bottom w:type="dxa" w:w="60"/>
              <w:right w:type="dxa" w:w="90"/>
            </w:tcMar>
          </w:tcPr>
          <w:p>
            <w:r>
              <w:rPr>
                <w:b/>
                <w:bCs/>
                <w:color w:val="FFFFFF"/>
                <w:sz w:val="18"/>
                <w:szCs w:val="18"/>
              </w:rPr>
              <w:t xml:space="preserve">I</w:t>
            </w:r>
          </w:p>
        </w:tc>
        <w:tc>
          <w:tcPr>
            <w:tcW w:type="dxa" w:w="700"/>
            <w:shd w:fill="1F3864" w:val="clear"/>
            <w:tcMar>
              <w:top w:type="dxa" w:w="60"/>
              <w:left w:type="dxa" w:w="90"/>
              <w:bottom w:type="dxa" w:w="60"/>
              <w:right w:type="dxa" w:w="90"/>
            </w:tcMar>
          </w:tcPr>
          <w:p>
            <w:r>
              <w:rPr>
                <w:b/>
                <w:bCs/>
                <w:color w:val="FFFFFF"/>
                <w:sz w:val="18"/>
                <w:szCs w:val="18"/>
              </w:rPr>
              <w:t xml:space="preserve">Score</w:t>
            </w:r>
          </w:p>
        </w:tc>
        <w:tc>
          <w:tcPr>
            <w:tcW w:type="dxa" w:w="900"/>
            <w:shd w:fill="1F3864" w:val="clear"/>
            <w:tcMar>
              <w:top w:type="dxa" w:w="60"/>
              <w:left w:type="dxa" w:w="90"/>
              <w:bottom w:type="dxa" w:w="60"/>
              <w:right w:type="dxa" w:w="90"/>
            </w:tcMar>
          </w:tcPr>
          <w:p>
            <w:r>
              <w:rPr>
                <w:b/>
                <w:bCs/>
                <w:color w:val="FFFFFF"/>
                <w:sz w:val="18"/>
                <w:szCs w:val="18"/>
              </w:rPr>
              <w:t xml:space="preserve">Rating</w:t>
            </w:r>
          </w:p>
        </w:tc>
        <w:tc>
          <w:tcPr>
            <w:tcW w:type="dxa" w:w="2300"/>
            <w:shd w:fill="1F3864" w:val="clear"/>
            <w:tcMar>
              <w:top w:type="dxa" w:w="60"/>
              <w:left w:type="dxa" w:w="90"/>
              <w:bottom w:type="dxa" w:w="60"/>
              <w:right w:type="dxa" w:w="90"/>
            </w:tcMar>
          </w:tcPr>
          <w:p>
            <w:r>
              <w:rPr>
                <w:b/>
                <w:bCs/>
                <w:color w:val="FFFFFF"/>
                <w:sz w:val="18"/>
                <w:szCs w:val="18"/>
              </w:rPr>
              <w:t xml:space="preserve">Response Strategy</w:t>
            </w:r>
          </w:p>
        </w:tc>
        <w:tc>
          <w:tcPr>
            <w:tcW w:type="dxa" w:w="1300"/>
            <w:shd w:fill="1F3864" w:val="clear"/>
            <w:tcMar>
              <w:top w:type="dxa" w:w="60"/>
              <w:left w:type="dxa" w:w="90"/>
              <w:bottom w:type="dxa" w:w="60"/>
              <w:right w:type="dxa" w:w="90"/>
            </w:tcMar>
          </w:tcPr>
          <w:p>
            <w:r>
              <w:rPr>
                <w:b/>
                <w:bCs/>
                <w:color w:val="FFFFFF"/>
                <w:sz w:val="18"/>
                <w:szCs w:val="18"/>
              </w:rPr>
              <w:t xml:space="preserve">Owner</w:t>
            </w:r>
          </w:p>
        </w:tc>
      </w:tr>
      <w:tr>
        <w:tc>
          <w:tcPr>
            <w:tcW w:type="dxa" w:w="700"/>
            <w:tcMar>
              <w:top w:type="dxa" w:w="60"/>
              <w:left w:type="dxa" w:w="90"/>
              <w:bottom w:type="dxa" w:w="60"/>
              <w:right w:type="dxa" w:w="90"/>
            </w:tcMar>
          </w:tcPr>
          <w:p>
            <w:r>
              <w:rPr>
                <w:b w:val="false"/>
                <w:bCs w:val="false"/>
                <w:sz w:val="18"/>
                <w:szCs w:val="18"/>
              </w:rPr>
              <w:t xml:space="preserve">R01</w:t>
            </w:r>
          </w:p>
        </w:tc>
        <w:tc>
          <w:tcPr>
            <w:tcW w:type="dxa" w:w="2450"/>
            <w:tcMar>
              <w:top w:type="dxa" w:w="60"/>
              <w:left w:type="dxa" w:w="90"/>
              <w:bottom w:type="dxa" w:w="60"/>
              <w:right w:type="dxa" w:w="90"/>
            </w:tcMar>
          </w:tcPr>
          <w:p>
            <w:r>
              <w:rPr>
                <w:b w:val="false"/>
                <w:bCs w:val="false"/>
                <w:sz w:val="18"/>
                <w:szCs w:val="18"/>
              </w:rPr>
              <w:t xml:space="preserve">Dataset access for PoC delayed or restricted</w:t>
            </w:r>
          </w:p>
        </w:tc>
        <w:tc>
          <w:tcPr>
            <w:tcW w:type="dxa" w:w="500"/>
            <w:tcMar>
              <w:top w:type="dxa" w:w="60"/>
              <w:left w:type="dxa" w:w="90"/>
              <w:bottom w:type="dxa" w:w="60"/>
              <w:right w:type="dxa" w:w="90"/>
            </w:tcMar>
          </w:tcPr>
          <w:p>
            <w:r>
              <w:rPr>
                <w:b w:val="false"/>
                <w:bCs w:val="false"/>
                <w:sz w:val="18"/>
                <w:szCs w:val="18"/>
              </w:rPr>
              <w:t xml:space="preserve">2</w:t>
            </w:r>
          </w:p>
        </w:tc>
        <w:tc>
          <w:tcPr>
            <w:tcW w:type="dxa" w:w="500"/>
            <w:tcMar>
              <w:top w:type="dxa" w:w="60"/>
              <w:left w:type="dxa" w:w="90"/>
              <w:bottom w:type="dxa" w:w="60"/>
              <w:right w:type="dxa" w:w="90"/>
            </w:tcMar>
          </w:tcPr>
          <w:p>
            <w:r>
              <w:rPr>
                <w:b w:val="false"/>
                <w:bCs w:val="false"/>
                <w:sz w:val="18"/>
                <w:szCs w:val="18"/>
              </w:rPr>
              <w:t xml:space="preserve">4</w:t>
            </w:r>
          </w:p>
        </w:tc>
        <w:tc>
          <w:tcPr>
            <w:tcW w:type="dxa" w:w="700"/>
            <w:tcMar>
              <w:top w:type="dxa" w:w="60"/>
              <w:left w:type="dxa" w:w="90"/>
              <w:bottom w:type="dxa" w:w="60"/>
              <w:right w:type="dxa" w:w="90"/>
            </w:tcMar>
          </w:tcPr>
          <w:p>
            <w:r>
              <w:rPr>
                <w:b w:val="false"/>
                <w:bCs w:val="false"/>
                <w:sz w:val="18"/>
                <w:szCs w:val="18"/>
              </w:rPr>
              <w:t xml:space="preserve">8</w:t>
            </w:r>
          </w:p>
        </w:tc>
        <w:tc>
          <w:tcPr>
            <w:tcW w:type="dxa" w:w="900"/>
            <w:tcMar>
              <w:top w:type="dxa" w:w="60"/>
              <w:left w:type="dxa" w:w="90"/>
              <w:bottom w:type="dxa" w:w="60"/>
              <w:right w:type="dxa" w:w="90"/>
            </w:tcMar>
          </w:tcPr>
          <w:p>
            <w:r>
              <w:rPr>
                <w:b w:val="false"/>
                <w:bCs w:val="false"/>
                <w:sz w:val="18"/>
                <w:szCs w:val="18"/>
              </w:rPr>
              <w:t xml:space="preserve">Medium</w:t>
            </w:r>
          </w:p>
        </w:tc>
        <w:tc>
          <w:tcPr>
            <w:tcW w:type="dxa" w:w="2300"/>
            <w:tcMar>
              <w:top w:type="dxa" w:w="60"/>
              <w:left w:type="dxa" w:w="90"/>
              <w:bottom w:type="dxa" w:w="60"/>
              <w:right w:type="dxa" w:w="90"/>
            </w:tcMar>
          </w:tcPr>
          <w:p>
            <w:r>
              <w:rPr>
                <w:b w:val="false"/>
                <w:bCs w:val="false"/>
                <w:sz w:val="18"/>
                <w:szCs w:val="18"/>
              </w:rPr>
              <w:t xml:space="preserve">Mitigate: use synthetic/de-identified data from Week 6 onward; no dependency on real CleanTasker data</w:t>
            </w:r>
          </w:p>
        </w:tc>
        <w:tc>
          <w:tcPr>
            <w:tcW w:type="dxa" w:w="1300"/>
            <w:tcMar>
              <w:top w:type="dxa" w:w="60"/>
              <w:left w:type="dxa" w:w="90"/>
              <w:bottom w:type="dxa" w:w="60"/>
              <w:right w:type="dxa" w:w="90"/>
            </w:tcMar>
          </w:tcPr>
          <w:p>
            <w:r>
              <w:rPr>
                <w:b w:val="false"/>
                <w:bCs w:val="false"/>
                <w:sz w:val="18"/>
                <w:szCs w:val="18"/>
              </w:rPr>
              <w:t xml:space="preserve">Subham Giri</w:t>
            </w:r>
          </w:p>
        </w:tc>
      </w:tr>
      <w:tr>
        <w:tc>
          <w:tcPr>
            <w:tcW w:type="dxa" w:w="700"/>
            <w:tcMar>
              <w:top w:type="dxa" w:w="60"/>
              <w:left w:type="dxa" w:w="90"/>
              <w:bottom w:type="dxa" w:w="60"/>
              <w:right w:type="dxa" w:w="90"/>
            </w:tcMar>
          </w:tcPr>
          <w:p>
            <w:r>
              <w:rPr>
                <w:b w:val="false"/>
                <w:bCs w:val="false"/>
                <w:sz w:val="18"/>
                <w:szCs w:val="18"/>
              </w:rPr>
              <w:t xml:space="preserve">R02</w:t>
            </w:r>
          </w:p>
        </w:tc>
        <w:tc>
          <w:tcPr>
            <w:tcW w:type="dxa" w:w="2450"/>
            <w:tcMar>
              <w:top w:type="dxa" w:w="60"/>
              <w:left w:type="dxa" w:w="90"/>
              <w:bottom w:type="dxa" w:w="60"/>
              <w:right w:type="dxa" w:w="90"/>
            </w:tcMar>
          </w:tcPr>
          <w:p>
            <w:r>
              <w:rPr>
                <w:b w:val="false"/>
                <w:bCs w:val="false"/>
                <w:sz w:val="18"/>
                <w:szCs w:val="18"/>
              </w:rPr>
              <w:t xml:space="preserve">Team member unavailable mid-project (illness, work conflict)</w:t>
            </w:r>
          </w:p>
        </w:tc>
        <w:tc>
          <w:tcPr>
            <w:tcW w:type="dxa" w:w="500"/>
            <w:tcMar>
              <w:top w:type="dxa" w:w="60"/>
              <w:left w:type="dxa" w:w="90"/>
              <w:bottom w:type="dxa" w:w="60"/>
              <w:right w:type="dxa" w:w="90"/>
            </w:tcMar>
          </w:tcPr>
          <w:p>
            <w:r>
              <w:rPr>
                <w:b w:val="false"/>
                <w:bCs w:val="false"/>
                <w:sz w:val="18"/>
                <w:szCs w:val="18"/>
              </w:rPr>
              <w:t xml:space="preserve">2</w:t>
            </w:r>
          </w:p>
        </w:tc>
        <w:tc>
          <w:tcPr>
            <w:tcW w:type="dxa" w:w="500"/>
            <w:tcMar>
              <w:top w:type="dxa" w:w="60"/>
              <w:left w:type="dxa" w:w="90"/>
              <w:bottom w:type="dxa" w:w="60"/>
              <w:right w:type="dxa" w:w="90"/>
            </w:tcMar>
          </w:tcPr>
          <w:p>
            <w:r>
              <w:rPr>
                <w:b w:val="false"/>
                <w:bCs w:val="false"/>
                <w:sz w:val="18"/>
                <w:szCs w:val="18"/>
              </w:rPr>
              <w:t xml:space="preserve">4</w:t>
            </w:r>
          </w:p>
        </w:tc>
        <w:tc>
          <w:tcPr>
            <w:tcW w:type="dxa" w:w="700"/>
            <w:tcMar>
              <w:top w:type="dxa" w:w="60"/>
              <w:left w:type="dxa" w:w="90"/>
              <w:bottom w:type="dxa" w:w="60"/>
              <w:right w:type="dxa" w:w="90"/>
            </w:tcMar>
          </w:tcPr>
          <w:p>
            <w:r>
              <w:rPr>
                <w:b w:val="false"/>
                <w:bCs w:val="false"/>
                <w:sz w:val="18"/>
                <w:szCs w:val="18"/>
              </w:rPr>
              <w:t xml:space="preserve">8</w:t>
            </w:r>
          </w:p>
        </w:tc>
        <w:tc>
          <w:tcPr>
            <w:tcW w:type="dxa" w:w="900"/>
            <w:tcMar>
              <w:top w:type="dxa" w:w="60"/>
              <w:left w:type="dxa" w:w="90"/>
              <w:bottom w:type="dxa" w:w="60"/>
              <w:right w:type="dxa" w:w="90"/>
            </w:tcMar>
          </w:tcPr>
          <w:p>
            <w:r>
              <w:rPr>
                <w:b w:val="false"/>
                <w:bCs w:val="false"/>
                <w:sz w:val="18"/>
                <w:szCs w:val="18"/>
              </w:rPr>
              <w:t xml:space="preserve">Medium</w:t>
            </w:r>
          </w:p>
        </w:tc>
        <w:tc>
          <w:tcPr>
            <w:tcW w:type="dxa" w:w="2300"/>
            <w:tcMar>
              <w:top w:type="dxa" w:w="60"/>
              <w:left w:type="dxa" w:w="90"/>
              <w:bottom w:type="dxa" w:w="60"/>
              <w:right w:type="dxa" w:w="90"/>
            </w:tcMar>
          </w:tcPr>
          <w:p>
            <w:r>
              <w:rPr>
                <w:b w:val="false"/>
                <w:bCs w:val="false"/>
                <w:sz w:val="18"/>
                <w:szCs w:val="18"/>
              </w:rPr>
              <w:t xml:space="preserve">Mitigate: document all work in shared repo; cross-train on critical Jira tasks each sprint</w:t>
            </w:r>
          </w:p>
        </w:tc>
        <w:tc>
          <w:tcPr>
            <w:tcW w:type="dxa" w:w="1300"/>
            <w:tcMar>
              <w:top w:type="dxa" w:w="60"/>
              <w:left w:type="dxa" w:w="90"/>
              <w:bottom w:type="dxa" w:w="60"/>
              <w:right w:type="dxa" w:w="90"/>
            </w:tcMar>
          </w:tcPr>
          <w:p>
            <w:r>
              <w:rPr>
                <w:b w:val="false"/>
                <w:bCs w:val="false"/>
                <w:sz w:val="18"/>
                <w:szCs w:val="18"/>
              </w:rPr>
              <w:t xml:space="preserve">Amrit Dahal</w:t>
            </w:r>
          </w:p>
        </w:tc>
      </w:tr>
      <w:tr>
        <w:tc>
          <w:tcPr>
            <w:tcW w:type="dxa" w:w="700"/>
            <w:tcMar>
              <w:top w:type="dxa" w:w="60"/>
              <w:left w:type="dxa" w:w="90"/>
              <w:bottom w:type="dxa" w:w="60"/>
              <w:right w:type="dxa" w:w="90"/>
            </w:tcMar>
          </w:tcPr>
          <w:p>
            <w:r>
              <w:rPr>
                <w:b w:val="false"/>
                <w:bCs w:val="false"/>
                <w:sz w:val="18"/>
                <w:szCs w:val="18"/>
              </w:rPr>
              <w:t xml:space="preserve">R03</w:t>
            </w:r>
          </w:p>
        </w:tc>
        <w:tc>
          <w:tcPr>
            <w:tcW w:type="dxa" w:w="2450"/>
            <w:tcMar>
              <w:top w:type="dxa" w:w="60"/>
              <w:left w:type="dxa" w:w="90"/>
              <w:bottom w:type="dxa" w:w="60"/>
              <w:right w:type="dxa" w:w="90"/>
            </w:tcMar>
          </w:tcPr>
          <w:p>
            <w:r>
              <w:rPr>
                <w:b w:val="false"/>
                <w:bCs w:val="false"/>
                <w:sz w:val="18"/>
                <w:szCs w:val="18"/>
              </w:rPr>
              <w:t xml:space="preserve">Firebase/Azure cost overrun during PoC testing</w:t>
            </w:r>
          </w:p>
        </w:tc>
        <w:tc>
          <w:tcPr>
            <w:tcW w:type="dxa" w:w="500"/>
            <w:tcMar>
              <w:top w:type="dxa" w:w="60"/>
              <w:left w:type="dxa" w:w="90"/>
              <w:bottom w:type="dxa" w:w="60"/>
              <w:right w:type="dxa" w:w="90"/>
            </w:tcMar>
          </w:tcPr>
          <w:p>
            <w:r>
              <w:rPr>
                <w:b w:val="false"/>
                <w:bCs w:val="false"/>
                <w:sz w:val="18"/>
                <w:szCs w:val="18"/>
              </w:rPr>
              <w:t xml:space="preserve">2</w:t>
            </w:r>
          </w:p>
        </w:tc>
        <w:tc>
          <w:tcPr>
            <w:tcW w:type="dxa" w:w="500"/>
            <w:tcMar>
              <w:top w:type="dxa" w:w="60"/>
              <w:left w:type="dxa" w:w="90"/>
              <w:bottom w:type="dxa" w:w="60"/>
              <w:right w:type="dxa" w:w="90"/>
            </w:tcMar>
          </w:tcPr>
          <w:p>
            <w:r>
              <w:rPr>
                <w:b w:val="false"/>
                <w:bCs w:val="false"/>
                <w:sz w:val="18"/>
                <w:szCs w:val="18"/>
              </w:rPr>
              <w:t xml:space="preserve">3</w:t>
            </w:r>
          </w:p>
        </w:tc>
        <w:tc>
          <w:tcPr>
            <w:tcW w:type="dxa" w:w="700"/>
            <w:tcMar>
              <w:top w:type="dxa" w:w="60"/>
              <w:left w:type="dxa" w:w="90"/>
              <w:bottom w:type="dxa" w:w="60"/>
              <w:right w:type="dxa" w:w="90"/>
            </w:tcMar>
          </w:tcPr>
          <w:p>
            <w:r>
              <w:rPr>
                <w:b w:val="false"/>
                <w:bCs w:val="false"/>
                <w:sz w:val="18"/>
                <w:szCs w:val="18"/>
              </w:rPr>
              <w:t xml:space="preserve">6</w:t>
            </w:r>
          </w:p>
        </w:tc>
        <w:tc>
          <w:tcPr>
            <w:tcW w:type="dxa" w:w="900"/>
            <w:tcMar>
              <w:top w:type="dxa" w:w="60"/>
              <w:left w:type="dxa" w:w="90"/>
              <w:bottom w:type="dxa" w:w="60"/>
              <w:right w:type="dxa" w:w="90"/>
            </w:tcMar>
          </w:tcPr>
          <w:p>
            <w:r>
              <w:rPr>
                <w:b w:val="false"/>
                <w:bCs w:val="false"/>
                <w:sz w:val="18"/>
                <w:szCs w:val="18"/>
              </w:rPr>
              <w:t xml:space="preserve">Medium</w:t>
            </w:r>
          </w:p>
        </w:tc>
        <w:tc>
          <w:tcPr>
            <w:tcW w:type="dxa" w:w="2300"/>
            <w:tcMar>
              <w:top w:type="dxa" w:w="60"/>
              <w:left w:type="dxa" w:w="90"/>
              <w:bottom w:type="dxa" w:w="60"/>
              <w:right w:type="dxa" w:w="90"/>
            </w:tcMar>
          </w:tcPr>
          <w:p>
            <w:r>
              <w:rPr>
                <w:b w:val="false"/>
                <w:bCs w:val="false"/>
                <w:sz w:val="18"/>
                <w:szCs w:val="18"/>
              </w:rPr>
              <w:t xml:space="preserve">Mitigate: set billing alerts at 80% of budget; use free-tier Spark plan for development</w:t>
            </w:r>
          </w:p>
        </w:tc>
        <w:tc>
          <w:tcPr>
            <w:tcW w:type="dxa" w:w="1300"/>
            <w:tcMar>
              <w:top w:type="dxa" w:w="60"/>
              <w:left w:type="dxa" w:w="90"/>
              <w:bottom w:type="dxa" w:w="60"/>
              <w:right w:type="dxa" w:w="90"/>
            </w:tcMar>
          </w:tcPr>
          <w:p>
            <w:r>
              <w:rPr>
                <w:b w:val="false"/>
                <w:bCs w:val="false"/>
                <w:sz w:val="18"/>
                <w:szCs w:val="18"/>
              </w:rPr>
              <w:t xml:space="preserve">Subham Giri</w:t>
            </w:r>
          </w:p>
        </w:tc>
      </w:tr>
      <w:tr>
        <w:tc>
          <w:tcPr>
            <w:tcW w:type="dxa" w:w="700"/>
            <w:tcMar>
              <w:top w:type="dxa" w:w="60"/>
              <w:left w:type="dxa" w:w="90"/>
              <w:bottom w:type="dxa" w:w="60"/>
              <w:right w:type="dxa" w:w="90"/>
            </w:tcMar>
          </w:tcPr>
          <w:p>
            <w:r>
              <w:rPr>
                <w:b w:val="false"/>
                <w:bCs w:val="false"/>
                <w:sz w:val="18"/>
                <w:szCs w:val="18"/>
              </w:rPr>
              <w:t xml:space="preserve">R04</w:t>
            </w:r>
          </w:p>
        </w:tc>
        <w:tc>
          <w:tcPr>
            <w:tcW w:type="dxa" w:w="2450"/>
            <w:tcMar>
              <w:top w:type="dxa" w:w="60"/>
              <w:left w:type="dxa" w:w="90"/>
              <w:bottom w:type="dxa" w:w="60"/>
              <w:right w:type="dxa" w:w="90"/>
            </w:tcMar>
          </w:tcPr>
          <w:p>
            <w:r>
              <w:rPr>
                <w:b w:val="false"/>
                <w:bCs w:val="false"/>
                <w:sz w:val="18"/>
                <w:szCs w:val="18"/>
              </w:rPr>
              <w:t xml:space="preserve">Firestore security rules misconfigured, allowing cross-site data access</w:t>
            </w:r>
          </w:p>
        </w:tc>
        <w:tc>
          <w:tcPr>
            <w:tcW w:type="dxa" w:w="500"/>
            <w:tcMar>
              <w:top w:type="dxa" w:w="60"/>
              <w:left w:type="dxa" w:w="90"/>
              <w:bottom w:type="dxa" w:w="60"/>
              <w:right w:type="dxa" w:w="90"/>
            </w:tcMar>
          </w:tcPr>
          <w:p>
            <w:r>
              <w:rPr>
                <w:b w:val="false"/>
                <w:bCs w:val="false"/>
                <w:sz w:val="18"/>
                <w:szCs w:val="18"/>
              </w:rPr>
              <w:t xml:space="preserve">2</w:t>
            </w:r>
          </w:p>
        </w:tc>
        <w:tc>
          <w:tcPr>
            <w:tcW w:type="dxa" w:w="500"/>
            <w:tcMar>
              <w:top w:type="dxa" w:w="60"/>
              <w:left w:type="dxa" w:w="90"/>
              <w:bottom w:type="dxa" w:w="60"/>
              <w:right w:type="dxa" w:w="90"/>
            </w:tcMar>
          </w:tcPr>
          <w:p>
            <w:r>
              <w:rPr>
                <w:b w:val="false"/>
                <w:bCs w:val="false"/>
                <w:sz w:val="18"/>
                <w:szCs w:val="18"/>
              </w:rPr>
              <w:t xml:space="preserve">5</w:t>
            </w:r>
          </w:p>
        </w:tc>
        <w:tc>
          <w:tcPr>
            <w:tcW w:type="dxa" w:w="700"/>
            <w:tcMar>
              <w:top w:type="dxa" w:w="60"/>
              <w:left w:type="dxa" w:w="90"/>
              <w:bottom w:type="dxa" w:w="60"/>
              <w:right w:type="dxa" w:w="90"/>
            </w:tcMar>
          </w:tcPr>
          <w:p>
            <w:r>
              <w:rPr>
                <w:b w:val="false"/>
                <w:bCs w:val="false"/>
                <w:sz w:val="18"/>
                <w:szCs w:val="18"/>
              </w:rPr>
              <w:t xml:space="preserve">10</w:t>
            </w:r>
          </w:p>
        </w:tc>
        <w:tc>
          <w:tcPr>
            <w:tcW w:type="dxa" w:w="900"/>
            <w:tcMar>
              <w:top w:type="dxa" w:w="60"/>
              <w:left w:type="dxa" w:w="90"/>
              <w:bottom w:type="dxa" w:w="60"/>
              <w:right w:type="dxa" w:w="90"/>
            </w:tcMar>
          </w:tcPr>
          <w:p>
            <w:r>
              <w:rPr>
                <w:b w:val="false"/>
                <w:bCs w:val="false"/>
                <w:sz w:val="18"/>
                <w:szCs w:val="18"/>
              </w:rPr>
              <w:t xml:space="preserve">High</w:t>
            </w:r>
          </w:p>
        </w:tc>
        <w:tc>
          <w:tcPr>
            <w:tcW w:type="dxa" w:w="2300"/>
            <w:tcMar>
              <w:top w:type="dxa" w:w="60"/>
              <w:left w:type="dxa" w:w="90"/>
              <w:bottom w:type="dxa" w:w="60"/>
              <w:right w:type="dxa" w:w="90"/>
            </w:tcMar>
          </w:tcPr>
          <w:p>
            <w:r>
              <w:rPr>
                <w:b w:val="false"/>
                <w:bCs w:val="false"/>
                <w:sz w:val="18"/>
                <w:szCs w:val="18"/>
              </w:rPr>
              <w:t xml:space="preserve">Avoid: peer-review all security rules; automated rule tests before each PoC push</w:t>
            </w:r>
          </w:p>
        </w:tc>
        <w:tc>
          <w:tcPr>
            <w:tcW w:type="dxa" w:w="1300"/>
            <w:tcMar>
              <w:top w:type="dxa" w:w="60"/>
              <w:left w:type="dxa" w:w="90"/>
              <w:bottom w:type="dxa" w:w="60"/>
              <w:right w:type="dxa" w:w="90"/>
            </w:tcMar>
          </w:tcPr>
          <w:p>
            <w:r>
              <w:rPr>
                <w:b w:val="false"/>
                <w:bCs w:val="false"/>
                <w:sz w:val="18"/>
                <w:szCs w:val="18"/>
              </w:rPr>
              <w:t xml:space="preserve">Subham Giri</w:t>
            </w:r>
          </w:p>
        </w:tc>
      </w:tr>
      <w:tr>
        <w:tc>
          <w:tcPr>
            <w:tcW w:type="dxa" w:w="700"/>
            <w:tcMar>
              <w:top w:type="dxa" w:w="60"/>
              <w:left w:type="dxa" w:w="90"/>
              <w:bottom w:type="dxa" w:w="60"/>
              <w:right w:type="dxa" w:w="90"/>
            </w:tcMar>
          </w:tcPr>
          <w:p>
            <w:r>
              <w:rPr>
                <w:b w:val="false"/>
                <w:bCs w:val="false"/>
                <w:sz w:val="18"/>
                <w:szCs w:val="18"/>
              </w:rPr>
              <w:t xml:space="preserve">R05</w:t>
            </w:r>
          </w:p>
        </w:tc>
        <w:tc>
          <w:tcPr>
            <w:tcW w:type="dxa" w:w="2450"/>
            <w:tcMar>
              <w:top w:type="dxa" w:w="60"/>
              <w:left w:type="dxa" w:w="90"/>
              <w:bottom w:type="dxa" w:w="60"/>
              <w:right w:type="dxa" w:w="90"/>
            </w:tcMar>
          </w:tcPr>
          <w:p>
            <w:r>
              <w:rPr>
                <w:b w:val="false"/>
                <w:bCs w:val="false"/>
                <w:sz w:val="18"/>
                <w:szCs w:val="18"/>
              </w:rPr>
              <w:t xml:space="preserve">Assessment 2 word count / structure non-compliance</w:t>
            </w:r>
          </w:p>
        </w:tc>
        <w:tc>
          <w:tcPr>
            <w:tcW w:type="dxa" w:w="500"/>
            <w:tcMar>
              <w:top w:type="dxa" w:w="60"/>
              <w:left w:type="dxa" w:w="90"/>
              <w:bottom w:type="dxa" w:w="60"/>
              <w:right w:type="dxa" w:w="90"/>
            </w:tcMar>
          </w:tcPr>
          <w:p>
            <w:r>
              <w:rPr>
                <w:b w:val="false"/>
                <w:bCs w:val="false"/>
                <w:sz w:val="18"/>
                <w:szCs w:val="18"/>
              </w:rPr>
              <w:t xml:space="preserve">2</w:t>
            </w:r>
          </w:p>
        </w:tc>
        <w:tc>
          <w:tcPr>
            <w:tcW w:type="dxa" w:w="500"/>
            <w:tcMar>
              <w:top w:type="dxa" w:w="60"/>
              <w:left w:type="dxa" w:w="90"/>
              <w:bottom w:type="dxa" w:w="60"/>
              <w:right w:type="dxa" w:w="90"/>
            </w:tcMar>
          </w:tcPr>
          <w:p>
            <w:r>
              <w:rPr>
                <w:b w:val="false"/>
                <w:bCs w:val="false"/>
                <w:sz w:val="18"/>
                <w:szCs w:val="18"/>
              </w:rPr>
              <w:t xml:space="preserve">3</w:t>
            </w:r>
          </w:p>
        </w:tc>
        <w:tc>
          <w:tcPr>
            <w:tcW w:type="dxa" w:w="700"/>
            <w:tcMar>
              <w:top w:type="dxa" w:w="60"/>
              <w:left w:type="dxa" w:w="90"/>
              <w:bottom w:type="dxa" w:w="60"/>
              <w:right w:type="dxa" w:w="90"/>
            </w:tcMar>
          </w:tcPr>
          <w:p>
            <w:r>
              <w:rPr>
                <w:b w:val="false"/>
                <w:bCs w:val="false"/>
                <w:sz w:val="18"/>
                <w:szCs w:val="18"/>
              </w:rPr>
              <w:t xml:space="preserve">6</w:t>
            </w:r>
          </w:p>
        </w:tc>
        <w:tc>
          <w:tcPr>
            <w:tcW w:type="dxa" w:w="900"/>
            <w:tcMar>
              <w:top w:type="dxa" w:w="60"/>
              <w:left w:type="dxa" w:w="90"/>
              <w:bottom w:type="dxa" w:w="60"/>
              <w:right w:type="dxa" w:w="90"/>
            </w:tcMar>
          </w:tcPr>
          <w:p>
            <w:r>
              <w:rPr>
                <w:b w:val="false"/>
                <w:bCs w:val="false"/>
                <w:sz w:val="18"/>
                <w:szCs w:val="18"/>
              </w:rPr>
              <w:t xml:space="preserve">Medium</w:t>
            </w:r>
          </w:p>
        </w:tc>
        <w:tc>
          <w:tcPr>
            <w:tcW w:type="dxa" w:w="2300"/>
            <w:tcMar>
              <w:top w:type="dxa" w:w="60"/>
              <w:left w:type="dxa" w:w="90"/>
              <w:bottom w:type="dxa" w:w="60"/>
              <w:right w:type="dxa" w:w="90"/>
            </w:tcMar>
          </w:tcPr>
          <w:p>
            <w:r>
              <w:rPr>
                <w:b w:val="false"/>
                <w:bCs w:val="false"/>
                <w:sz w:val="18"/>
                <w:szCs w:val="18"/>
              </w:rPr>
              <w:t xml:space="preserve">Mitigate: track word count weekly against the rubric; QA lead reviews structure each week</w:t>
            </w:r>
          </w:p>
        </w:tc>
        <w:tc>
          <w:tcPr>
            <w:tcW w:type="dxa" w:w="1300"/>
            <w:tcMar>
              <w:top w:type="dxa" w:w="60"/>
              <w:left w:type="dxa" w:w="90"/>
              <w:bottom w:type="dxa" w:w="60"/>
              <w:right w:type="dxa" w:w="90"/>
            </w:tcMar>
          </w:tcPr>
          <w:p>
            <w:r>
              <w:rPr>
                <w:b w:val="false"/>
                <w:bCs w:val="false"/>
                <w:sz w:val="18"/>
                <w:szCs w:val="18"/>
              </w:rPr>
              <w:t xml:space="preserve">Sujit Budhathoki</w:t>
            </w:r>
          </w:p>
        </w:tc>
      </w:tr>
      <w:tr>
        <w:tc>
          <w:tcPr>
            <w:tcW w:type="dxa" w:w="700"/>
            <w:tcMar>
              <w:top w:type="dxa" w:w="60"/>
              <w:left w:type="dxa" w:w="90"/>
              <w:bottom w:type="dxa" w:w="60"/>
              <w:right w:type="dxa" w:w="90"/>
            </w:tcMar>
          </w:tcPr>
          <w:p>
            <w:r>
              <w:rPr>
                <w:b w:val="false"/>
                <w:bCs w:val="false"/>
                <w:sz w:val="18"/>
                <w:szCs w:val="18"/>
              </w:rPr>
              <w:t xml:space="preserve">R06</w:t>
            </w:r>
          </w:p>
        </w:tc>
        <w:tc>
          <w:tcPr>
            <w:tcW w:type="dxa" w:w="2450"/>
            <w:tcMar>
              <w:top w:type="dxa" w:w="60"/>
              <w:left w:type="dxa" w:w="90"/>
              <w:bottom w:type="dxa" w:w="60"/>
              <w:right w:type="dxa" w:w="90"/>
            </w:tcMar>
          </w:tcPr>
          <w:p>
            <w:r>
              <w:rPr>
                <w:b w:val="false"/>
                <w:bCs w:val="false"/>
                <w:sz w:val="18"/>
                <w:szCs w:val="18"/>
              </w:rPr>
              <w:t xml:space="preserve">Insufficient reference mix (too academic or too informal)</w:t>
            </w:r>
          </w:p>
        </w:tc>
        <w:tc>
          <w:tcPr>
            <w:tcW w:type="dxa" w:w="500"/>
            <w:tcMar>
              <w:top w:type="dxa" w:w="60"/>
              <w:left w:type="dxa" w:w="90"/>
              <w:bottom w:type="dxa" w:w="60"/>
              <w:right w:type="dxa" w:w="90"/>
            </w:tcMar>
          </w:tcPr>
          <w:p>
            <w:r>
              <w:rPr>
                <w:b w:val="false"/>
                <w:bCs w:val="false"/>
                <w:sz w:val="18"/>
                <w:szCs w:val="18"/>
              </w:rPr>
              <w:t xml:space="preserve">2</w:t>
            </w:r>
          </w:p>
        </w:tc>
        <w:tc>
          <w:tcPr>
            <w:tcW w:type="dxa" w:w="500"/>
            <w:tcMar>
              <w:top w:type="dxa" w:w="60"/>
              <w:left w:type="dxa" w:w="90"/>
              <w:bottom w:type="dxa" w:w="60"/>
              <w:right w:type="dxa" w:w="90"/>
            </w:tcMar>
          </w:tcPr>
          <w:p>
            <w:r>
              <w:rPr>
                <w:b w:val="false"/>
                <w:bCs w:val="false"/>
                <w:sz w:val="18"/>
                <w:szCs w:val="18"/>
              </w:rPr>
              <w:t xml:space="preserve">3</w:t>
            </w:r>
          </w:p>
        </w:tc>
        <w:tc>
          <w:tcPr>
            <w:tcW w:type="dxa" w:w="700"/>
            <w:tcMar>
              <w:top w:type="dxa" w:w="60"/>
              <w:left w:type="dxa" w:w="90"/>
              <w:bottom w:type="dxa" w:w="60"/>
              <w:right w:type="dxa" w:w="90"/>
            </w:tcMar>
          </w:tcPr>
          <w:p>
            <w:r>
              <w:rPr>
                <w:b w:val="false"/>
                <w:bCs w:val="false"/>
                <w:sz w:val="18"/>
                <w:szCs w:val="18"/>
              </w:rPr>
              <w:t xml:space="preserve">6</w:t>
            </w:r>
          </w:p>
        </w:tc>
        <w:tc>
          <w:tcPr>
            <w:tcW w:type="dxa" w:w="900"/>
            <w:tcMar>
              <w:top w:type="dxa" w:w="60"/>
              <w:left w:type="dxa" w:w="90"/>
              <w:bottom w:type="dxa" w:w="60"/>
              <w:right w:type="dxa" w:w="90"/>
            </w:tcMar>
          </w:tcPr>
          <w:p>
            <w:r>
              <w:rPr>
                <w:b w:val="false"/>
                <w:bCs w:val="false"/>
                <w:sz w:val="18"/>
                <w:szCs w:val="18"/>
              </w:rPr>
              <w:t xml:space="preserve">Medium</w:t>
            </w:r>
          </w:p>
        </w:tc>
        <w:tc>
          <w:tcPr>
            <w:tcW w:type="dxa" w:w="2300"/>
            <w:tcMar>
              <w:top w:type="dxa" w:w="60"/>
              <w:left w:type="dxa" w:w="90"/>
              <w:bottom w:type="dxa" w:w="60"/>
              <w:right w:type="dxa" w:w="90"/>
            </w:tcMar>
          </w:tcPr>
          <w:p>
            <w:r>
              <w:rPr>
                <w:b w:val="false"/>
                <w:bCs w:val="false"/>
                <w:sz w:val="18"/>
                <w:szCs w:val="18"/>
              </w:rPr>
              <w:t xml:space="preserve">Mitigate: track reference mix (industry/vendor/academic/government) from Week 6 onward</w:t>
            </w:r>
          </w:p>
        </w:tc>
        <w:tc>
          <w:tcPr>
            <w:tcW w:type="dxa" w:w="1300"/>
            <w:tcMar>
              <w:top w:type="dxa" w:w="60"/>
              <w:left w:type="dxa" w:w="90"/>
              <w:bottom w:type="dxa" w:w="60"/>
              <w:right w:type="dxa" w:w="90"/>
            </w:tcMar>
          </w:tcPr>
          <w:p>
            <w:r>
              <w:rPr>
                <w:b w:val="false"/>
                <w:bCs w:val="false"/>
                <w:sz w:val="18"/>
                <w:szCs w:val="18"/>
              </w:rPr>
              <w:t xml:space="preserve">Madhab Poudel</w:t>
            </w:r>
          </w:p>
        </w:tc>
      </w:tr>
      <w:tr>
        <w:tc>
          <w:tcPr>
            <w:tcW w:type="dxa" w:w="700"/>
            <w:tcMar>
              <w:top w:type="dxa" w:w="60"/>
              <w:left w:type="dxa" w:w="90"/>
              <w:bottom w:type="dxa" w:w="60"/>
              <w:right w:type="dxa" w:w="90"/>
            </w:tcMar>
          </w:tcPr>
          <w:p>
            <w:r>
              <w:rPr>
                <w:b w:val="false"/>
                <w:bCs w:val="false"/>
                <w:sz w:val="18"/>
                <w:szCs w:val="18"/>
              </w:rPr>
              <w:t xml:space="preserve">R07</w:t>
            </w:r>
          </w:p>
        </w:tc>
        <w:tc>
          <w:tcPr>
            <w:tcW w:type="dxa" w:w="2450"/>
            <w:tcMar>
              <w:top w:type="dxa" w:w="60"/>
              <w:left w:type="dxa" w:w="90"/>
              <w:bottom w:type="dxa" w:w="60"/>
              <w:right w:type="dxa" w:w="90"/>
            </w:tcMar>
          </w:tcPr>
          <w:p>
            <w:r>
              <w:rPr>
                <w:b w:val="false"/>
                <w:bCs w:val="false"/>
                <w:sz w:val="18"/>
                <w:szCs w:val="18"/>
              </w:rPr>
              <w:t xml:space="preserve">PoC scope creep delays core feature completion</w:t>
            </w:r>
          </w:p>
        </w:tc>
        <w:tc>
          <w:tcPr>
            <w:tcW w:type="dxa" w:w="500"/>
            <w:tcMar>
              <w:top w:type="dxa" w:w="60"/>
              <w:left w:type="dxa" w:w="90"/>
              <w:bottom w:type="dxa" w:w="60"/>
              <w:right w:type="dxa" w:w="90"/>
            </w:tcMar>
          </w:tcPr>
          <w:p>
            <w:r>
              <w:rPr>
                <w:b w:val="false"/>
                <w:bCs w:val="false"/>
                <w:sz w:val="18"/>
                <w:szCs w:val="18"/>
              </w:rPr>
              <w:t xml:space="preserve">3</w:t>
            </w:r>
          </w:p>
        </w:tc>
        <w:tc>
          <w:tcPr>
            <w:tcW w:type="dxa" w:w="500"/>
            <w:tcMar>
              <w:top w:type="dxa" w:w="60"/>
              <w:left w:type="dxa" w:w="90"/>
              <w:bottom w:type="dxa" w:w="60"/>
              <w:right w:type="dxa" w:w="90"/>
            </w:tcMar>
          </w:tcPr>
          <w:p>
            <w:r>
              <w:rPr>
                <w:b w:val="false"/>
                <w:bCs w:val="false"/>
                <w:sz w:val="18"/>
                <w:szCs w:val="18"/>
              </w:rPr>
              <w:t xml:space="preserve">4</w:t>
            </w:r>
          </w:p>
        </w:tc>
        <w:tc>
          <w:tcPr>
            <w:tcW w:type="dxa" w:w="700"/>
            <w:tcMar>
              <w:top w:type="dxa" w:w="60"/>
              <w:left w:type="dxa" w:w="90"/>
              <w:bottom w:type="dxa" w:w="60"/>
              <w:right w:type="dxa" w:w="90"/>
            </w:tcMar>
          </w:tcPr>
          <w:p>
            <w:r>
              <w:rPr>
                <w:b w:val="false"/>
                <w:bCs w:val="false"/>
                <w:sz w:val="18"/>
                <w:szCs w:val="18"/>
              </w:rPr>
              <w:t xml:space="preserve">12</w:t>
            </w:r>
          </w:p>
        </w:tc>
        <w:tc>
          <w:tcPr>
            <w:tcW w:type="dxa" w:w="900"/>
            <w:tcMar>
              <w:top w:type="dxa" w:w="60"/>
              <w:left w:type="dxa" w:w="90"/>
              <w:bottom w:type="dxa" w:w="60"/>
              <w:right w:type="dxa" w:w="90"/>
            </w:tcMar>
          </w:tcPr>
          <w:p>
            <w:r>
              <w:rPr>
                <w:b w:val="false"/>
                <w:bCs w:val="false"/>
                <w:sz w:val="18"/>
                <w:szCs w:val="18"/>
              </w:rPr>
              <w:t xml:space="preserve">High</w:t>
            </w:r>
          </w:p>
        </w:tc>
        <w:tc>
          <w:tcPr>
            <w:tcW w:type="dxa" w:w="2300"/>
            <w:tcMar>
              <w:top w:type="dxa" w:w="60"/>
              <w:left w:type="dxa" w:w="90"/>
              <w:bottom w:type="dxa" w:w="60"/>
              <w:right w:type="dxa" w:w="90"/>
            </w:tcMar>
          </w:tcPr>
          <w:p>
            <w:r>
              <w:rPr>
                <w:b w:val="false"/>
                <w:bCs w:val="false"/>
                <w:sz w:val="18"/>
                <w:szCs w:val="18"/>
              </w:rPr>
              <w:t xml:space="preserve">Mitigate: fix PoC scope to one feature (real-time messaging in one site room) at Week 6 kick-off; defer extras</w:t>
            </w:r>
          </w:p>
        </w:tc>
        <w:tc>
          <w:tcPr>
            <w:tcW w:type="dxa" w:w="1300"/>
            <w:tcMar>
              <w:top w:type="dxa" w:w="60"/>
              <w:left w:type="dxa" w:w="90"/>
              <w:bottom w:type="dxa" w:w="60"/>
              <w:right w:type="dxa" w:w="90"/>
            </w:tcMar>
          </w:tcPr>
          <w:p>
            <w:r>
              <w:rPr>
                <w:b w:val="false"/>
                <w:bCs w:val="false"/>
                <w:sz w:val="18"/>
                <w:szCs w:val="18"/>
              </w:rPr>
              <w:t xml:space="preserve">Amrit Dahal</w:t>
            </w:r>
          </w:p>
        </w:tc>
      </w:tr>
      <w:tr>
        <w:tc>
          <w:tcPr>
            <w:tcW w:type="dxa" w:w="700"/>
            <w:tcMar>
              <w:top w:type="dxa" w:w="60"/>
              <w:left w:type="dxa" w:w="90"/>
              <w:bottom w:type="dxa" w:w="60"/>
              <w:right w:type="dxa" w:w="90"/>
            </w:tcMar>
          </w:tcPr>
          <w:p>
            <w:r>
              <w:rPr>
                <w:b w:val="false"/>
                <w:bCs w:val="false"/>
                <w:sz w:val="18"/>
                <w:szCs w:val="18"/>
              </w:rPr>
              <w:t xml:space="preserve">R08</w:t>
            </w:r>
          </w:p>
        </w:tc>
        <w:tc>
          <w:tcPr>
            <w:tcW w:type="dxa" w:w="2450"/>
            <w:tcMar>
              <w:top w:type="dxa" w:w="60"/>
              <w:left w:type="dxa" w:w="90"/>
              <w:bottom w:type="dxa" w:w="60"/>
              <w:right w:type="dxa" w:w="90"/>
            </w:tcMar>
          </w:tcPr>
          <w:p>
            <w:r>
              <w:rPr>
                <w:b w:val="false"/>
                <w:bCs w:val="false"/>
                <w:sz w:val="18"/>
                <w:szCs w:val="18"/>
              </w:rPr>
              <w:t xml:space="preserve">Further client/brief changes affecting Assessment 2 scope</w:t>
            </w:r>
          </w:p>
        </w:tc>
        <w:tc>
          <w:tcPr>
            <w:tcW w:type="dxa" w:w="500"/>
            <w:tcMar>
              <w:top w:type="dxa" w:w="60"/>
              <w:left w:type="dxa" w:w="90"/>
              <w:bottom w:type="dxa" w:w="60"/>
              <w:right w:type="dxa" w:w="90"/>
            </w:tcMar>
          </w:tcPr>
          <w:p>
            <w:r>
              <w:rPr>
                <w:b w:val="false"/>
                <w:bCs w:val="false"/>
                <w:sz w:val="18"/>
                <w:szCs w:val="18"/>
              </w:rPr>
              <w:t xml:space="preserve">2</w:t>
            </w:r>
          </w:p>
        </w:tc>
        <w:tc>
          <w:tcPr>
            <w:tcW w:type="dxa" w:w="500"/>
            <w:tcMar>
              <w:top w:type="dxa" w:w="60"/>
              <w:left w:type="dxa" w:w="90"/>
              <w:bottom w:type="dxa" w:w="60"/>
              <w:right w:type="dxa" w:w="90"/>
            </w:tcMar>
          </w:tcPr>
          <w:p>
            <w:r>
              <w:rPr>
                <w:b w:val="false"/>
                <w:bCs w:val="false"/>
                <w:sz w:val="18"/>
                <w:szCs w:val="18"/>
              </w:rPr>
              <w:t xml:space="preserve">4</w:t>
            </w:r>
          </w:p>
        </w:tc>
        <w:tc>
          <w:tcPr>
            <w:tcW w:type="dxa" w:w="700"/>
            <w:tcMar>
              <w:top w:type="dxa" w:w="60"/>
              <w:left w:type="dxa" w:w="90"/>
              <w:bottom w:type="dxa" w:w="60"/>
              <w:right w:type="dxa" w:w="90"/>
            </w:tcMar>
          </w:tcPr>
          <w:p>
            <w:r>
              <w:rPr>
                <w:b w:val="false"/>
                <w:bCs w:val="false"/>
                <w:sz w:val="18"/>
                <w:szCs w:val="18"/>
              </w:rPr>
              <w:t xml:space="preserve">8</w:t>
            </w:r>
          </w:p>
        </w:tc>
        <w:tc>
          <w:tcPr>
            <w:tcW w:type="dxa" w:w="900"/>
            <w:tcMar>
              <w:top w:type="dxa" w:w="60"/>
              <w:left w:type="dxa" w:w="90"/>
              <w:bottom w:type="dxa" w:w="60"/>
              <w:right w:type="dxa" w:w="90"/>
            </w:tcMar>
          </w:tcPr>
          <w:p>
            <w:r>
              <w:rPr>
                <w:b w:val="false"/>
                <w:bCs w:val="false"/>
                <w:sz w:val="18"/>
                <w:szCs w:val="18"/>
              </w:rPr>
              <w:t xml:space="preserve">Medium</w:t>
            </w:r>
          </w:p>
        </w:tc>
        <w:tc>
          <w:tcPr>
            <w:tcW w:type="dxa" w:w="2300"/>
            <w:tcMar>
              <w:top w:type="dxa" w:w="60"/>
              <w:left w:type="dxa" w:w="90"/>
              <w:bottom w:type="dxa" w:w="60"/>
              <w:right w:type="dxa" w:w="90"/>
            </w:tcMar>
          </w:tcPr>
          <w:p>
            <w:r>
              <w:rPr>
                <w:b w:val="false"/>
                <w:bCs w:val="false"/>
                <w:sz w:val="18"/>
                <w:szCs w:val="18"/>
              </w:rPr>
              <w:t xml:space="preserve">Mitigate: maintain change-log in Jira; re-baseline objectives and timeline promptly if scope changes</w:t>
            </w:r>
          </w:p>
        </w:tc>
        <w:tc>
          <w:tcPr>
            <w:tcW w:type="dxa" w:w="1300"/>
            <w:tcMar>
              <w:top w:type="dxa" w:w="60"/>
              <w:left w:type="dxa" w:w="90"/>
              <w:bottom w:type="dxa" w:w="60"/>
              <w:right w:type="dxa" w:w="90"/>
            </w:tcMar>
          </w:tcPr>
          <w:p>
            <w:r>
              <w:rPr>
                <w:b w:val="false"/>
                <w:bCs w:val="false"/>
                <w:sz w:val="18"/>
                <w:szCs w:val="18"/>
              </w:rPr>
              <w:t xml:space="preserve">Amrit Dahal</w:t>
            </w:r>
          </w:p>
        </w:tc>
      </w:tr>
    </w:tbl>
    <w:p>
      <w:pPr>
        <w:pStyle w:val="Heading2"/>
        <w:spacing w:after="100" w:before="200"/>
      </w:pPr>
      <w:r>
        <w:rPr>
          <w:b/>
          <w:bCs/>
          <w:color w:val="1F3864"/>
          <w:sz w:val="24"/>
          <w:szCs w:val="24"/>
        </w:rPr>
        <w:t xml:space="preserve">2.5 Feasibility Study</w:t>
      </w:r>
    </w:p>
    <w:p>
      <w:pPr>
        <w:pStyle w:val="Heading3"/>
        <w:spacing w:after="80" w:before="150"/>
      </w:pPr>
      <w:r>
        <w:rPr>
          <w:b/>
          <w:bCs/>
          <w:i/>
          <w:iCs/>
          <w:color w:val="44546A"/>
          <w:sz w:val="21"/>
          <w:szCs w:val="21"/>
        </w:rPr>
        <w:t xml:space="preserve">Technical Feasibility</w:t>
      </w:r>
    </w:p>
    <w:p>
      <w:pPr>
        <w:spacing w:after="140"/>
        <w:jc w:val="both"/>
      </w:pPr>
      <w:r>
        <w:rPr>
          <w:sz w:val="21"/>
          <w:szCs w:val="21"/>
        </w:rPr>
        <w:t xml:space="preserve">React, Flutter and Firebase (Firestore, Cloud Functions, Cloud Messaging) remain mature, well-documented technologies within the team's existing skill set from the Semester 1 SRS work. The main technical risk is Firestore security-rule correctness, addressed by R04 and R07 above.</w:t>
      </w:r>
    </w:p>
    <w:p>
      <w:pPr>
        <w:pStyle w:val="Heading3"/>
        <w:spacing w:after="80" w:before="150"/>
      </w:pPr>
      <w:r>
        <w:rPr>
          <w:b/>
          <w:bCs/>
          <w:i/>
          <w:iCs/>
          <w:color w:val="44546A"/>
          <w:sz w:val="21"/>
          <w:szCs w:val="21"/>
        </w:rPr>
        <w:t xml:space="preserve">Operational Feasibility</w:t>
      </w:r>
    </w:p>
    <w:p>
      <w:pPr>
        <w:spacing w:after="140"/>
        <w:jc w:val="both"/>
      </w:pPr>
      <w:r>
        <w:rPr>
          <w:sz w:val="21"/>
          <w:szCs w:val="21"/>
        </w:rPr>
        <w:t xml:space="preserve">User acceptance is expected to be favourable given the direct link to familiar CleanTasker task data, contingent on a simple onboarding walkthrough for cleaning staff and supervisors.</w:t>
      </w:r>
    </w:p>
    <w:p>
      <w:pPr>
        <w:pStyle w:val="Heading3"/>
        <w:spacing w:after="80" w:before="150"/>
      </w:pPr>
      <w:r>
        <w:rPr>
          <w:b/>
          <w:bCs/>
          <w:i/>
          <w:iCs/>
          <w:color w:val="44546A"/>
          <w:sz w:val="21"/>
          <w:szCs w:val="21"/>
        </w:rPr>
        <w:t xml:space="preserve">Economic Feasibility</w:t>
      </w:r>
    </w:p>
    <w:p>
      <w:pPr>
        <w:spacing w:after="140"/>
        <w:jc w:val="both"/>
      </w:pPr>
      <w:r>
        <w:rPr>
          <w:sz w:val="21"/>
          <w:szCs w:val="21"/>
        </w:rPr>
        <w:t xml:space="preserve">Firebase's Blaze plan is billed per Firestore read/write, Storage volume and Cloud Messaging usage rather than a licence fee; Azure hosting is similarly consumption-based. At pilot scale, combined costs are expected in the low hundreds of AUD per month, to be confirmed against real pricing calculators in Week 7's cost model (Section 4.3 of the final report).</w:t>
      </w:r>
    </w:p>
    <w:p>
      <w:pPr>
        <w:pStyle w:val="Heading3"/>
        <w:spacing w:after="80" w:before="150"/>
      </w:pPr>
      <w:r>
        <w:rPr>
          <w:b/>
          <w:bCs/>
          <w:i/>
          <w:iCs/>
          <w:color w:val="44546A"/>
          <w:sz w:val="21"/>
          <w:szCs w:val="21"/>
        </w:rPr>
        <w:t xml:space="preserve">Legal &amp; Regulatory Feasibility</w:t>
      </w:r>
    </w:p>
    <w:p>
      <w:pPr>
        <w:spacing w:after="140"/>
        <w:jc w:val="both"/>
      </w:pPr>
      <w:r>
        <w:rPr>
          <w:sz w:val="21"/>
          <w:szCs w:val="21"/>
        </w:rPr>
        <w:t xml:space="preserve">The solution must comply with the Privacy Act 1988, including data-residency considerations, since Firebase/Google Cloud may store data outside Australia. No payment data is processed by SiteChat.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pPr>
    <w:r>
      <w:rPr>
        <w:color w:val="666666"/>
        <w:sz w:val="16"/>
        <w:szCs w:val="16"/>
      </w:rPr>
      <w:t xml:space="preserve">SiteChat — Assessment 2 Industry Project Report — Week 6 Deliverables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2026-08-23T23:58:10.426Z</dcterms:created>
  <dcterms:modified xsi:type="dcterms:W3CDTF">2026-08-23T23:58:10.426Z</dcterms:modified>
</cp:coreProperties>
</file>

<file path=docProps/custom.xml><?xml version="1.0" encoding="utf-8"?>
<Properties xmlns="http://schemas.openxmlformats.org/officeDocument/2006/custom-properties" xmlns:vt="http://schemas.openxmlformats.org/officeDocument/2006/docPropsVTypes"/>
</file>