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Technical Design Document — SiteChat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Week 8 | MIT ACT — Crennotech / SiteChat Group Project | Assessment 2 Industry Project Report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50"/>
      </w:pPr>
      <w:r>
        <w:t xml:space="preserve">SiteChat is a real-time, authenticated messaging capability for on-site coordination, developed as the Assessment 2 proof of concept for the Crennotech group project. This Technical Design Document compiles the architecture, database, API, security and cost decisions produced across Weeks 6–8 into a single reference for the final portfolio submission.</w:t>
      </w:r>
    </w:p>
    <w:p>
      <w:pPr>
        <w:pStyle w:val="Heading1"/>
        <w:spacing w:after="150" w:before="300"/>
      </w:pPr>
      <w:r>
        <w:t xml:space="preserve">2. System Architecture (C4 Model)</w:t>
      </w:r>
    </w:p>
    <w:p>
      <w:pPr>
        <w:spacing w:after="150"/>
      </w:pPr>
      <w:r>
        <w:t xml:space="preserve">The architecture is documented using the C4 model (Context, Container, Component, Code), a widely used, tool-independent notation for communicating software architecture at different levels of abstraction to different audiences.</w:t>
      </w:r>
    </w:p>
    <w:p>
      <w:pPr>
        <w:pStyle w:val="Heading2"/>
        <w:spacing w:after="100" w:before="200"/>
      </w:pPr>
      <w:r>
        <w:t xml:space="preserve">2.1 Context</w:t>
      </w:r>
    </w:p>
    <w:p>
      <w:pPr>
        <w:spacing w:after="150"/>
      </w:pPr>
      <w:r>
        <w:t xml:space="preserve">SiteChat sits within the broader Crennotech/CleanTasker ecosystem. External actors are site supervisors and site workers, authenticating via Firebase Authentication; the system exchanges real-time message data with Cloud Firestore and (in the roadmap) push-notification data with Firebase Cloud Messaging.</w:t>
      </w:r>
    </w:p>
    <w:p>
      <w:pPr>
        <w:pStyle w:val="Heading2"/>
        <w:spacing w:after="100" w:before="200"/>
      </w:pPr>
      <w:r>
        <w:t xml:space="preserve">2.2 Containers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Web/mobile client — the SiteChat front end, subscribing to Firestore queries via onSnapshot listeners for live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Authentication — issues and verifies identity tokens used by both the client and the Firestore ruleset.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Firestore — the primary data store and real-time synchronisation layer for site rooms and messages.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Functions (roadmap) — server-side logic for notification fan-out and moderation, deferred beyond the PoC.</w:t>
      </w:r>
    </w:p>
    <w:p>
      <w:pPr>
        <w:pStyle w:val="Heading2"/>
        <w:spacing w:after="100" w:before="200"/>
      </w:pPr>
      <w:r>
        <w:t xml:space="preserve">2.3 Components / Code</w:t>
      </w:r>
    </w:p>
    <w:p>
      <w:pPr>
        <w:spacing w:after="150"/>
      </w:pPr>
      <w:r>
        <w:t xml:space="preserve">At the component level, the client is organised into an Auth module, a Room List module, a Message Thread module (holding the onSnapshot subscription and message composer), and a Rules-aware data-access layer that mirrors the server-side security rules in client-side validation to fail fast before a write is attempted.</w:t>
      </w:r>
    </w:p>
    <w:p>
      <w:pPr>
        <w:pStyle w:val="Heading1"/>
        <w:spacing w:after="150" w:before="300"/>
      </w:pPr>
      <w:r>
        <w:t xml:space="preserve">3. Database Design</w:t>
      </w:r>
    </w:p>
    <w:p>
      <w:pPr>
        <w:spacing w:after="150"/>
      </w:pPr>
      <w:r>
        <w:t xml:space="preserve">Cloud Firestore's document/collection model was used in preference to a relational schema, matching the read/write access patterns of a chat feature and Firestore's native real-time synchronisation.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Collection</w:t>
            </w:r>
          </w:p>
        </w:tc>
        <w:tc>
          <w:tcPr>
            <w:tcW w:type="dxa" w:w="34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Fields</w:t>
            </w:r>
          </w:p>
        </w:tc>
        <w:tc>
          <w:tcPr>
            <w:tcW w:type="dxa" w:w="336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siteId, siteName, memberUids[]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document per work site; memberUids drives room access control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sites/{siteId}/messages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senderUid, text, sentAt, delivered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Sub-collection scoped to its parent site for query and rule locality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uid, displayName, role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Referenced by security rules to check membership and role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t xml:space="preserve">4. API Specification</w:t>
      </w:r>
    </w:p>
    <w:p>
      <w:pPr>
        <w:spacing w:after="150"/>
      </w:pPr>
      <w:r>
        <w:t xml:space="preserve">SiteChat does not use a custom REST/GraphQL API for the PoC; the Firestore client SDK is the API surface, with all authorisation enforced declaratively in security rules rather than in application code. The equivalent operations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4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SDK Call Pattern</w:t>
            </w:r>
          </w:p>
        </w:tc>
        <w:tc>
          <w:tcPr>
            <w:tcW w:type="dxa" w:w="276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Auth Requirement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 a site room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getDoc(sites/{siteId})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uid in memberUids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Subscribe to messages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onSnapshot(query(messages, orderBy(sentAt)))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uid in parent site's memberUids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a message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addDoc(sites/{siteId}/messages, {...})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senderUid == request.auth.uid AND uid in memberUids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Deferred for Semester 2: a thin Cloud Functions layer to support cross-cutting concerns (push notification fan-out, message moderation) that do not fit cleanly into declarative security rules.</w:t>
      </w:r>
    </w:p>
    <w:p>
      <w:pPr>
        <w:pStyle w:val="Heading1"/>
        <w:spacing w:after="150" w:before="300"/>
      </w:pPr>
      <w:r>
        <w:t xml:space="preserve">5. Security Design</w:t>
      </w:r>
    </w:p>
    <w:p>
      <w:pPr>
        <w:spacing w:after="150"/>
      </w:pPr>
      <w:r>
        <w:t xml:space="preserve">The Firestore ruleset follows the secure-by-default, granular-access-control pattern recommended in vendor guidance: deny all access by default, then explicitly grant the minimum access each role needs, integrated with Firebase Authentication for identity verification.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Deny all reads/writes at the root by default.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Allow read/write on a site document only to authenticated users whose UID is in that site's memberUids array.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Allow message writes only where the message's senderUid matches the authenticated caller's UID, preventing identity spoofing.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Validate data shape (required fields, field types) in the same rule that grants the write, so malformed writes are rejected before they reach the database.</w:t>
      </w:r>
    </w:p>
    <w:p>
      <w:pPr>
        <w:spacing w:after="150"/>
      </w:pPr>
      <w:r>
        <w:t xml:space="preserve">This ruleset was validated against the Week 8 KPI test suite, achieving a 100% pass rate across authentication, membership and identity-spoofing test cases (see Week 8 KPI Evaluation).</w:t>
      </w:r>
    </w:p>
    <w:p>
      <w:pPr>
        <w:pStyle w:val="Heading1"/>
        <w:spacing w:after="150" w:before="300"/>
      </w:pPr>
      <w:r>
        <w:t xml:space="preserve">6. Technology Stack &amp;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456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Managed identity, integrates natively with Firestore rules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&amp; real-time sync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Removes need to hand-build a sync layer; declarative security rules; acceptable latency for site-coordination use case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Web/mobile SDK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Cross-platform SDKs for web, Android and iOS from a single backend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Alternative considered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Node.js + WebSocket server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Rejected for the PoC: lower latency in principle, but requires building auth, reconnection, scaling and access-control logic that Firestore provides out of the box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t xml:space="preserve">7. Cost Model Summary</w:t>
      </w:r>
    </w:p>
    <w:p>
      <w:pPr>
        <w:spacing w:after="150"/>
      </w:pPr>
      <w:r>
        <w:t xml:space="preserve">The Week 7 CAPEX/OPEX analysis, based on published Firebase pricing, found that a Firestore-based backend has negligible CAPEX (no servers to provision) and pay-as-you-go OPEX tied to reads/writes/storage. This favours a low-cost pilot phase, with the caveat — noted consistently in independent reviews — that Firestore costs can escalate unpredictably at scale if read/write patterns are not engineered carefully. The roadmap therefore includes a usage-monitoring recommendation (Section 4.2 of the Conclusion &amp; Recommendations) to catch cost drift early rather than at year-end reconciliation.</w:t>
      </w:r>
    </w:p>
    <w:p>
      <w:pPr>
        <w:pStyle w:val="Heading1"/>
        <w:spacing w:after="150" w:before="300"/>
      </w:pPr>
      <w:r>
        <w:t xml:space="preserve">8. Deployment &amp; Operations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Environments: a single Firebase project was used for the PoC; Semester 2 should introduce separate dev/staging/production Firebase projects.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control: all rules, schema notes and client code pushed to the /assessment2 repository structure, tagged at each weekly milestone (v0.6-week6, v0.7-week7, v1.0-assessment2-final).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Testing: Firestore Rules simulator/emulator used for security-rule verification; client-side timestamps used for latency measurement (see KPI Evaluation).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 (roadmap): Firebase usage dashboards to be reviewed against the Week 7 cost model on a defined cadence once past the PoC stage.</w:t>
      </w:r>
    </w:p>
    <w:p>
      <w:pPr>
        <w:pStyle w:val="Heading1"/>
        <w:spacing w:after="150" w:before="300"/>
      </w:pPr>
      <w:r>
        <w:t xml:space="preserve">9. Appendix — Portfolio Cross-References</w:t>
      </w:r>
    </w:p>
    <w:p>
      <w:pPr>
        <w:spacing w:after="150"/>
      </w:pPr>
      <w:r>
        <w:t xml:space="preserve">This Technical Design Document consolidates and should be read alongside: the Week 6 Project Charter, RACI matrix and Risk Register; the Week 7 Technology &amp; Market Survey, Comparative Analysis, Gap Analysis and Cost Model; and the Week 8 KPI Evaluation, Implementation Roadmap &amp; PoC section, and Conclusion &amp; Recommendations.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2026-09-07T00:47:11.024Z</dcterms:created>
  <dcterms:modified xsi:type="dcterms:W3CDTF">2026-09-07T00:47:11.024Z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