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Week 5 — Risk Register and Cybersecurity Risk Assessment</w:t>
      </w:r>
    </w:p>
    <w:p>
      <w:pPr>
        <w:spacing w:after="160"/>
        <w:jc w:val="both"/>
      </w:pPr>
      <w:r>
        <w:rPr>
          <w:b w:val="false"/>
          <w:bCs w:val="false"/>
          <w:i/>
          <w:iCs/>
        </w:rPr>
        <w:t xml:space="preserve">Project: SiteChat (CleanTasker site communication platform) — Crennotech Pty Ltd</w:t>
      </w:r>
    </w:p>
    <w:p>
      <w:pPr>
        <w:spacing w:after="160"/>
        <w:jc w:val="both"/>
      </w:pPr>
      <w:r>
        <w:rPr>
          <w:b w:val="false"/>
          <w:bCs w:val="false"/>
          <w:i/>
          <w:iCs/>
        </w:rPr>
        <w:t xml:space="preserve">Prepared by: Amrit Dahal (Project Manager), Madhab Poudel, Subham Giri, Sujit Budhathoki</w:t>
      </w:r>
    </w:p>
    <w:p>
      <w:pPr>
        <w:pStyle w:val="Heading2"/>
        <w:spacing w:after="100" w:before="200"/>
      </w:pPr>
      <w:r>
        <w:t xml:space="preserve">1. Risk Register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1100"/>
        <w:gridCol w:w="345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Misconfigured Firestore security rules exposing cross-site chat data.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Peer-review all security rules; automated rule-testing before deployment; least-privilege design.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Former employees retaining access to site chat after offboarding.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 chat access directly to CleanTasker's active-user status; automated de-provisioning on offboarding.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Sensitive operational data leaked via chat messages or attachments.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guidance on appropriate chat content; optional message retention/expiry policy.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Denial-of-service or abuse of Cloud Functions driving unexpected cost or downtime.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on Cloud Functions; Firebase App Check; budget alerts.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failure between SiteChat and existing CleanTasker APIs.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integration testing; documented API contracts; fallback error handling.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user adoption if SiteChat is seen as harder to use than existing channels.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 testing with cleaning staff; simple onboarding walkthrough.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Data-residency or compliance concern due to Firebase/Google Cloud hosting location.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Firebase region settings; review against Crennotech's compliance obligations before build.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Further scope changes mid-project, as already experienced with the Week 4 brief pivot.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 a change-log in Jira; re-baseline objectives and timeline promptly when scope changes.</w:t>
            </w:r>
          </w:p>
        </w:tc>
      </w:tr>
    </w:tbl>
    <w:p>
      <w:pPr>
        <w:pStyle w:val="Heading2"/>
        <w:spacing w:after="100" w:before="200"/>
      </w:pPr>
      <w:r>
        <w:t xml:space="preserve">2. Risk Probability–Impact Matrix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i/>
          <w:iCs/>
          <w:color w:val="44546A"/>
          <w:sz w:val="19"/>
          <w:szCs w:val="19"/>
        </w:rPr>
        <w:t xml:space="preserve">Figure: Risk probability–impact matrix for the SiteChat risk register</w:t>
      </w:r>
    </w:p>
    <w:p>
      <w:pPr>
        <w:pStyle w:val="Heading2"/>
        <w:spacing w:after="100" w:before="200"/>
      </w:pPr>
      <w:r>
        <w:t xml:space="preserve">3. Cybersecurity Risk Assessment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350"/>
        <w:gridCol w:w="2450"/>
        <w:gridCol w:w="2500"/>
      </w:tblGrid>
      <w:tr>
        <w:trPr>
          <w:tblHeader/>
        </w:trPr>
        <w:tc>
          <w:tcPr>
            <w:tcW w:type="dxa" w:w="20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3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Cross-tenant data exposure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Overly permissive or misconfigured Firestore security rules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Unauthorised access to another site's operational and chat data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Least-privilege, per-site Firestore rules; automated rule tests in CI/CD</w:t>
            </w:r>
          </w:p>
        </w:tc>
      </w:tr>
      <w:tr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injection / stored XSS</w:t>
            </w:r>
          </w:p>
        </w:tc>
        <w:tc>
          <w:tcPr>
            <w:tcW w:type="dxa" w:w="2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Unsanitised message content rendered in web/mobile clients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Malicious script execution in another user's client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sanitisation; content-security-policy headers; output encoding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Insecure client-side authentication tokens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 stored or handled insecurely on mobile/web clients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hijacking, impersonation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Firebase Auth best practices; short-lived tokens; secure storage (Keychain/Keystore)</w:t>
            </w:r>
          </w:p>
        </w:tc>
      </w:tr>
      <w:tr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Abuse of Cloud Functions endpoints</w:t>
            </w:r>
          </w:p>
        </w:tc>
        <w:tc>
          <w:tcPr>
            <w:tcW w:type="dxa" w:w="2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Insufficient rate limiting on serverless functions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disruption, unexpected cost, denial of service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limiting, Firebase App Check, monitoring and budget alerts</w:t>
            </w:r>
          </w:p>
        </w:tc>
      </w:tr>
      <w:tr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Unencrypted attachment storage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files stored without encryption or access review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Exposure of operational documents shared in chat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 Cloud Storage buckets; signed, time-limited access URLs</w:t>
            </w:r>
          </w:p>
        </w:tc>
      </w:tr>
      <w:tr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Insider misuse of moderation/admin privileges</w:t>
            </w:r>
          </w:p>
        </w:tc>
        <w:tc>
          <w:tcPr>
            <w:tcW w:type="dxa" w:w="23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Excessive administrator permissions over chat rooms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Unauthorised reading, deletion, or manipulation of chat history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control; audit logging of admin actions; periodic access review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</w:pPr>
    <w:rPr>
      <w:rFonts w:ascii="Calibri" w:cs="Calibri" w:eastAsia="Calibri" w:hAnsi="Calibri"/>
      <w:b/>
      <w:bCs/>
      <w:i/>
      <w:i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a6c3b6743c5ee58097c5f8ade568b4eb2b1f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2026-08-17T00:16:51.139Z</dcterms:created>
  <dcterms:modified xsi:type="dcterms:W3CDTF">2026-08-17T00:16:51.140Z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