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7 ��� Diagrams</w:t>
      </w:r>
    </w:p>
    <w:bookmarkStart w:id="30" w:name="X3a43ccbb4a2f9a9c3658be85b85708cb55c55c3"/>
    <w:p>
      <w:pPr>
        <w:pStyle w:val="Heading1"/>
      </w:pPr>
      <w:r>
        <w:t xml:space="preserve">Proposed Architecture — C4-Style Diagram &amp; Data Flow Narrative</w:t>
      </w:r>
    </w:p>
    <w:p>
      <w:pPr>
        <w:pStyle w:val="FirstParagraph"/>
      </w:pPr>
      <w:r>
        <w:rPr>
          <w:bCs/>
          <w:b/>
        </w:rPr>
        <w:t xml:space="preserve">SiteChat for CleanTasker</w:t>
      </w:r>
      <w:r>
        <w:t xml:space="preserve"> </w:t>
      </w:r>
      <w:r>
        <w:t xml:space="preserve">Week 7 · Solution Design · Push date: 3 Sept 2026</w:t>
      </w:r>
    </w:p>
    <w:bookmarkStart w:id="23" w:name="c4-level-1-system-context"/>
    <w:p>
      <w:pPr>
        <w:pStyle w:val="Heading2"/>
      </w:pPr>
      <w:r>
        <w:t xml:space="preserve">1. C4 Level 1 — System Context</w:t>
      </w:r>
    </w:p>
    <w:p>
      <w:pPr>
        <w:pStyle w:val="CaptionedFigure"/>
      </w:pPr>
      <w:r>
        <w:drawing>
          <wp:inline>
            <wp:extent cx="5334000" cy="2692529"/>
            <wp:effectExtent b="0" l="0" r="0" t="0"/>
            <wp:docPr descr="System Context Diagram" title="" id="21" name="Picture"/>
            <a:graphic>
              <a:graphicData uri="http://schemas.openxmlformats.org/drawingml/2006/picture">
                <pic:pic>
                  <pic:nvPicPr>
                    <pic:cNvPr descr="diagram_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 Context Diagram</w:t>
      </w:r>
    </w:p>
    <w:bookmarkEnd w:id="23"/>
    <w:bookmarkStart w:id="27" w:name="c4-level-2-container-diagram"/>
    <w:p>
      <w:pPr>
        <w:pStyle w:val="Heading2"/>
      </w:pPr>
      <w:r>
        <w:t xml:space="preserve">2. C4 Level 2 — Container Diagram</w:t>
      </w:r>
    </w:p>
    <w:p>
      <w:pPr>
        <w:pStyle w:val="CaptionedFigure"/>
      </w:pPr>
      <w:r>
        <w:drawing>
          <wp:inline>
            <wp:extent cx="5334000" cy="5110633"/>
            <wp:effectExtent b="0" l="0" r="0" t="0"/>
            <wp:docPr descr="Container Diagram" title="" id="25" name="Picture"/>
            <a:graphic>
              <a:graphicData uri="http://schemas.openxmlformats.org/drawingml/2006/picture">
                <pic:pic>
                  <pic:nvPicPr>
                    <pic:cNvPr descr="diagram_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Container Diagram</w:t>
      </w:r>
    </w:p>
    <w:bookmarkEnd w:id="27"/>
    <w:bookmarkStart w:id="28" w:name="data-flow-narrative"/>
    <w:p>
      <w:pPr>
        <w:pStyle w:val="Heading2"/>
      </w:pPr>
      <w:r>
        <w:t xml:space="preserve">3. Data Flow Narrative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Authentication</w:t>
      </w:r>
      <w:r>
        <w:t xml:space="preserve"> </w:t>
      </w:r>
      <w:r>
        <w:t xml:space="preserve">— A worker or supervisor logs into the mobile app (Flutter) or web dashboard (React) via Firebase Auth, which issues a session token scoped to their role (worker vs supervisor) and assigned site(s).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Site context load</w:t>
      </w:r>
      <w:r>
        <w:t xml:space="preserve"> </w:t>
      </w:r>
      <w:r>
        <w:t xml:space="preserve">— On login, the app fetches the user’s active site/shift assignment from the CleanTasker core platform, and joins the corresponding Firestore chat collection for that site (addresses gap</w:t>
      </w:r>
      <w:r>
        <w:t xml:space="preserve"> </w:t>
      </w:r>
      <w:r>
        <w:rPr>
          <w:bCs/>
          <w:b/>
        </w:rPr>
        <w:t xml:space="preserve">G2</w:t>
      </w:r>
      <w:r>
        <w:t xml:space="preserve"> </w:t>
      </w:r>
      <w:r>
        <w:t xml:space="preserve">— site-scoped channels).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Message send</w:t>
      </w:r>
      <w:r>
        <w:t xml:space="preserve"> </w:t>
      </w:r>
      <w:r>
        <w:t xml:space="preserve">— When a user sends a message, the client writes directly to the site’s Firestore document collection. Firestore’s offline persistence queues the write locally if connectivity is poor and syncs automatically on reconnect (addresses gap</w:t>
      </w:r>
      <w:r>
        <w:t xml:space="preserve"> </w:t>
      </w:r>
      <w:r>
        <w:rPr>
          <w:bCs/>
          <w:b/>
        </w:rPr>
        <w:t xml:space="preserve">G5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Real-time propagation</w:t>
      </w:r>
      <w:r>
        <w:t xml:space="preserve"> </w:t>
      </w:r>
      <w:r>
        <w:t xml:space="preserve">— Firestore’s realtime listeners push the new message to all currently connected clients subscribed to that site’s thread (addresses gap</w:t>
      </w:r>
      <w:r>
        <w:t xml:space="preserve"> </w:t>
      </w:r>
      <w:r>
        <w:rPr>
          <w:bCs/>
          <w:b/>
        </w:rPr>
        <w:t xml:space="preserve">G1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Notification trigger</w:t>
      </w:r>
      <w:r>
        <w:t xml:space="preserve"> </w:t>
      </w:r>
      <w:r>
        <w:t xml:space="preserve">— A Cloud Function listens for new writes to the chat collection. If the message is flagged urgent, or the recipient is offline, the function calls Firebase Cloud Messaging to dispatch a push notification (addresses gap</w:t>
      </w:r>
      <w:r>
        <w:t xml:space="preserve"> </w:t>
      </w:r>
      <w:r>
        <w:rPr>
          <w:bCs/>
          <w:b/>
        </w:rPr>
        <w:t xml:space="preserve">G3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Persistence &amp; audit</w:t>
      </w:r>
      <w:r>
        <w:t xml:space="preserve"> </w:t>
      </w:r>
      <w:r>
        <w:t xml:space="preserve">— Every message is stored permanently in Firestore with sender ID, timestamp, site ID, and read-receipt status, providing a queryable audit trail (addresses gap</w:t>
      </w:r>
      <w:r>
        <w:t xml:space="preserve"> </w:t>
      </w:r>
      <w:r>
        <w:rPr>
          <w:bCs/>
          <w:b/>
        </w:rPr>
        <w:t xml:space="preserve">G4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Supervisor oversight</w:t>
      </w:r>
      <w:r>
        <w:t xml:space="preserve"> </w:t>
      </w:r>
      <w:r>
        <w:t xml:space="preserve">— The web dashboard aggregates read access across all sites a supervisor manages, using Firestore security rules to enforce role-based visibility (partial groundwork for gap</w:t>
      </w:r>
      <w:r>
        <w:t xml:space="preserve"> </w:t>
      </w:r>
      <w:r>
        <w:rPr>
          <w:bCs/>
          <w:b/>
        </w:rPr>
        <w:t xml:space="preserve">G6</w:t>
      </w:r>
      <w:r>
        <w:t xml:space="preserve">, full dashboard deferred to Epic 8/stretch scope).</w:t>
      </w:r>
    </w:p>
    <w:bookmarkEnd w:id="28"/>
    <w:bookmarkStart w:id="29" w:name="design-rationale"/>
    <w:p>
      <w:pPr>
        <w:pStyle w:val="Heading2"/>
      </w:pPr>
      <w:r>
        <w:t xml:space="preserve">4. Design Rationale</w:t>
      </w:r>
    </w:p>
    <w:p>
      <w:pPr>
        <w:pStyle w:val="FirstParagraph"/>
      </w:pPr>
      <w:r>
        <w:t xml:space="preserve">This architecture reuses Firebase’s integrated auth, database, and messaging stack (per the Technology &amp; Market Survey) to minimise integration overhead within the Weeks 7–8 PoC window, while keeping the CleanTasker core platform as an external system of record for site/shift/staff data rather than duplicating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Contributors: Amrit (PM), Madhab, Sujit, Subham</w:t>
      </w:r>
      <w:r>
        <w:t xml:space="preserve"> </w:t>
      </w:r>
      <w:r>
        <w:rPr>
          <w:iCs/>
          <w:i/>
        </w:rPr>
        <w:t xml:space="preserve">Labels: week7, solution-design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 ��� Diagrams</dc:title>
  <dc:creator/>
  <cp:keywords/>
  <dcterms:created xsi:type="dcterms:W3CDTF">2026-08-31T00:16:33Z</dcterms:created>
  <dcterms:modified xsi:type="dcterms:W3CDTF">2026-08-31T00:16:33Z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