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PII Anonymization Engine - Evaluation Strategy &amp; Performance Report</w:t>
      </w:r>
    </w:p>
    <w:p>
      <w:pPr>
        <w:spacing w:after="400"/>
        <w:jc w:val="center"/>
      </w:pPr>
      <w:r>
        <w:t>Quantitative Accuracy, Precision, Recall &amp; F1 Analysis</w:t>
      </w:r>
    </w:p>
    <w:p>
      <w:pPr>
        <w:pStyle w:val="Heading1"/>
      </w:pPr>
      <w:r>
        <w:t>1. Executive Summary</w:t>
      </w:r>
    </w:p>
    <w:p>
      <w:r>
        <w:t>This evaluation report presents the quantitative benchmark results of the custom hybrid PII Anonymization Engine. The system was evaluated against annotated ground-truth datasets containing 36 PII entities across 9 distinct categories and 15 technical non-PII identifiers.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Overall Recall</w:t>
            </w:r>
          </w:p>
        </w:tc>
        <w:tc>
          <w:tcPr>
            <w:tcW w:type="dxa" w:w="4320"/>
          </w:tcPr>
          <w:p>
            <w:r>
              <w:t>1.0000 (100.00%)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</w:rPr>
              <w:t>Overall Precision</w:t>
            </w:r>
          </w:p>
        </w:tc>
        <w:tc>
          <w:tcPr>
            <w:tcW w:type="dxa" w:w="4320"/>
          </w:tcPr>
          <w:p>
            <w:r>
              <w:t>1.0000 (100.00%)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</w:rPr>
              <w:t>Overall F1-Score</w:t>
            </w:r>
          </w:p>
        </w:tc>
        <w:tc>
          <w:tcPr>
            <w:tcW w:type="dxa" w:w="4320"/>
          </w:tcPr>
          <w:p>
            <w:r>
              <w:t>1.0000 (100.00%)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</w:rPr>
              <w:t>Overall Accuracy</w:t>
            </w:r>
          </w:p>
        </w:tc>
        <w:tc>
          <w:tcPr>
            <w:tcW w:type="dxa" w:w="4320"/>
          </w:tcPr>
          <w:p>
            <w:r>
              <w:t>100.00%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</w:rPr>
              <w:t>Technical Non-PII Guarding Precision</w:t>
            </w:r>
          </w:p>
        </w:tc>
        <w:tc>
          <w:tcPr>
            <w:tcW w:type="dxa" w:w="4320"/>
          </w:tcPr>
          <w:p>
            <w:r>
              <w:t>100.00% (15/15 IDs Preserved)</w:t>
            </w:r>
          </w:p>
        </w:tc>
      </w:tr>
    </w:tbl>
    <w:p>
      <w:pPr>
        <w:spacing w:after="300"/>
      </w:pPr>
    </w:p>
    <w:p>
      <w:pPr>
        <w:pStyle w:val="Heading1"/>
      </w:pPr>
      <w:r>
        <w:t>2. Quantitative Category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PII Category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TP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FP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Accuracy</w:t>
            </w:r>
          </w:p>
        </w:tc>
      </w:tr>
      <w:tr>
        <w:tc>
          <w:tcPr>
            <w:tcW w:type="dxa" w:w="1080"/>
          </w:tcPr>
          <w:p>
            <w:r>
              <w:t>Full Names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Email Addresses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Phone Numbers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Company Names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Physical Addresses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SSNs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Credit Cards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Dates of Birth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t>IP Addresses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100.00%</w:t>
            </w:r>
          </w:p>
        </w:tc>
      </w:tr>
      <w:tr>
        <w:tc>
          <w:tcPr>
            <w:tcW w:type="dxa" w:w="1080"/>
          </w:tcPr>
          <w:p>
            <w:r>
              <w:rPr>
                <w:b/>
              </w:rPr>
              <w:t>OVERALL SUMMARY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1.0000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1.0000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1.0000</w:t>
            </w:r>
          </w:p>
        </w:tc>
        <w:tc>
          <w:tcPr>
            <w:tcW w:type="dxa" w:w="1080"/>
          </w:tcPr>
          <w:p>
            <w:r>
              <w:rPr>
                <w:b/>
              </w:rPr>
              <w:t>100.00%</w:t>
            </w:r>
          </w:p>
        </w:tc>
      </w:tr>
    </w:tbl>
    <w:p>
      <w:pPr>
        <w:spacing w:after="300"/>
      </w:pPr>
    </w:p>
    <w:p>
      <w:pPr>
        <w:pStyle w:val="Heading1"/>
      </w:pPr>
      <w:r>
        <w:t>3. Methodology &amp; Precision Guarding</w:t>
      </w:r>
    </w:p>
    <w:p>
      <w:r>
        <w:t>Recall measures the engine's ability to catch all PII entities without missing sensitive data. Precision evaluates whether non-sensitive technical identifiers (e.g., Ticket IDs, Order numbers, Transaction IDs, and HTTP status codes) are preserved intact without false-positive redaction.</w:t>
        <w:br/>
        <w:br/>
        <w:t>Results demonstrate 100.00% Non-PII Guard Precision (15 out of 15 technical identifiers preserved without error).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