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before="360" w:after="520"/>
      </w:pPr>
      <w:r>
        <w:rPr>
          <w:rFonts w:ascii="Times New Roman" w:hAnsi="Times New Roman"/>
          <w:outline w:val="0"/>
          <w:color w:val="626a73"/>
          <w:u w:color="626a73"/>
          <w:rtl w:val="0"/>
          <w:lang w:val="de-DE"/>
          <w14:textFill>
            <w14:solidFill>
              <w14:srgbClr w14:val="626A73"/>
            </w14:solidFill>
          </w14:textFill>
        </w:rPr>
        <w:t xml:space="preserve">DSA5208 Project </w:t>
      </w:r>
      <w:r>
        <w:rPr>
          <w:rFonts w:ascii="Times New Roman" w:hAnsi="Times New Roman"/>
          <w:outline w:val="0"/>
          <w:color w:val="626a73"/>
          <w:u w:color="626a73"/>
          <w:rtl w:val="0"/>
          <w:lang w:val="en-US"/>
          <w14:textFill>
            <w14:solidFill>
              <w14:srgbClr w14:val="626A73"/>
            </w14:solidFill>
          </w14:textFill>
        </w:rPr>
        <w:t xml:space="preserve">· </w:t>
      </w:r>
      <w:r>
        <w:rPr>
          <w:rFonts w:ascii="Times New Roman" w:hAnsi="Times New Roman"/>
          <w:outline w:val="0"/>
          <w:color w:val="626a73"/>
          <w:u w:color="626a73"/>
          <w:rtl w:val="0"/>
          <w:lang w:val="de-DE"/>
          <w14:textFill>
            <w14:solidFill>
              <w14:srgbClr w14:val="626A73"/>
            </w14:solidFill>
          </w14:textFill>
        </w:rPr>
        <w:t>Singapore Rainfall Study</w:t>
      </w:r>
    </w:p>
    <w:p>
      <w:pPr>
        <w:pStyle w:val="Body"/>
        <w:pBdr>
          <w:top w:val="nil"/>
          <w:left w:val="nil"/>
          <w:bottom w:val="single" w:color="003d7c" w:sz="8" w:space="0" w:shadow="0" w:frame="0"/>
          <w:right w:val="nil"/>
        </w:pBdr>
        <w:spacing w:after="280"/>
        <w:jc w:val="center"/>
      </w:pPr>
      <w:r>
        <w:rPr>
          <w:rFonts w:ascii="Times New Roman" w:hAnsi="Times New Roman"/>
          <w:b w:val="1"/>
          <w:bCs w:val="1"/>
          <w:outline w:val="0"/>
          <w:color w:val="003d7c"/>
          <w:sz w:val="58"/>
          <w:szCs w:val="58"/>
          <w:u w:color="003d7c"/>
          <w:rtl w:val="0"/>
          <w:lang w:val="en-US"/>
          <w14:textFill>
            <w14:solidFill>
              <w14:srgbClr w14:val="003D7C"/>
            </w14:solidFill>
          </w14:textFill>
        </w:rPr>
        <w:t>Singapore Rainfall Analysis and Prediction</w:t>
      </w:r>
    </w:p>
    <w:p>
      <w:pPr>
        <w:pStyle w:val="Body"/>
        <w:spacing w:after="240"/>
        <w:jc w:val="center"/>
      </w:pPr>
      <w:r>
        <w:rPr>
          <w:rFonts w:ascii="Times New Roman" w:hAnsi="Times New Roman"/>
        </w:rPr>
        <w:drawing xmlns:a="http://schemas.openxmlformats.org/drawingml/2006/main">
          <wp:inline distT="0" distB="0" distL="0" distR="0">
            <wp:extent cx="1234440" cy="1799029"/>
            <wp:effectExtent l="0" t="0" r="0" b="0"/>
            <wp:docPr id="1073741825" name="officeArt object" descr="NUS logo&#10;&#10;National University of Singapore logo"/>
            <wp:cNvGraphicFramePr/>
            <a:graphic xmlns:a="http://schemas.openxmlformats.org/drawingml/2006/main">
              <a:graphicData uri="http://schemas.openxmlformats.org/drawingml/2006/picture">
                <pic:pic xmlns:pic="http://schemas.openxmlformats.org/drawingml/2006/picture">
                  <pic:nvPicPr>
                    <pic:cNvPr id="1073741825" name="NUS logoNational University of Singapore logo" descr="NUS logoNational University of Singapore logo"/>
                    <pic:cNvPicPr>
                      <a:picLocks noChangeAspect="1"/>
                    </pic:cNvPicPr>
                  </pic:nvPicPr>
                  <pic:blipFill>
                    <a:blip r:embed="rId4">
                      <a:extLst/>
                    </a:blip>
                    <a:stretch>
                      <a:fillRect/>
                    </a:stretch>
                  </pic:blipFill>
                  <pic:spPr>
                    <a:xfrm>
                      <a:off x="0" y="0"/>
                      <a:ext cx="1234440" cy="1799029"/>
                    </a:xfrm>
                    <a:prstGeom prst="rect">
                      <a:avLst/>
                    </a:prstGeom>
                    <a:ln w="12700" cap="flat">
                      <a:noFill/>
                      <a:miter lim="400000"/>
                    </a:ln>
                    <a:effectLst/>
                  </pic:spPr>
                </pic:pic>
              </a:graphicData>
            </a:graphic>
          </wp:inline>
        </w:drawing>
      </w:r>
      <w:r>
        <w:rPr>
          <w:rFonts w:ascii="Times New Roman" w:hAnsi="Times New Roman"/>
        </w:rPr>
        <w:br w:type="textWrapping"/>
      </w:r>
      <w:r>
        <w:rPr>
          <w:rFonts w:ascii="Times New Roman" w:hAnsi="Times New Roman"/>
          <w:i w:val="1"/>
          <w:iCs w:val="1"/>
          <w:outline w:val="0"/>
          <w:color w:val="171717"/>
          <w:sz w:val="28"/>
          <w:szCs w:val="28"/>
          <w:u w:color="171717"/>
          <w:rtl w:val="0"/>
          <w:lang w:val="en-US"/>
          <w14:textFill>
            <w14:solidFill>
              <w14:srgbClr w14:val="171717"/>
            </w14:solidFill>
          </w14:textFill>
        </w:rPr>
        <w:t>Spark-based weather-pattern analysis and 30-minute rainfall probability prediction</w:t>
      </w:r>
    </w:p>
    <w:p>
      <w:pPr>
        <w:pStyle w:val="Body"/>
        <w:spacing w:after="200"/>
        <w:jc w:val="center"/>
      </w:pPr>
      <w:r>
        <w:rPr>
          <w:rFonts w:ascii="Times New Roman" w:hAnsi="Times New Roman"/>
          <w:b w:val="1"/>
          <w:bCs w:val="1"/>
          <w:outline w:val="0"/>
          <w:color w:val="171717"/>
          <w:sz w:val="28"/>
          <w:szCs w:val="28"/>
          <w:u w:color="171717"/>
          <w:rtl w:val="0"/>
          <w:lang w:val="en-US"/>
          <w14:textFill>
            <w14:solidFill>
              <w14:srgbClr w14:val="171717"/>
            </w14:solidFill>
          </w14:textFill>
        </w:rPr>
        <w:t>Scalable Distributed Computing for Data Science DSA5208</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4f81bd"/>
        </w:tblPrEx>
        <w:trPr>
          <w:trHeight w:val="212" w:hRule="atLeast"/>
          <w:tblHeader/>
        </w:trPr>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b w:val="1"/>
                <w:bCs w:val="1"/>
                <w:outline w:val="0"/>
                <w:color w:val="626a73"/>
                <w:sz w:val="19"/>
                <w:szCs w:val="19"/>
                <w:u w:color="626a73"/>
                <w:shd w:val="nil" w:color="auto" w:fill="auto"/>
                <w:rtl w:val="0"/>
                <w:lang w:val="en-US"/>
                <w14:textFill>
                  <w14:solidFill>
                    <w14:srgbClr w14:val="626A73"/>
                  </w14:solidFill>
                </w14:textFill>
              </w:rPr>
              <w:t>AUTHOR</w:t>
            </w:r>
          </w:p>
        </w:tc>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b w:val="1"/>
                <w:bCs w:val="1"/>
                <w:outline w:val="0"/>
                <w:color w:val="626a73"/>
                <w:sz w:val="19"/>
                <w:szCs w:val="19"/>
                <w:u w:color="626a73"/>
                <w:shd w:val="nil" w:color="auto" w:fill="auto"/>
                <w:rtl w:val="0"/>
                <w:lang w:val="en-US"/>
                <w14:textFill>
                  <w14:solidFill>
                    <w14:srgbClr w14:val="626A73"/>
                  </w14:solidFill>
                </w14:textFill>
              </w:rPr>
              <w:t>STUDENT ID</w:t>
            </w:r>
          </w:p>
        </w:tc>
      </w:tr>
      <w:tr>
        <w:tblPrEx>
          <w:shd w:val="clear" w:color="auto" w:fill="ced7e7"/>
        </w:tblPrEx>
        <w:trPr>
          <w:trHeight w:val="251" w:hRule="atLeast"/>
        </w:trPr>
        <w:tc>
          <w:tcPr>
            <w:tcW w:type="dxa" w:w="4680"/>
            <w:tcBorders>
              <w:top w:val="nil"/>
              <w:left w:val="nil"/>
              <w:bottom w:val="nil"/>
              <w:right w:val="nil"/>
            </w:tcBorders>
            <w:shd w:val="clear" w:color="auto" w:fill="auto"/>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Amrit Satpathy</w:t>
            </w:r>
          </w:p>
        </w:tc>
        <w:tc>
          <w:tcPr>
            <w:tcW w:type="dxa" w:w="4680"/>
            <w:tcBorders>
              <w:top w:val="nil"/>
              <w:left w:val="nil"/>
              <w:bottom w:val="nil"/>
              <w:right w:val="nil"/>
            </w:tcBorders>
            <w:shd w:val="clear" w:color="auto" w:fill="auto"/>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A0355181E</w:t>
            </w:r>
          </w:p>
        </w:tc>
      </w:tr>
      <w:tr>
        <w:tblPrEx>
          <w:shd w:val="clear" w:color="auto" w:fill="ced7e7"/>
        </w:tblPrEx>
        <w:trPr>
          <w:trHeight w:val="251" w:hRule="atLeast"/>
        </w:trPr>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Ritik Srivastava</w:t>
            </w:r>
          </w:p>
        </w:tc>
        <w:tc>
          <w:tcPr>
            <w:tcW w:type="dxa" w:w="4680"/>
            <w:tcBorders>
              <w:top w:val="nil"/>
              <w:left w:val="nil"/>
              <w:bottom w:val="nil"/>
              <w:right w:val="nil"/>
            </w:tcBorders>
            <w:shd w:val="clear" w:color="auto" w:fill="ffffff"/>
            <w:tcMar>
              <w:top w:type="dxa" w:w="80"/>
              <w:left w:type="dxa" w:w="80"/>
              <w:bottom w:type="dxa" w:w="80"/>
              <w:right w:type="dxa" w:w="80"/>
            </w:tcMar>
            <w:vAlign w:val="center"/>
          </w:tcPr>
          <w:p>
            <w:pPr>
              <w:pStyle w:val="Body"/>
              <w:jc w:val="center"/>
            </w:pPr>
            <w:r>
              <w:rPr>
                <w:outline w:val="0"/>
                <w:color w:val="171717"/>
                <w:sz w:val="22"/>
                <w:szCs w:val="22"/>
                <w:u w:color="171717"/>
                <w:shd w:val="nil" w:color="auto" w:fill="auto"/>
                <w:rtl w:val="0"/>
                <w:lang w:val="en-US"/>
                <w14:textFill>
                  <w14:solidFill>
                    <w14:srgbClr w14:val="171717"/>
                  </w14:solidFill>
                </w14:textFill>
              </w:rPr>
              <w:t>A0355860X</w:t>
            </w:r>
          </w:p>
        </w:tc>
      </w:tr>
    </w:tbl>
    <w:p>
      <w:pPr>
        <w:pStyle w:val="Body"/>
        <w:widowControl w:val="0"/>
        <w:spacing w:after="200" w:line="240" w:lineRule="auto"/>
        <w:ind w:left="120" w:hanging="120"/>
      </w:pPr>
    </w:p>
    <w:p>
      <w:pPr>
        <w:pStyle w:val="Body"/>
        <w:spacing w:after="0"/>
      </w:pPr>
    </w:p>
    <w:p>
      <w:pPr>
        <w:pStyle w:val="Body"/>
        <w:spacing w:before="240" w:after="200"/>
        <w:jc w:val="center"/>
      </w:pPr>
      <w:r>
        <w:rPr>
          <w:rFonts w:ascii="Times New Roman" w:hAnsi="Times New Roman"/>
          <w:i w:val="1"/>
          <w:iCs w:val="1"/>
          <w:outline w:val="0"/>
          <w:color w:val="626a73"/>
          <w:sz w:val="19"/>
          <w:szCs w:val="19"/>
          <w:u w:color="626a73"/>
          <w:rtl w:val="0"/>
          <w:lang w:val="en-US"/>
          <w14:textFill>
            <w14:solidFill>
              <w14:srgbClr w14:val="626A73"/>
            </w14:solidFill>
          </w14:textFill>
        </w:rPr>
        <w:t xml:space="preserve">Dataset: National Environment Agency, Historical Rainfall across Singapore </w:t>
      </w:r>
      <w:r>
        <w:rPr>
          <w:rFonts w:ascii="Times New Roman" w:hAnsi="Times New Roman"/>
          <w:i w:val="1"/>
          <w:iCs w:val="1"/>
          <w:outline w:val="0"/>
          <w:color w:val="626a73"/>
          <w:sz w:val="19"/>
          <w:szCs w:val="19"/>
          <w:u w:color="626a73"/>
          <w:rtl w:val="0"/>
          <w:lang w:val="en-US"/>
          <w14:textFill>
            <w14:solidFill>
              <w14:srgbClr w14:val="626A73"/>
            </w14:solidFill>
          </w14:textFill>
        </w:rPr>
        <w:t xml:space="preserve">· </w:t>
      </w:r>
      <w:r>
        <w:rPr>
          <w:rFonts w:ascii="Times New Roman" w:hAnsi="Times New Roman"/>
          <w:i w:val="1"/>
          <w:iCs w:val="1"/>
          <w:outline w:val="0"/>
          <w:color w:val="626a73"/>
          <w:sz w:val="19"/>
          <w:szCs w:val="19"/>
          <w:u w:color="626a73"/>
          <w:rtl w:val="0"/>
          <w14:textFill>
            <w14:solidFill>
              <w14:srgbClr w14:val="626A73"/>
            </w14:solidFill>
          </w14:textFill>
        </w:rPr>
        <w:t>data.gov.sg</w:t>
      </w:r>
    </w:p>
    <w:p>
      <w:pPr>
        <w:pStyle w:val="Body"/>
        <w:spacing w:before="280"/>
        <w:jc w:val="center"/>
      </w:pPr>
      <w:r>
        <w:rPr>
          <w:rFonts w:ascii="Times New Roman" w:hAnsi="Times New Roman"/>
          <w:outline w:val="0"/>
          <w:color w:val="171717"/>
          <w:sz w:val="24"/>
          <w:szCs w:val="24"/>
          <w:u w:color="171717"/>
          <w:rtl w:val="0"/>
          <w:lang w:val="en-US"/>
          <w14:textFill>
            <w14:solidFill>
              <w14:srgbClr w14:val="171717"/>
            </w14:solidFill>
          </w14:textFill>
        </w:rPr>
        <w:t>October 2026</w:t>
      </w:r>
    </w:p>
    <w:p>
      <w:pPr>
        <w:pStyle w:val="Body"/>
        <w:spacing w:after="0" w:line="20" w:lineRule="exact"/>
      </w:pPr>
      <w:r>
        <w:rPr>
          <w:rFonts w:ascii="Arial Unicode MS" w:cs="Arial Unicode MS" w:hAnsi="Arial Unicode MS" w:eastAsia="Arial Unicode MS"/>
          <w:b w:val="0"/>
          <w:bCs w:val="0"/>
          <w:i w:val="0"/>
          <w:iCs w:val="0"/>
          <w:sz w:val="2"/>
          <w:szCs w:val="2"/>
        </w:rPr>
        <w:br w:type="page"/>
      </w:r>
    </w:p>
    <w:p>
      <w:pPr>
        <w:pStyle w:val="Heading"/>
        <w:spacing w:after="200"/>
      </w:pPr>
      <w:r>
        <w:rPr>
          <w:rtl w:val="0"/>
          <w:lang w:val="en-US"/>
        </w:rPr>
        <w:t>Contents</w:t>
      </w:r>
    </w:p>
    <w:p>
      <w:pPr>
        <w:pStyle w:val="Body"/>
        <w:tabs>
          <w:tab w:val="right" w:pos="8800" w:leader="dot"/>
        </w:tabs>
        <w:spacing w:after="80"/>
      </w:pPr>
      <w:r>
        <w:t>Abstract</w:t>
        <w:tab/>
        <w:t>3</w:t>
      </w:r>
    </w:p>
    <w:p>
      <w:pPr>
        <w:pStyle w:val="Body"/>
        <w:tabs>
          <w:tab w:val="right" w:pos="8800" w:leader="dot"/>
        </w:tabs>
        <w:spacing w:after="80"/>
      </w:pPr>
      <w:r>
        <w:t>1. Introduction and objectives</w:t>
        <w:tab/>
        <w:t>4</w:t>
      </w:r>
    </w:p>
    <w:p>
      <w:pPr>
        <w:pStyle w:val="Body"/>
        <w:tabs>
          <w:tab w:val="right" w:pos="8800" w:leader="dot"/>
        </w:tabs>
        <w:spacing w:after="80"/>
      </w:pPr>
      <w:r>
        <w:t>2. Dataset and data preparation</w:t>
        <w:tab/>
        <w:t>4</w:t>
      </w:r>
    </w:p>
    <w:p>
      <w:pPr>
        <w:pStyle w:val="Body"/>
        <w:tabs>
          <w:tab w:val="right" w:pos="8800" w:leader="dot"/>
        </w:tabs>
        <w:spacing w:after="80"/>
      </w:pPr>
      <w:r>
        <w:t>3. Computing architecture</w:t>
        <w:tab/>
        <w:t>5</w:t>
      </w:r>
    </w:p>
    <w:p>
      <w:pPr>
        <w:pStyle w:val="Body"/>
        <w:tabs>
          <w:tab w:val="right" w:pos="8800" w:leader="dot"/>
        </w:tabs>
        <w:spacing w:after="80"/>
      </w:pPr>
      <w:r>
        <w:t>4. Exploratory data analysis</w:t>
        <w:tab/>
        <w:t>6</w:t>
      </w:r>
    </w:p>
    <w:p>
      <w:pPr>
        <w:pStyle w:val="Body"/>
        <w:tabs>
          <w:tab w:val="right" w:pos="8800" w:leader="dot"/>
        </w:tabs>
        <w:spacing w:after="80"/>
      </w:pPr>
      <w:r>
        <w:t>5. Task 2 — rainfall-probability prediction</w:t>
        <w:tab/>
        <w:t>10</w:t>
      </w:r>
    </w:p>
    <w:p>
      <w:pPr>
        <w:pStyle w:val="Body"/>
        <w:tabs>
          <w:tab w:val="right" w:pos="8800" w:leader="dot"/>
        </w:tabs>
        <w:spacing w:after="80"/>
      </w:pPr>
      <w:r>
        <w:t>6. Model and compute experiments</w:t>
        <w:tab/>
        <w:t>13</w:t>
      </w:r>
    </w:p>
    <w:p>
      <w:pPr>
        <w:pStyle w:val="Body"/>
        <w:tabs>
          <w:tab w:val="right" w:pos="8800" w:leader="dot"/>
        </w:tabs>
        <w:spacing w:after="80"/>
      </w:pPr>
      <w:r>
        <w:t>7. Threats to validity and proposed extensions</w:t>
        <w:tab/>
        <w:t>16</w:t>
      </w:r>
    </w:p>
    <w:p>
      <w:pPr>
        <w:pStyle w:val="Body"/>
        <w:tabs>
          <w:tab w:val="right" w:pos="8800" w:leader="dot"/>
        </w:tabs>
        <w:spacing w:after="80"/>
      </w:pPr>
      <w:r>
        <w:t>8. Limitations and conclusion</w:t>
        <w:tab/>
        <w:t>16</w:t>
      </w:r>
    </w:p>
    <w:p>
      <w:pPr>
        <w:pStyle w:val="Body"/>
        <w:tabs>
          <w:tab w:val="right" w:pos="8800" w:leader="dot"/>
        </w:tabs>
        <w:spacing w:after="80"/>
      </w:pPr>
      <w:r>
        <w:t>9. AI usage declaration</w:t>
        <w:tab/>
        <w:t>17</w:t>
      </w:r>
    </w:p>
    <w:p>
      <w:pPr>
        <w:pStyle w:val="Body"/>
        <w:tabs>
          <w:tab w:val="right" w:pos="8800" w:leader="dot"/>
        </w:tabs>
        <w:spacing w:after="80"/>
      </w:pPr>
      <w:r>
        <w:t>References</w:t>
        <w:tab/>
        <w:t>17</w:t>
      </w:r>
    </w:p>
    <w:p>
      <w:pPr>
        <w:pStyle w:val="Body"/>
        <w:tabs>
          <w:tab w:val="right" w:pos="8800" w:leader="dot"/>
        </w:tabs>
        <w:spacing w:after="80"/>
      </w:pPr>
      <w:r>
        <w:t>Appendix A. Distributed systems architecture</w:t>
        <w:tab/>
        <w:t>18</w:t>
      </w:r>
    </w:p>
    <w:p>
      <w:pPr>
        <w:pStyle w:val="Body"/>
        <w:tabs>
          <w:tab w:val="right" w:pos="8800" w:leader="dot"/>
        </w:tabs>
        <w:spacing w:after="80"/>
      </w:pPr>
      <w:r>
        <w:t>Appendix B. Model architecture atlas</w:t>
        <w:tab/>
        <w:t>21</w:t>
      </w:r>
    </w:p>
    <w:p>
      <w:pPr>
        <w:pStyle w:val="Body"/>
        <w:spacing w:before="200"/>
      </w:pPr>
    </w:p>
    <w:p>
      <w:pPr>
        <w:pStyle w:val="Body"/>
      </w:pPr>
      <w:r>
        <w:rPr>
          <w:rStyle w:val="None"/>
          <w:rFonts w:ascii="Arial Unicode MS" w:cs="Arial Unicode MS" w:hAnsi="Arial Unicode MS" w:eastAsia="Arial Unicode MS"/>
          <w:b w:val="0"/>
          <w:bCs w:val="0"/>
          <w:i w:val="0"/>
          <w:iCs w:val="0"/>
        </w:rPr>
        <w:br w:type="page"/>
      </w:r>
    </w:p>
    <w:p>
      <w:pPr>
        <w:pStyle w:val="Heading"/>
      </w:pPr>
      <w:bookmarkStart w:name="toc_abstract" w:id="0"/>
      <w:bookmarkEnd w:id="0"/>
      <w:r>
        <w:t>Abstract</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This project uses Apache Spark to analyse 48,538,713 cleaned five-minute rainfall readings from 91 monitoring stations across Singapore between 2017 and 2024. It addresses two tasks: describing seasonal, diurnal, interannual and spatial rainfall patterns, and estimating the probability that a station will accumulate more than a user-selected amount of rainfall in the next 30 minutes.</w:t>
      </w:r>
    </w:p>
    <w:p>
      <w:pPr>
        <w:pStyle w:val="Body"/>
        <w:spacing w:line="254" w:lineRule="auto" w:before="0" w:after="100"/>
      </w:pPr>
      <w:r>
        <w:rPr>
          <w:rFonts w:ascii="Times New Roman" w:hAnsi="Times New Roman"/>
          <w:sz w:val="18"/>
        </w:rPr>
        <w:t>The rainfall summaries show pronounced variation. Mean annual rainfall per station is lowest in 2019 (1,526 mm) and highest in 2022 (2,750 mm). Wet readings peak around 14:00–16:00 Singapore Time. The annual station inventory grows from 62 devices in 2017 to 70 in 2024, while the H3 and official-region views show persistent spatial heterogeneity rather than a uniform island-wide pattern.</w:t>
      </w:r>
    </w:p>
    <w:p>
      <w:pPr>
        <w:pStyle w:val="Body"/>
        <w:spacing w:line="264" w:lineRule="auto"/>
      </w:pPr>
      <w:r>
        <w:rPr>
          <w:rStyle w:val="None"/>
          <w:rFonts w:ascii="Times New Roman" w:hAnsi="Times New Roman"/>
          <w:rtl w:val="0"/>
          <w:lang w:val="en-US"/>
        </w:rPr>
        <w:t>The submitted Spark MLlib Gradient-Boosted Trees pipeline is linked to a saved-model record with 7,997,496 threshold-expanded training rows and 31,872,380 2024 test rows. It reports ROC-AUC 0.924 and PR-AUC 0.584. The reported F1 of 0.984 is MLlib's weighted F1; the retained evaluation artifacts do not establish positive-class precision, recall, F1 or probability calibration. Operational rare-event claims are therefore outside the supported scope.</w:t>
      </w:r>
    </w:p>
    <w:p>
      <w:pPr>
        <w:pStyle w:val="Body"/>
        <w:spacing w:before="80" w:after="120" w:line="254" w:lineRule="auto"/>
        <w:ind w:left="86" w:right="86" w:firstLine="0"/>
        <w:pBdr>
          <w:left w:val="single" w:sz="12" w:space="8" w:color="5A6B7A"/>
        </w:pBdr>
      </w:pPr>
      <w:r>
        <w:rPr>
          <w:rFonts w:ascii="Times New Roman" w:hAnsi="Times New Roman"/>
          <w:b/>
          <w:sz w:val="18"/>
        </w:rPr>
        <w:t>Systems observation.</w:t>
      </w:r>
      <w:r>
        <w:rPr>
          <w:rFonts w:ascii="Times New Roman" w:hAnsi="Times New Roman"/>
          <w:sz w:val="18"/>
        </w:rPr>
        <w:t xml:space="preserve"> On the shared laptop, local[*] completed the reported workloads sooner than the tested Standalone and Docker layouts. This is consistent with process, serialisation and container overhead on a single host; it should not be read as evidence against multi-machine Spark scaling.</w:t>
      </w:r>
    </w:p>
    <w:p>
      <w:pPr>
        <w:pStyle w:val="Heading"/>
        <w:pageBreakBefore w:val="1"/>
      </w:pPr>
      <w:bookmarkStart w:name="toc_s1" w:id="1"/>
      <w:bookmarkEnd w:id="1"/>
      <w:r>
        <w:t>1. Introduction and objectives</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Rainfall at five-minute resolution is temporally clustered: consecutive wet readings can represent the development and passage of a shower, while most station-time observations are dry. This makes recent rainfall, local time and station context useful for short-horizon probability prediction.</w:t>
      </w:r>
    </w:p>
    <w:p>
      <w:pPr>
        <w:pStyle w:val="Heading 2"/>
      </w:pPr>
      <w:r>
        <w:rPr>
          <w:rStyle w:val="None"/>
          <w:rFonts w:ascii="Times New Roman" w:hAnsi="Times New Roman"/>
          <w:outline w:val="0"/>
          <w:color w:val="000000"/>
          <w:u w:color="000000"/>
          <w:rtl w:val="0"/>
          <w:lang w:val="en-US"/>
          <w14:textFill>
            <w14:solidFill>
              <w14:srgbClr w14:val="000000"/>
            </w14:solidFill>
          </w14:textFill>
        </w:rPr>
        <w:t>1.1 Project tasks</w:t>
      </w:r>
    </w:p>
    <w:p>
      <w:pPr>
        <w:pStyle w:val="List Bullet"/>
        <w:numPr>
          <w:ilvl w:val="0"/>
          <w:numId w:val="2"/>
        </w:numPr>
        <w:rPr>
          <w:lang w:val="en-US"/>
        </w:rPr>
      </w:pPr>
      <w:r>
        <w:rPr>
          <w:rStyle w:val="Hyperlink.0"/>
          <w:rtl w:val="0"/>
          <w:lang w:val="en-US"/>
        </w:rPr>
        <w:t xml:space="preserve">Task 1 </w:t>
      </w:r>
      <w:r>
        <w:rPr>
          <w:rStyle w:val="Hyperlink.0"/>
          <w:rtl w:val="0"/>
          <w:lang w:val="en-US"/>
        </w:rPr>
        <w:t xml:space="preserve">— </w:t>
      </w:r>
      <w:r>
        <w:rPr>
          <w:rStyle w:val="Hyperlink.0"/>
          <w:rtl w:val="0"/>
          <w:lang w:val="en-US"/>
        </w:rPr>
        <w:t>explore how rainfall changes within a year and across 2017</w:t>
      </w:r>
      <w:r>
        <w:rPr>
          <w:rStyle w:val="Hyperlink.0"/>
          <w:rtl w:val="0"/>
          <w:lang w:val="en-US"/>
        </w:rPr>
        <w:t>–</w:t>
      </w:r>
      <w:r>
        <w:rPr>
          <w:rStyle w:val="Hyperlink.0"/>
          <w:rtl w:val="0"/>
          <w:lang w:val="en-US"/>
        </w:rPr>
        <w:t>2024, using appropriate summaries and visualisations.</w:t>
      </w:r>
    </w:p>
    <w:p>
      <w:pPr>
        <w:pStyle w:val="List Bullet"/>
        <w:numPr>
          <w:ilvl w:val="0"/>
          <w:numId w:val="2"/>
        </w:numPr>
        <w:rPr>
          <w:lang w:val="en-US"/>
        </w:rPr>
      </w:pPr>
      <w:r>
        <w:rPr>
          <w:rStyle w:val="Hyperlink.0"/>
          <w:rtl w:val="0"/>
          <w:lang w:val="en-US"/>
        </w:rPr>
        <w:t xml:space="preserve">Task 2 </w:t>
      </w:r>
      <w:r>
        <w:rPr>
          <w:rStyle w:val="Hyperlink.0"/>
          <w:rtl w:val="0"/>
          <w:lang w:val="en-US"/>
        </w:rPr>
        <w:t xml:space="preserve">— </w:t>
      </w:r>
      <w:r>
        <w:rPr>
          <w:rStyle w:val="Hyperlink.0"/>
          <w:rtl w:val="0"/>
          <w:lang w:val="en-US"/>
        </w:rPr>
        <w:t>estimate P(next-30-minute accumulation &gt; q) for a specified station, prediction time and rainfall threshold q using Spark MLlib.</w:t>
      </w:r>
    </w:p>
    <w:p>
      <w:pPr>
        <w:pStyle w:val="List Bullet"/>
        <w:numPr>
          <w:ilvl w:val="0"/>
          <w:numId w:val="2"/>
        </w:numPr>
        <w:rPr>
          <w:lang w:val="en-US"/>
        </w:rPr>
      </w:pPr>
      <w:r>
        <w:rPr>
          <w:rStyle w:val="Hyperlink.0"/>
          <w:rtl w:val="0"/>
          <w:lang w:val="en-US"/>
        </w:rPr>
        <w:t xml:space="preserve">Additional study </w:t>
      </w:r>
      <w:r>
        <w:rPr>
          <w:rStyle w:val="Hyperlink.0"/>
          <w:rtl w:val="0"/>
          <w:lang w:val="en-US"/>
        </w:rPr>
        <w:t xml:space="preserve">— </w:t>
      </w:r>
      <w:r>
        <w:rPr>
          <w:rStyle w:val="Hyperlink.0"/>
          <w:rtl w:val="0"/>
          <w:lang w:val="en-US"/>
        </w:rPr>
        <w:t>compare model quality and deployment cost while describing the limits of a single-host distributed experiment.</w:t>
      </w:r>
    </w:p>
    <w:p>
      <w:pPr>
        <w:pStyle w:val="Heading 2"/>
      </w:pPr>
      <w:r>
        <w:rPr>
          <w:rStyle w:val="None"/>
          <w:rFonts w:ascii="Times New Roman" w:hAnsi="Times New Roman"/>
          <w:outline w:val="0"/>
          <w:color w:val="000000"/>
          <w:u w:color="000000"/>
          <w:rtl w:val="0"/>
          <w:lang w:val="en-US"/>
          <w14:textFill>
            <w14:solidFill>
              <w14:srgbClr w14:val="000000"/>
            </w14:solidFill>
          </w14:textFill>
        </w:rPr>
        <w:t>1.2 Scope and interpretation</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observations come from monitoring stations rather than one island-wide gauge. Station availability changes over time, so per-station normalisation improves comparison but does not fully remove coverage bias. The public source also warns that missing observations can occur and that the data have not undergone the same quality-control procedures as official climate records [1].</w:t>
      </w:r>
    </w:p>
    <w:p>
      <w:pPr>
        <w:pStyle w:val="Heading"/>
      </w:pPr>
      <w:bookmarkStart w:name="toc_s2" w:id="2"/>
      <w:bookmarkEnd w:id="2"/>
      <w:r>
        <w:t>2. Dataset and data preparation</w:t>
      </w:r>
    </w:p>
    <w:p>
      <w:pPr>
        <w:pStyle w:val="caption"/>
        <w:keepNext w:val="1"/>
        <w:spacing w:before="100" w:after="60"/>
        <w:jc w:val="center"/>
      </w:pPr>
      <w:r>
        <w:rPr>
          <w:rStyle w:val="None"/>
          <w:rFonts w:ascii="Times New Roman" w:hAnsi="Times New Roman"/>
          <w:b w:val="1"/>
          <w:bCs w:val="1"/>
          <w:i w:val="0"/>
          <w:iCs w:val="0"/>
          <w:rtl w:val="0"/>
          <w:lang w:val="en-US"/>
        </w:rPr>
        <w:t xml:space="preserve">Table 1. </w:t>
      </w:r>
      <w:r>
        <w:rPr>
          <w:rStyle w:val="None"/>
          <w:rFonts w:ascii="Times New Roman" w:hAnsi="Times New Roman"/>
          <w:i w:val="0"/>
          <w:iCs w:val="0"/>
          <w:rtl w:val="0"/>
          <w:lang w:val="en-US"/>
        </w:rPr>
        <w:t>Dataset scope and retained data profile.</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48"/>
        <w:gridCol w:w="6912"/>
      </w:tblGrid>
      <w:tr>
        <w:tblPrEx>
          <w:shd w:val="clear" w:color="auto" w:fill="4f81bd"/>
        </w:tblPrEx>
        <w:trPr>
          <w:trHeight w:val="207" w:hRule="atLeast"/>
          <w:tblHeader/>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Item</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Reported value / treatment</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Years</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2017</w:t>
            </w:r>
            <w:r>
              <w:rPr>
                <w:rStyle w:val="None"/>
                <w:sz w:val="18"/>
                <w:szCs w:val="18"/>
                <w:shd w:val="nil" w:color="auto" w:fill="auto"/>
                <w:rtl w:val="0"/>
                <w:lang w:val="en-US"/>
              </w:rPr>
              <w:t>–</w:t>
            </w:r>
            <w:r>
              <w:rPr>
                <w:rStyle w:val="None"/>
                <w:sz w:val="18"/>
                <w:szCs w:val="18"/>
                <w:shd w:val="nil" w:color="auto" w:fill="auto"/>
                <w:rtl w:val="0"/>
                <w:lang w:val="en-US"/>
              </w:rPr>
              <w:t>2024 inclusive</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Raw size</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Approximately 7.8 GB across eight CSV files</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Cleaned records</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48,538,713</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Distinct stations</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91</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Storage</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Parquet partitioned by year</w:t>
            </w:r>
          </w:p>
        </w:tc>
      </w:tr>
      <w:tr>
        <w:tblPrEx>
          <w:shd w:val="clear" w:color="auto" w:fill="ced7e7"/>
        </w:tblPrEx>
        <w:trPr>
          <w:trHeight w:val="207" w:hRule="atLeast"/>
        </w:trPr>
        <w:tc>
          <w:tcPr>
            <w:tcW w:type="dxa" w:w="244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Time convention</w:t>
            </w:r>
          </w:p>
        </w:tc>
        <w:tc>
          <w:tcPr>
            <w:tcW w:type="dxa" w:w="69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Asia/Singapore</w:t>
            </w:r>
          </w:p>
        </w:tc>
      </w:tr>
    </w:tbl>
    <w:p>
      <w:pPr>
        <w:pStyle w:val="caption"/>
        <w:keepNext w:val="1"/>
        <w:widowControl w:val="0"/>
        <w:spacing w:before="100" w:after="60"/>
        <w:ind w:left="120" w:hanging="120"/>
      </w:pPr>
    </w:p>
    <w:p>
      <w:pPr>
        <w:pStyle w:val="Body"/>
        <w:spacing w:after="0"/>
      </w:pPr>
    </w:p>
    <w:p>
      <w:pPr>
        <w:pStyle w:val="Heading 2"/>
      </w:pPr>
      <w:r>
        <w:rPr>
          <w:rStyle w:val="None"/>
          <w:rFonts w:ascii="Times New Roman" w:hAnsi="Times New Roman"/>
          <w:outline w:val="0"/>
          <w:color w:val="000000"/>
          <w:u w:color="000000"/>
          <w:rtl w:val="0"/>
          <w:lang w:val="en-US"/>
          <w14:textFill>
            <w14:solidFill>
              <w14:srgbClr w14:val="000000"/>
            </w14:solidFill>
          </w14:textFill>
        </w:rPr>
        <w:t>2.1 Cleaning rules</w:t>
      </w:r>
    </w:p>
    <w:p>
      <w:pPr>
        <w:pStyle w:val="List Bullet"/>
        <w:numPr>
          <w:ilvl w:val="0"/>
          <w:numId w:val="2"/>
        </w:numPr>
        <w:rPr>
          <w:lang w:val="en-US"/>
        </w:rPr>
      </w:pPr>
      <w:r>
        <w:rPr>
          <w:rStyle w:val="Hyperlink.0"/>
          <w:rtl w:val="0"/>
          <w:lang w:val="en-US"/>
        </w:rPr>
        <w:t>Parse timestamps under the Asia/Singapore Spark session time zone and cast rainfall and coordinates to numeric types.</w:t>
      </w:r>
    </w:p>
    <w:p>
      <w:pPr>
        <w:pStyle w:val="List Bullet"/>
        <w:numPr>
          <w:ilvl w:val="0"/>
          <w:numId w:val="2"/>
        </w:numPr>
        <w:rPr>
          <w:lang w:val="en-US"/>
        </w:rPr>
      </w:pPr>
      <w:r>
        <w:rPr>
          <w:rStyle w:val="Hyperlink.0"/>
          <w:rtl w:val="0"/>
          <w:lang w:val="en-US"/>
        </w:rPr>
        <w:t>Remove records with missing station/time/rainfall, negative rainfall, or rainfall above the project screening bound of 60 mm per five minutes.</w:t>
      </w:r>
    </w:p>
    <w:p>
      <w:pPr>
        <w:pStyle w:val="List Bullet"/>
        <w:numPr>
          <w:ilvl w:val="0"/>
          <w:numId w:val="2"/>
        </w:numPr>
        <w:rPr>
          <w:lang w:val="en-US"/>
        </w:rPr>
      </w:pPr>
      <w:r>
        <w:rPr>
          <w:rStyle w:val="Hyperlink.0"/>
          <w:rtl w:val="0"/>
          <w:lang w:val="en-US"/>
        </w:rPr>
        <w:t>Deduplicate (station_id, timestamp), retaining the record with the latest update timestamp.</w:t>
      </w:r>
    </w:p>
    <w:p>
      <w:pPr>
        <w:pStyle w:val="List Bullet"/>
        <w:numPr>
          <w:ilvl w:val="0"/>
          <w:numId w:val="2"/>
        </w:numPr>
        <w:rPr>
          <w:lang w:val="en-US"/>
        </w:rPr>
      </w:pPr>
      <w:r>
        <w:rPr>
          <w:rStyle w:val="Hyperlink.0"/>
          <w:rtl w:val="0"/>
          <w:lang w:val="en-US"/>
        </w:rPr>
        <w:t>Resolve a canonical station name and median coordinates for each station ID.</w:t>
      </w:r>
    </w:p>
    <w:p>
      <w:pPr>
        <w:pStyle w:val="List Bullet"/>
        <w:numPr>
          <w:ilvl w:val="0"/>
          <w:numId w:val="2"/>
        </w:numPr>
        <w:rPr>
          <w:lang w:val="en-US"/>
        </w:rPr>
      </w:pPr>
      <w:r>
        <w:rPr>
          <w:rStyle w:val="Hyperlink.0"/>
          <w:rtl w:val="0"/>
          <w:lang w:val="en-US"/>
        </w:rPr>
        <w:t>Write the cleaned columns to Snappy-compressed Parquet partitioned by year.</w:t>
      </w: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Fonts w:ascii="Times New Roman" w:hAnsi="Times New Roman"/>
          <w:b/>
        </w:rPr>
        <w:t>Data-quality note.</w:t>
      </w:r>
      <w:r>
        <w:rPr>
          <w:rFonts w:ascii="Times New Roman" w:hAnsi="Times New Roman"/>
        </w:rPr>
        <w:t xml:space="preserve"> The 60 mm screening value is a project rule rather than a documented sensor limit. The retained artifacts do not provide rule-level removal counts, cadence-gap totals, sensitivity to this bound or a trace audit of the reported 786 mm station-day in 2022. These omissions limit data-quality inference but do not alter the descriptive status of the reported summaries.</w:t>
      </w:r>
    </w:p>
    <w:p>
      <w:pPr>
        <w:pStyle w:val="Heading"/>
      </w:pPr>
      <w:bookmarkStart w:name="toc_s3" w:id="3"/>
      <w:bookmarkEnd w:id="3"/>
      <w:r>
        <w:t>3. Computing architecture</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architecture separates distributed data preparation from model fitting. Spark performs ingestion, validation, aggregation, per-station temporal windows and MLlib training. Small summaries are collected only for plotting. The PyTorch branch receives a bounded sequence sample and runs on one laptop GPU; it is supplementary and is not distributed training.</w:t>
      </w:r>
      <w:r>
        <w:rPr>
          <w:rStyle w:val="Hyperlink.0"/>
          <w:rFonts w:ascii="Times New Roman" w:hAnsi="Times New Roman"/>
          <w:rtl w:val="0"/>
          <w:lang w:val="fr-FR"/>
        </w:rPr>
        <w:t xml:space="preserve"> Figures A2</w:t>
      </w:r>
      <w:r>
        <w:rPr>
          <w:rStyle w:val="None"/>
          <w:rFonts w:ascii="Times New Roman" w:hAnsi="Times New Roman"/>
          <w:outline w:val="0"/>
          <w:color w:val="000000"/>
          <w:u w:color="000000"/>
          <w:rtl w:val="0"/>
          <w:lang w:val="en-US"/>
          <w14:textFill>
            <w14:solidFill>
              <w14:srgbClr w14:val="000000"/>
            </w14:solidFill>
          </w14:textFill>
        </w:rPr>
        <w:t>–</w:t>
      </w:r>
      <w:r>
        <w:rPr>
          <w:rStyle w:val="Hyperlink.0"/>
          <w:rFonts w:ascii="Times New Roman" w:hAnsi="Times New Roman"/>
          <w:rtl w:val="0"/>
          <w:lang w:val="en-US"/>
        </w:rPr>
        <w:t>A6 document the logical data plane and the three execution topologies in detail.</w:t>
      </w:r>
    </w:p>
    <w:p>
      <w:pPr>
        <w:pStyle w:val="Body"/>
        <w:keepNext w:val="1"/>
        <w:spacing w:before="80" w:after="160"/>
        <w:jc w:val="center"/>
      </w:pPr>
      <w:r>
        <w:rPr>
          <w:rStyle w:val="Hyperlink.0"/>
          <w:rFonts w:ascii="Times New Roman" w:hAnsi="Times New Roman"/>
        </w:rPr>
        <w:drawing xmlns:a="http://schemas.openxmlformats.org/drawingml/2006/main">
          <wp:inline distT="0" distB="0" distL="0" distR="0">
            <wp:extent cx="5727573" cy="3754743"/>
            <wp:effectExtent l="0" t="0" r="0" b="0"/>
            <wp:docPr id="1073741826" name="officeArt object" descr="End-to-end rainfall research workflow"/>
            <wp:cNvGraphicFramePr/>
            <a:graphic xmlns:a="http://schemas.openxmlformats.org/drawingml/2006/main">
              <a:graphicData uri="http://schemas.openxmlformats.org/drawingml/2006/picture">
                <pic:pic xmlns:pic="http://schemas.openxmlformats.org/drawingml/2006/picture">
                  <pic:nvPicPr>
                    <pic:cNvPr id="1073741826" name="End-to-end rainfall research workflow" descr="End-to-end rainfall research workflow"/>
                    <pic:cNvPicPr>
                      <a:picLocks noChangeAspect="1"/>
                    </pic:cNvPicPr>
                  </pic:nvPicPr>
                  <pic:blipFill>
                    <a:blip r:embed="rId5">
                      <a:extLst/>
                    </a:blip>
                    <a:stretch>
                      <a:fillRect/>
                    </a:stretch>
                  </pic:blipFill>
                  <pic:spPr>
                    <a:xfrm>
                      <a:off x="0" y="0"/>
                      <a:ext cx="5727573" cy="3754743"/>
                    </a:xfrm>
                    <a:prstGeom prst="rect">
                      <a:avLst/>
                    </a:prstGeom>
                    <a:ln w="12700" cap="flat">
                      <a:noFill/>
                      <a:miter lim="400000"/>
                    </a:ln>
                    <a:effectLst/>
                  </pic:spPr>
                </pic:pic>
              </a:graphicData>
            </a:graphic>
          </wp:inline>
        </w:drawing>
      </w:r>
      <w:r>
        <w:rPr>
          <w:rStyle w:val="Hyperlink.0"/>
          <w:rFonts w:ascii="Times New Roman" w:hAnsi="Times New Roman"/>
        </w:rPr>
        <w:br w:type="textWrapping"/>
      </w:r>
      <w:r>
        <w:rPr>
          <w:rStyle w:val="None"/>
          <w:rFonts w:ascii="Times New Roman" w:hAnsi="Times New Roman"/>
          <w:i w:val="1"/>
          <w:iCs w:val="1"/>
          <w:outline w:val="0"/>
          <w:color w:val="000000"/>
          <w:sz w:val="18"/>
          <w:szCs w:val="18"/>
          <w:u w:color="000000"/>
          <w:rtl w:val="0"/>
          <w:lang w:val="en-US"/>
          <w14:textFill>
            <w14:solidFill>
              <w14:srgbClr w14:val="000000"/>
            </w14:solidFill>
          </w14:textFill>
        </w:rPr>
        <w:t>Figure 1. End-to-end analytical workflow from annual rainfall files to descriptive evidence, predictive models and systems measurements.</w:t>
      </w:r>
    </w:p>
    <w:p>
      <w:pPr>
        <w:pStyle w:val="Heading 2"/>
      </w:pPr>
      <w:r>
        <w:rPr>
          <w:rStyle w:val="None"/>
          <w:rFonts w:ascii="Times New Roman" w:hAnsi="Times New Roman"/>
          <w:outline w:val="0"/>
          <w:color w:val="000000"/>
          <w:u w:color="000000"/>
          <w:rtl w:val="0"/>
          <w:lang w:val="en-US"/>
          <w14:textFill>
            <w14:solidFill>
              <w14:srgbClr w14:val="000000"/>
            </w14:solidFill>
          </w14:textFill>
        </w:rPr>
        <w:t>3.1 Environment and resource configurations</w:t>
      </w:r>
    </w:p>
    <w:p>
      <w:pPr>
        <w:pStyle w:val="caption"/>
        <w:keepNext w:val="1"/>
        <w:spacing w:before="100" w:after="60"/>
        <w:jc w:val="center"/>
      </w:pPr>
      <w:r>
        <w:rPr>
          <w:rStyle w:val="None"/>
          <w:rFonts w:ascii="Times New Roman" w:hAnsi="Times New Roman"/>
          <w:b w:val="1"/>
          <w:bCs w:val="1"/>
          <w:i w:val="0"/>
          <w:iCs w:val="0"/>
          <w:rtl w:val="0"/>
          <w:lang w:val="en-US"/>
        </w:rPr>
        <w:t xml:space="preserve">Table 2. </w:t>
      </w:r>
      <w:r>
        <w:rPr>
          <w:rStyle w:val="None"/>
          <w:rFonts w:ascii="Times New Roman" w:hAnsi="Times New Roman"/>
          <w:i w:val="0"/>
          <w:iCs w:val="0"/>
          <w:rtl w:val="0"/>
          <w:lang w:val="en-US"/>
        </w:rPr>
        <w:t>Spark configurations and requested resources; settings are not verified runtime allocations.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2088"/>
        <w:gridCol w:w="3816"/>
        <w:gridCol w:w="1656"/>
      </w:tblGrid>
      <w:tr>
        <w:tblPrEx>
          <w:shd w:val="clear" w:color="auto" w:fill="4f81bd"/>
        </w:tblPrEx>
        <w:trPr>
          <w:trHeight w:val="208" w:hRule="atLeast"/>
          <w:tblHeader/>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Configuration</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Execution</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Requested resources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Shuffle partitions</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local-all</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local[*], one JVM</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16 host threads; 20 GB driver heap</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96</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standalone-2x2</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2 executor processes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4 total cores; 4 GB driver; 2 </w:t>
            </w:r>
            <w:r>
              <w:rPr>
                <w:rStyle w:val="None"/>
                <w:sz w:val="17"/>
                <w:szCs w:val="17"/>
                <w:shd w:val="nil" w:color="auto" w:fill="auto"/>
                <w:rtl w:val="0"/>
                <w:lang w:val="en-US"/>
              </w:rPr>
              <w:t xml:space="preserve">× </w:t>
            </w:r>
            <w:r>
              <w:rPr>
                <w:rStyle w:val="None"/>
                <w:sz w:val="17"/>
                <w:szCs w:val="17"/>
                <w:shd w:val="nil" w:color="auto" w:fill="auto"/>
                <w:rtl w:val="0"/>
                <w:lang w:val="en-US"/>
              </w:rPr>
              <w:t>2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32</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standalone-4x2</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4 executor processes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8 total cores; 4 GB driver; 4 </w:t>
            </w:r>
            <w:r>
              <w:rPr>
                <w:rStyle w:val="None"/>
                <w:sz w:val="17"/>
                <w:szCs w:val="17"/>
                <w:shd w:val="nil" w:color="auto" w:fill="auto"/>
                <w:rtl w:val="0"/>
                <w:lang w:val="en-US"/>
              </w:rPr>
              <w:t xml:space="preserve">× </w:t>
            </w:r>
            <w:r>
              <w:rPr>
                <w:rStyle w:val="None"/>
                <w:sz w:val="17"/>
                <w:szCs w:val="17"/>
                <w:shd w:val="nil" w:color="auto" w:fill="auto"/>
                <w:rtl w:val="0"/>
                <w:lang w:val="en-US"/>
              </w:rPr>
              <w:t>2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64</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docker-2w</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2 worker containers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4 total cores; 2 GB driver; 2 </w:t>
            </w:r>
            <w:r>
              <w:rPr>
                <w:rStyle w:val="None"/>
                <w:sz w:val="17"/>
                <w:szCs w:val="17"/>
                <w:shd w:val="nil" w:color="auto" w:fill="auto"/>
                <w:rtl w:val="0"/>
                <w:lang w:val="en-US"/>
              </w:rPr>
              <w:t xml:space="preserve">× </w:t>
            </w:r>
            <w:r>
              <w:rPr>
                <w:rStyle w:val="None"/>
                <w:sz w:val="17"/>
                <w:szCs w:val="17"/>
                <w:shd w:val="nil" w:color="auto" w:fill="auto"/>
                <w:rtl w:val="0"/>
                <w:lang w:val="en-US"/>
              </w:rPr>
              <w:t>1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32</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docker-3w</w:t>
            </w:r>
          </w:p>
        </w:tc>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3 worker containers</w:t>
            </w:r>
          </w:p>
        </w:tc>
        <w:tc>
          <w:tcPr>
            <w:tcW w:type="dxa" w:w="381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6 total cores; 2 GB driver; 3 </w:t>
            </w:r>
            <w:r>
              <w:rPr>
                <w:rStyle w:val="None"/>
                <w:sz w:val="17"/>
                <w:szCs w:val="17"/>
                <w:shd w:val="nil" w:color="auto" w:fill="auto"/>
                <w:rtl w:val="0"/>
                <w:lang w:val="en-US"/>
              </w:rPr>
              <w:t xml:space="preserve">× </w:t>
            </w:r>
            <w:r>
              <w:rPr>
                <w:rStyle w:val="None"/>
                <w:sz w:val="17"/>
                <w:szCs w:val="17"/>
                <w:shd w:val="nil" w:color="auto" w:fill="auto"/>
                <w:rtl w:val="0"/>
                <w:lang w:val="en-US"/>
              </w:rPr>
              <w:t>1 GB executors</w:t>
            </w:r>
          </w:p>
        </w:tc>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48</w:t>
            </w:r>
          </w:p>
        </w:tc>
      </w:tr>
    </w:tbl>
    <w:p>
      <w:pPr>
        <w:pStyle w:val="caption"/>
        <w:keepNext w:val="1"/>
        <w:widowControl w:val="0"/>
        <w:spacing w:before="100" w:after="60"/>
        <w:ind w:left="120" w:hanging="120"/>
      </w:pPr>
    </w:p>
    <w:p>
      <w:pPr>
        <w:pStyle w:val="Body"/>
        <w:spacing w:after="0"/>
      </w:pPr>
    </w:p>
    <w:p>
      <w:pPr>
        <w:pStyle w:val="Body"/>
        <w:spacing w:after="80"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Host specification: Windows laptop with WSL2 Ubuntu, 32 GB physical RAM, 24 GB exposed to WSL2, 16 logical CPU cores and 8 GB swap. Software: Python 3.12, OpenJDK 21 and PySpark 3.5.3. Docker workers advertise two cores and 3 GB each; Compose does not impose hard CPU or memory limits. Requested settings should therefore be distinguished from realised runtime allocation.</w:t>
      </w: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Style w:val="None"/>
          <w:rFonts w:ascii="Times New Roman" w:hAnsi="Times New Roman"/>
          <w:b w:val="1"/>
          <w:bCs w:val="1"/>
          <w:outline w:val="0"/>
          <w:color w:val="000000"/>
          <w:u w:color="000000"/>
          <w:rtl w:val="0"/>
          <w:lang w:val="en-US"/>
          <w14:textFill>
            <w14:solidFill>
              <w14:srgbClr w14:val="000000"/>
            </w14:solidFill>
          </w14:textFill>
        </w:rPr>
        <w:t xml:space="preserve">Meaning of </w:t>
      </w:r>
      <w:r>
        <w:rPr>
          <w:rStyle w:val="None"/>
          <w:rFonts w:ascii="Times New Roman" w:hAnsi="Times New Roman"/>
          <w:b w:val="1"/>
          <w:bCs w:val="1"/>
          <w:outline w:val="0"/>
          <w:color w:val="000000"/>
          <w:u w:color="000000"/>
          <w:rtl w:val="0"/>
          <w:lang w:val="en-US"/>
          <w14:textFill>
            <w14:solidFill>
              <w14:srgbClr w14:val="000000"/>
            </w14:solidFill>
          </w14:textFill>
        </w:rPr>
        <w:t>“</w:t>
      </w:r>
      <w:r>
        <w:rPr>
          <w:rStyle w:val="None"/>
          <w:rFonts w:ascii="Times New Roman" w:hAnsi="Times New Roman"/>
          <w:b w:val="1"/>
          <w:bCs w:val="1"/>
          <w:outline w:val="0"/>
          <w:color w:val="000000"/>
          <w:u w:color="000000"/>
          <w:rtl w:val="0"/>
          <w:lang w:val="en-US"/>
          <w14:textFill>
            <w14:solidFill>
              <w14:srgbClr w14:val="000000"/>
            </w14:solidFill>
          </w14:textFill>
        </w:rPr>
        <w:t>distributed</w:t>
      </w:r>
      <w:r>
        <w:rPr>
          <w:rStyle w:val="None"/>
          <w:rFonts w:ascii="Times New Roman" w:hAnsi="Times New Roman"/>
          <w:b w:val="1"/>
          <w:bCs w:val="1"/>
          <w:outline w:val="0"/>
          <w:color w:val="000000"/>
          <w:u w:color="000000"/>
          <w:rtl w:val="0"/>
          <w:lang w:val="en-US"/>
          <w14:textFill>
            <w14:solidFill>
              <w14:srgbClr w14:val="000000"/>
            </w14:solidFill>
          </w14:textFill>
        </w:rPr>
        <w:t>”</w:t>
      </w:r>
      <w:r>
        <w:rPr>
          <w:rStyle w:val="None"/>
          <w:rFonts w:ascii="Times New Roman" w:hAnsi="Times New Roman"/>
          <w:b w:val="1"/>
          <w:bCs w:val="1"/>
          <w:outline w:val="0"/>
          <w:color w:val="000000"/>
          <w:u w:color="000000"/>
          <w:rtl w:val="0"/>
          <w14:textFill>
            <w14:solidFill>
              <w14:srgbClr w14:val="000000"/>
            </w14:solidFill>
          </w14:textFill>
        </w:rPr>
        <w:t xml:space="preserve">. </w:t>
      </w:r>
      <w:r>
        <w:rPr>
          <w:rStyle w:val="Hyperlink.0"/>
          <w:rFonts w:ascii="Times New Roman" w:hAnsi="Times New Roman"/>
          <w:rtl w:val="0"/>
          <w:lang w:val="en-US"/>
        </w:rPr>
        <w:t>Standalone and Docker use separate Spark executor processes and network shuffle, but do not add physical CPUs, memory channels, storage or network interfaces. They demonstrate deployment mechanics and overhead, not multi-node scalability.</w:t>
      </w:r>
    </w:p>
    <w:p>
      <w:pPr>
        <w:pStyle w:val="Heading"/>
      </w:pPr>
      <w:bookmarkStart w:name="toc_s4" w:id="4"/>
      <w:bookmarkEnd w:id="4"/>
      <w:r>
        <w:t>4. Exploratory data analysis</w:t>
      </w:r>
    </w:p>
    <w:p>
      <w:pPr>
        <w:pStyle w:val="Body"/>
        <w:spacing w:line="254" w:lineRule="auto" w:before="0" w:after="100"/>
      </w:pPr>
      <w:r>
        <w:t>Task 1 examines spatial, interannual, seasonal and diurnal rainfall variation. Spark performs the large aggregations, while only compact summaries are collected for plotting. Station and monthly values are normalised before comparison so that changes in the observing network do not directly determine the visual pattern. The resulting figures describe the monitored network rather than a spatially complete rainfall climatology.</w:t>
      </w:r>
    </w:p>
    <w:p>
      <w:pPr>
        <w:pStyle w:val="Heading 2"/>
        <w:keepNext/>
      </w:pPr>
      <w:r>
        <w:t>4.1 Geospatial exploratory analysis</w:t>
      </w:r>
    </w:p>
    <w:p>
      <w:pPr>
        <w:pStyle w:val="Body"/>
        <w:spacing w:before="0" w:after="100" w:line="254" w:lineRule="auto"/>
      </w:pPr>
      <w:r>
        <w:rPr>
          <w:rFonts w:ascii="Times New Roman" w:hAnsi="Times New Roman"/>
          <w:sz w:val="18"/>
        </w:rPr>
        <w:t>Spatial variation is examined at three complementary scales: station coverage, sensor-supported H3 cells and the five official Master Plan 2019 planning regions. Monthly rainfall is coverage-normalised before mapping. H3 polygons appear only where station evidence is available; no rainfall surface is interpolated across ungauged land.</w:t>
      </w:r>
    </w:p>
    <w:p>
      <w:pPr>
        <w:pStyle w:val="Heading 2"/>
        <w:keepNext/>
        <w:spacing w:before="120" w:after="160"/>
        <w:ind w:left="202"/>
      </w:pPr>
      <w:r>
        <w:t>4.1.1 Observation network</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W w:w="9360" w:type="dxa"/>
        <w:tblInd w:w="0" w:type="dxa"/>
      </w:tblPr>
      <w:tblGrid>
        <w:gridCol w:w="7"/>
        <w:gridCol w:w="7"/>
      </w:tblGrid>
      <w:tr>
        <w:trPr>
          <w:cantSplit/>
        </w:trPr>
        <w:tc>
          <w:tcPr>
            <w:tcW w:type="dxa" w:w="4680"/>
            <w:tcMar>
              <w:top w:w="70" w:type="dxa"/>
              <w:start w:w="60" w:type="dxa"/>
              <w:bottom w:w="70" w:type="dxa"/>
              <w:end w:w="60" w:type="dxa"/>
            </w:tcMar>
            <w:vAlign w:val="center"/>
          </w:tcPr>
          <w:p>
            <w:pPr>
              <w:keepNext/>
              <w:jc w:val="center"/>
            </w:pPr>
            <w:r>
              <w:rPr>
                <w:rFonts w:ascii="Times New Roman" w:hAnsi="Times New Roman"/>
                <w:b/>
                <w:sz w:val="18"/>
              </w:rPr>
              <w:t>(a) 2017</w:t>
            </w:r>
          </w:p>
        </w:tc>
        <w:tc>
          <w:tcPr>
            <w:tcW w:type="dxa" w:w="4680"/>
            <w:tcMar>
              <w:top w:w="70" w:type="dxa"/>
              <w:start w:w="60" w:type="dxa"/>
              <w:bottom w:w="70" w:type="dxa"/>
              <w:end w:w="60" w:type="dxa"/>
            </w:tcMar>
            <w:vAlign w:val="center"/>
          </w:tcPr>
          <w:p>
            <w:pPr>
              <w:keepNext/>
              <w:jc w:val="center"/>
            </w:pPr>
            <w:r>
              <w:rPr>
                <w:rFonts w:ascii="Times New Roman" w:hAnsi="Times New Roman"/>
                <w:b/>
                <w:sz w:val="18"/>
              </w:rPr>
              <w:t>(b) 2024</w:t>
            </w:r>
          </w:p>
        </w:tc>
      </w:tr>
      <w:tr>
        <w:trPr>
          <w:cantSplit/>
        </w:trPr>
        <w:tc>
          <w:tcPr>
            <w:tcW w:type="dxa" w:w="4680"/>
            <w:tcMar>
              <w:top w:w="70" w:type="dxa"/>
              <w:start w:w="60" w:type="dxa"/>
              <w:bottom w:w="70" w:type="dxa"/>
              <w:end w:w="60" w:type="dxa"/>
            </w:tcMar>
            <w:vAlign w:val="center"/>
          </w:tcPr>
          <w:p>
            <w:pPr>
              <w:keepNext/>
              <w:jc w:val="center"/>
            </w:pPr>
            <w:r>
              <w:drawing>
                <wp:inline xmlns:a="http://schemas.openxmlformats.org/drawingml/2006/main" xmlns:pic="http://schemas.openxmlformats.org/drawingml/2006/picture">
                  <wp:extent cx="2907792" cy="1817370"/>
                  <wp:docPr id="1073741852" name="Picture 1073741852" title="Active rainfall gauges: (a) 2017" descr="Singapore rainfall map for (a) 2017"/>
                  <wp:cNvGraphicFramePr>
                    <a:graphicFrameLocks noChangeAspect="1"/>
                  </wp:cNvGraphicFramePr>
                  <a:graphic>
                    <a:graphicData uri="http://schemas.openxmlformats.org/drawingml/2006/picture">
                      <pic:pic>
                        <pic:nvPicPr>
                          <pic:cNvPr id="0" name="geo_active_devices_2017.png"/>
                          <pic:cNvPicPr/>
                        </pic:nvPicPr>
                        <pic:blipFill>
                          <a:blip r:embed="rId37"/>
                          <a:stretch>
                            <a:fillRect/>
                          </a:stretch>
                        </pic:blipFill>
                        <pic:spPr>
                          <a:xfrm>
                            <a:off x="0" y="0"/>
                            <a:ext cx="2907792" cy="1817370"/>
                          </a:xfrm>
                          <a:prstGeom prst="rect"/>
                        </pic:spPr>
                      </pic:pic>
                    </a:graphicData>
                  </a:graphic>
                </wp:inline>
              </w:drawing>
            </w:r>
          </w:p>
        </w:tc>
        <w:tc>
          <w:tcPr>
            <w:tcW w:type="dxa" w:w="4680"/>
            <w:tcMar>
              <w:top w:w="70" w:type="dxa"/>
              <w:start w:w="60" w:type="dxa"/>
              <w:bottom w:w="70" w:type="dxa"/>
              <w:end w:w="60" w:type="dxa"/>
            </w:tcMar>
            <w:vAlign w:val="center"/>
          </w:tcPr>
          <w:p>
            <w:pPr>
              <w:keepNext/>
              <w:jc w:val="center"/>
            </w:pPr>
            <w:r>
              <w:drawing>
                <wp:inline xmlns:a="http://schemas.openxmlformats.org/drawingml/2006/main" xmlns:pic="http://schemas.openxmlformats.org/drawingml/2006/picture">
                  <wp:extent cx="2907792" cy="1817370"/>
                  <wp:docPr id="1073741853" name="Picture 1073741853" title="Active rainfall gauges: (b) 2024" descr="Singapore rainfall map for (b) 2024"/>
                  <wp:cNvGraphicFramePr>
                    <a:graphicFrameLocks noChangeAspect="1"/>
                  </wp:cNvGraphicFramePr>
                  <a:graphic>
                    <a:graphicData uri="http://schemas.openxmlformats.org/drawingml/2006/picture">
                      <pic:pic>
                        <pic:nvPicPr>
                          <pic:cNvPr id="0" name="geo_active_devices_2024.png"/>
                          <pic:cNvPicPr/>
                        </pic:nvPicPr>
                        <pic:blipFill>
                          <a:blip r:embed="rId38"/>
                          <a:stretch>
                            <a:fillRect/>
                          </a:stretch>
                        </pic:blipFill>
                        <pic:spPr>
                          <a:xfrm>
                            <a:off x="0" y="0"/>
                            <a:ext cx="2907792" cy="1817370"/>
                          </a:xfrm>
                          <a:prstGeom prst="rect"/>
                        </pic:spPr>
                      </pic:pic>
                    </a:graphicData>
                  </a:graphic>
                </wp:inline>
              </w:drawing>
            </w:r>
          </w:p>
        </w:tc>
      </w:tr>
    </w:tbl>
    <w:p>
      <w:pPr>
        <w:pStyle w:val="caption"/>
        <w:keepNext/>
        <w:spacing w:before="60" w:after="100"/>
        <w:jc w:val="center"/>
      </w:pPr>
      <w:r>
        <w:t>Figure 2. Active rainfall gauges in 2017 (left) and 2024 (right).</w:t>
      </w:r>
    </w:p>
    <w:p>
      <w:pPr>
        <w:pStyle w:val="Body"/>
        <w:spacing w:before="0" w:after="100" w:line="254" w:lineRule="auto"/>
      </w:pPr>
      <w:r>
        <w:rPr>
          <w:rFonts w:ascii="Times New Roman" w:hAnsi="Times New Roman"/>
          <w:sz w:val="18"/>
        </w:rPr>
        <w:t>The annual inventory increases from 62 devices in 2017 to 70 in 2024. The comparison also shows why raw event counts need a coverage denominator: the number and location of operating gauges change over time, and several devices report for only part of a year.</w:t>
      </w:r>
    </w:p>
    <w:p>
      <w:pPr>
        <w:pStyle w:val="Heading 2"/>
        <w:keepNext/>
        <w:spacing w:before="120" w:after="160"/>
        <w:ind w:left="202"/>
      </w:pPr>
      <w:r>
        <w:t>4.1.2 August comparison</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W w:w="9360" w:type="dxa"/>
        <w:tblInd w:w="0" w:type="dxa"/>
      </w:tblPr>
      <w:tblGrid>
        <w:gridCol w:w="7"/>
        <w:gridCol w:w="7"/>
      </w:tblGrid>
      <w:tr>
        <w:trPr>
          <w:cantSplit/>
        </w:trPr>
        <w:tc>
          <w:tcPr>
            <w:tcW w:type="dxa" w:w="4680"/>
            <w:tcMar>
              <w:top w:w="70" w:type="dxa"/>
              <w:start w:w="60" w:type="dxa"/>
              <w:bottom w:w="70" w:type="dxa"/>
              <w:end w:w="60" w:type="dxa"/>
            </w:tcMar>
            <w:vAlign w:val="center"/>
          </w:tcPr>
          <w:p>
            <w:pPr>
              <w:keepNext/>
              <w:jc w:val="center"/>
            </w:pPr>
            <w:r>
              <w:rPr>
                <w:rFonts w:ascii="Times New Roman" w:hAnsi="Times New Roman"/>
                <w:b/>
                <w:sz w:val="18"/>
              </w:rPr>
              <w:t>(a) August 2017</w:t>
            </w:r>
          </w:p>
        </w:tc>
        <w:tc>
          <w:tcPr>
            <w:tcW w:type="dxa" w:w="4680"/>
            <w:tcMar>
              <w:top w:w="70" w:type="dxa"/>
              <w:start w:w="60" w:type="dxa"/>
              <w:bottom w:w="70" w:type="dxa"/>
              <w:end w:w="60" w:type="dxa"/>
            </w:tcMar>
            <w:vAlign w:val="center"/>
          </w:tcPr>
          <w:p>
            <w:pPr>
              <w:keepNext/>
              <w:jc w:val="center"/>
            </w:pPr>
            <w:r>
              <w:rPr>
                <w:rFonts w:ascii="Times New Roman" w:hAnsi="Times New Roman"/>
                <w:b/>
                <w:sz w:val="18"/>
              </w:rPr>
              <w:t>(b) August 2024</w:t>
            </w:r>
          </w:p>
        </w:tc>
      </w:tr>
      <w:tr>
        <w:trPr>
          <w:cantSplit/>
        </w:trPr>
        <w:tc>
          <w:tcPr>
            <w:tcW w:type="dxa" w:w="4680"/>
            <w:tcMar>
              <w:top w:w="70" w:type="dxa"/>
              <w:start w:w="60" w:type="dxa"/>
              <w:bottom w:w="70" w:type="dxa"/>
              <w:end w:w="60" w:type="dxa"/>
            </w:tcMar>
            <w:vAlign w:val="center"/>
          </w:tcPr>
          <w:p>
            <w:pPr>
              <w:keepNext/>
              <w:jc w:val="center"/>
            </w:pPr>
            <w:r>
              <w:drawing>
                <wp:inline xmlns:a="http://schemas.openxmlformats.org/drawingml/2006/main" xmlns:pic="http://schemas.openxmlformats.org/drawingml/2006/picture">
                  <wp:extent cx="2907792" cy="1817370"/>
                  <wp:docPr id="1073741855" name="Picture 1073741855" title="August rainfall H3 comparison: (a) August 2017" descr="Singapore rainfall map for (a) August 2017"/>
                  <wp:cNvGraphicFramePr>
                    <a:graphicFrameLocks noChangeAspect="1"/>
                  </wp:cNvGraphicFramePr>
                  <a:graphic>
                    <a:graphicData uri="http://schemas.openxmlformats.org/drawingml/2006/picture">
                      <pic:pic>
                        <pic:nvPicPr>
                          <pic:cNvPr id="0" name="geo_rainfall_2017_08_choropleth.png"/>
                          <pic:cNvPicPr/>
                        </pic:nvPicPr>
                        <pic:blipFill>
                          <a:blip r:embed="rId40"/>
                          <a:stretch>
                            <a:fillRect/>
                          </a:stretch>
                        </pic:blipFill>
                        <pic:spPr>
                          <a:xfrm>
                            <a:off x="0" y="0"/>
                            <a:ext cx="2907792" cy="1817370"/>
                          </a:xfrm>
                          <a:prstGeom prst="rect"/>
                        </pic:spPr>
                      </pic:pic>
                    </a:graphicData>
                  </a:graphic>
                </wp:inline>
              </w:drawing>
            </w:r>
          </w:p>
        </w:tc>
        <w:tc>
          <w:tcPr>
            <w:tcW w:type="dxa" w:w="4680"/>
            <w:tcMar>
              <w:top w:w="70" w:type="dxa"/>
              <w:start w:w="60" w:type="dxa"/>
              <w:bottom w:w="70" w:type="dxa"/>
              <w:end w:w="60" w:type="dxa"/>
            </w:tcMar>
            <w:vAlign w:val="center"/>
          </w:tcPr>
          <w:p>
            <w:pPr>
              <w:keepNext/>
              <w:jc w:val="center"/>
            </w:pPr>
            <w:r>
              <w:drawing>
                <wp:inline xmlns:a="http://schemas.openxmlformats.org/drawingml/2006/main" xmlns:pic="http://schemas.openxmlformats.org/drawingml/2006/picture">
                  <wp:extent cx="2907792" cy="1817370"/>
                  <wp:docPr id="1073741856" name="Picture 1073741856" title="August rainfall H3 comparison: (b) August 2024" descr="Singapore rainfall map for (b) August 2024"/>
                  <wp:cNvGraphicFramePr>
                    <a:graphicFrameLocks noChangeAspect="1"/>
                  </wp:cNvGraphicFramePr>
                  <a:graphic>
                    <a:graphicData uri="http://schemas.openxmlformats.org/drawingml/2006/picture">
                      <pic:pic>
                        <pic:nvPicPr>
                          <pic:cNvPr id="0" name="geo_rainfall_2024_08_choropleth.png"/>
                          <pic:cNvPicPr/>
                        </pic:nvPicPr>
                        <pic:blipFill>
                          <a:blip r:embed="rId41"/>
                          <a:stretch>
                            <a:fillRect/>
                          </a:stretch>
                        </pic:blipFill>
                        <pic:spPr>
                          <a:xfrm>
                            <a:off x="0" y="0"/>
                            <a:ext cx="2907792" cy="1817370"/>
                          </a:xfrm>
                          <a:prstGeom prst="rect"/>
                        </pic:spPr>
                      </pic:pic>
                    </a:graphicData>
                  </a:graphic>
                </wp:inline>
              </w:drawing>
            </w:r>
          </w:p>
        </w:tc>
      </w:tr>
    </w:tbl>
    <w:p>
      <w:pPr>
        <w:pStyle w:val="caption"/>
        <w:spacing w:before="60" w:after="100"/>
        <w:jc w:val="center"/>
      </w:pPr>
      <w:r>
        <w:t>Figure 3. August rainfall in 2017 (left) and 2024 (right), shown with a common colour scale.</w:t>
      </w:r>
    </w:p>
    <w:p>
      <w:pPr>
        <w:pStyle w:val="Body"/>
        <w:spacing w:before="0" w:after="100" w:line="254" w:lineRule="auto"/>
      </w:pPr>
      <w:r>
        <w:rPr>
          <w:rFonts w:ascii="Times New Roman" w:hAnsi="Times New Roman"/>
          <w:sz w:val="18"/>
        </w:rPr>
        <w:t>The unweighted cell means are similar—about 136 mm in August 2017 and 128 mm in August 2024—but the location of wetter cells changes. The 2017 maximum is about 299 mm and the 2024 maximum about 277 mm. This contrast is more informative than a single national average because it retains the spatial rearrangement of rainfall between years.</w:t>
      </w:r>
    </w:p>
    <w:p>
      <w:pPr>
        <w:pStyle w:val="Heading 2"/>
        <w:keepNext/>
        <w:spacing w:before="120" w:after="60"/>
        <w:ind w:left="202"/>
      </w:pPr>
      <w:r>
        <w:t>4.1.3 Long-period H3 pattern</w:t>
      </w:r>
    </w:p>
    <w:p>
      <w:pPr>
        <w:keepNext/>
        <w:jc w:val="center"/>
      </w:pPr>
      <w:r>
        <w:drawing>
          <wp:inline xmlns:a="http://schemas.openxmlformats.org/drawingml/2006/main" xmlns:pic="http://schemas.openxmlformats.org/drawingml/2006/picture">
            <wp:extent cx="5303520" cy="3314700"/>
            <wp:docPr id="1073741854" name="Picture 1073741854" title="Long-period H3 monthly rainfall" descr="Average monthly rainfall for 2017 to 2024 in sensor-supported H3 cells across Singapore"/>
            <wp:cNvGraphicFramePr>
              <a:graphicFrameLocks noChangeAspect="1"/>
            </wp:cNvGraphicFramePr>
            <a:graphic>
              <a:graphicData uri="http://schemas.openxmlformats.org/drawingml/2006/picture">
                <pic:pic>
                  <pic:nvPicPr>
                    <pic:cNvPr id="0" name="geo_rainfall_2017_2024_average_monthly_choropleth.png"/>
                    <pic:cNvPicPr/>
                  </pic:nvPicPr>
                  <pic:blipFill>
                    <a:blip r:embed="rId39"/>
                    <a:stretch>
                      <a:fillRect/>
                    </a:stretch>
                  </pic:blipFill>
                  <pic:spPr>
                    <a:xfrm>
                      <a:off x="0" y="0"/>
                      <a:ext cx="5303520" cy="3314700"/>
                    </a:xfrm>
                    <a:prstGeom prst="rect"/>
                  </pic:spPr>
                </pic:pic>
              </a:graphicData>
            </a:graphic>
          </wp:inline>
        </w:drawing>
      </w:r>
    </w:p>
    <w:p>
      <w:pPr>
        <w:pStyle w:val="caption"/>
        <w:spacing w:before="60" w:after="100"/>
        <w:jc w:val="center"/>
      </w:pPr>
      <w:r>
        <w:t>Figure 4. Coverage-normalised mean monthly rainfall across 2017–2024 in sensor-supported H3 resolution-7 cells.</w:t>
      </w:r>
    </w:p>
    <w:p>
      <w:pPr>
        <w:pStyle w:val="Heading 2"/>
        <w:keepNext/>
        <w:spacing w:before="120" w:after="60"/>
        <w:ind w:left="202"/>
      </w:pPr>
      <w:r>
        <w:t>4.1.4 Official planning-region summary</w:t>
      </w:r>
    </w:p>
    <w:p>
      <w:pPr>
        <w:keepNext/>
        <w:jc w:val="center"/>
      </w:pPr>
      <w:r>
        <w:drawing>
          <wp:inline xmlns:a="http://schemas.openxmlformats.org/drawingml/2006/main" xmlns:pic="http://schemas.openxmlformats.org/drawingml/2006/picture">
            <wp:extent cx="5303520" cy="3535680"/>
            <wp:docPr id="1073741857" name="Picture 1073741857" title="Official planning-region rainfall in 2024" descr="Average monthly rainfall by the five official Singapore Master Plan 2019 regions"/>
            <wp:cNvGraphicFramePr>
              <a:graphicFrameLocks noChangeAspect="1"/>
            </wp:cNvGraphicFramePr>
            <a:graphic>
              <a:graphicData uri="http://schemas.openxmlformats.org/drawingml/2006/picture">
                <pic:pic>
                  <pic:nvPicPr>
                    <pic:cNvPr id="0" name="geo_region_average_monthly_rainfall_2024.png"/>
                    <pic:cNvPicPr/>
                  </pic:nvPicPr>
                  <pic:blipFill>
                    <a:blip r:embed="rId42"/>
                    <a:stretch>
                      <a:fillRect/>
                    </a:stretch>
                  </pic:blipFill>
                  <pic:spPr>
                    <a:xfrm>
                      <a:off x="0" y="0"/>
                      <a:ext cx="5303520" cy="3535680"/>
                    </a:xfrm>
                    <a:prstGeom prst="rect"/>
                  </pic:spPr>
                </pic:pic>
              </a:graphicData>
            </a:graphic>
          </wp:inline>
        </w:drawing>
      </w:r>
    </w:p>
    <w:p>
      <w:pPr>
        <w:pStyle w:val="caption"/>
        <w:spacing w:before="60" w:after="100"/>
        <w:jc w:val="center"/>
      </w:pPr>
      <w:r>
        <w:t>Figure 5. Mean monthly rainfall by official planning region in 2024. Source boundary: URA Master Plan 2019 Region Boundary (No Sea) GeoJSON.</w:t>
      </w:r>
    </w:p>
    <w:p>
      <w:pPr>
        <w:pStyle w:val="Body"/>
        <w:spacing w:before="0" w:after="100" w:line="254" w:lineRule="auto"/>
      </w:pPr>
      <w:r>
        <w:rPr>
          <w:rFonts w:ascii="Times New Roman" w:hAnsi="Times New Roman"/>
          <w:sz w:val="18"/>
        </w:rPr>
        <w:t>Across the 63 retained H3 cells, the mean monthly value ranges from approximately 147 to 286 mm. Higher values occur frequently in the north and west, while several eastern and coastal cells fall toward the lower end of the scale. Because most cells contain one gauge, the polygons should be read as a compact display of station evidence rather than continuous areal estimates.</w:t>
      </w:r>
    </w:p>
    <w:p>
      <w:pPr>
        <w:pStyle w:val="Body"/>
        <w:spacing w:before="0" w:after="100" w:line="254" w:lineRule="auto"/>
      </w:pPr>
      <w:r>
        <w:rPr>
          <w:rFonts w:ascii="Times New Roman" w:hAnsi="Times New Roman"/>
          <w:sz w:val="18"/>
        </w:rPr>
        <w:t>All five regions have twelve coverage-qualified months. North records the highest regional mean at about 254 mm per month, followed by West at 247 mm; East is lowest at 195 mm. North-East and Central lie between these values at approximately 225 and 214 mm. The number of active stations differs by region, so this equal-station summary describes the observed network and does not imply uniform rainfall within each region.</w:t>
      </w:r>
    </w:p>
    <w:p>
      <w:pPr>
        <w:pStyle w:val="Heading 2"/>
      </w:pPr>
      <w:r>
        <w:t>4.2 Interannual variation</w:t>
      </w:r>
    </w:p>
    <w:p>
      <w:pPr>
        <w:pStyle w:val="Body"/>
        <w:keepNext w:val="1"/>
        <w:spacing w:after="0"/>
        <w:jc w:val="center"/>
      </w:pPr>
      <w:r>
        <w:rPr>
          <w:rStyle w:val="Hyperlink.0"/>
        </w:rPr>
        <w:drawing xmlns:a="http://schemas.openxmlformats.org/drawingml/2006/main">
          <wp:inline distT="0" distB="0" distL="0" distR="0">
            <wp:extent cx="5623560" cy="3124200"/>
            <wp:effectExtent l="0" t="0" r="0" b="0"/>
            <wp:docPr id="1073741827" name="officeArt object" descr="Figure 2. Mean annual rainfall per station with contributing-station count."/>
            <wp:cNvGraphicFramePr/>
            <a:graphic xmlns:a="http://schemas.openxmlformats.org/drawingml/2006/main">
              <a:graphicData uri="http://schemas.openxmlformats.org/drawingml/2006/picture">
                <pic:pic xmlns:pic="http://schemas.openxmlformats.org/drawingml/2006/picture">
                  <pic:nvPicPr>
                    <pic:cNvPr id="1073741827" name="Figure 2. Mean annual rainfall per station with contributing-station count." descr="Figure 2. Mean annual rainfall per station with contributing-station count."/>
                    <pic:cNvPicPr>
                      <a:picLocks noChangeAspect="1"/>
                    </pic:cNvPicPr>
                  </pic:nvPicPr>
                  <pic:blipFill>
                    <a:blip r:embed="rId6">
                      <a:extLst/>
                    </a:blip>
                    <a:stretch>
                      <a:fillRect/>
                    </a:stretch>
                  </pic:blipFill>
                  <pic:spPr>
                    <a:xfrm>
                      <a:off x="0" y="0"/>
                      <a:ext cx="5623560" cy="3124200"/>
                    </a:xfrm>
                    <a:prstGeom prst="rect">
                      <a:avLst/>
                    </a:prstGeom>
                    <a:ln w="12700" cap="flat">
                      <a:noFill/>
                      <a:miter lim="400000"/>
                    </a:ln>
                    <a:effectLst/>
                  </pic:spPr>
                </pic:pic>
              </a:graphicData>
            </a:graphic>
          </wp:inline>
        </w:drawing>
      </w:r>
    </w:p>
    <w:p>
      <w:pPr>
        <w:pStyle w:val="Body"/>
        <w:spacing w:before="80" w:after="160"/>
        <w:jc w:val="center"/>
      </w:pPr>
      <w:r>
        <w:t>Figure 6. Mean annual rainfall per station with contributing-station count.</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Mean annual rainfall per station ranges from 1,526 mm in 2019 to 2,750 mm in 2022, an 80% difference. The contributing network ranges from 54 to 80 stations, so a stable-station cohort and annual completeness rates are needed to test whether the ranking is robust.</w:t>
      </w:r>
    </w:p>
    <w:p>
      <w:pPr>
        <w:pStyle w:val="Heading 2"/>
      </w:pPr>
      <w:r>
        <w:t>4.3 Monthly seasonality</w:t>
      </w:r>
    </w:p>
    <w:p>
      <w:pPr>
        <w:pStyle w:val="Body"/>
        <w:keepNext w:val="1"/>
        <w:spacing w:after="0"/>
        <w:jc w:val="center"/>
      </w:pPr>
      <w:r>
        <w:rPr>
          <w:rStyle w:val="Hyperlink.0"/>
        </w:rPr>
        <w:drawing xmlns:a="http://schemas.openxmlformats.org/drawingml/2006/main">
          <wp:inline distT="0" distB="0" distL="0" distR="0">
            <wp:extent cx="5440680" cy="2720340"/>
            <wp:effectExtent l="0" t="0" r="0" b="0"/>
            <wp:docPr id="1073741828" name="officeArt object" descr="Figure 3. Year-by-month mean rainfall per station."/>
            <wp:cNvGraphicFramePr/>
            <a:graphic xmlns:a="http://schemas.openxmlformats.org/drawingml/2006/main">
              <a:graphicData uri="http://schemas.openxmlformats.org/drawingml/2006/picture">
                <pic:pic xmlns:pic="http://schemas.openxmlformats.org/drawingml/2006/picture">
                  <pic:nvPicPr>
                    <pic:cNvPr id="1073741828" name="Figure 3. Year-by-month mean rainfall per station." descr="Figure 3. Year-by-month mean rainfall per station."/>
                    <pic:cNvPicPr>
                      <a:picLocks noChangeAspect="1"/>
                    </pic:cNvPicPr>
                  </pic:nvPicPr>
                  <pic:blipFill>
                    <a:blip r:embed="rId7">
                      <a:extLst/>
                    </a:blip>
                    <a:stretch>
                      <a:fillRect/>
                    </a:stretch>
                  </pic:blipFill>
                  <pic:spPr>
                    <a:xfrm>
                      <a:off x="0" y="0"/>
                      <a:ext cx="5440680" cy="2720340"/>
                    </a:xfrm>
                    <a:prstGeom prst="rect">
                      <a:avLst/>
                    </a:prstGeom>
                    <a:ln w="12700" cap="flat">
                      <a:noFill/>
                      <a:miter lim="400000"/>
                    </a:ln>
                    <a:effectLst/>
                  </pic:spPr>
                </pic:pic>
              </a:graphicData>
            </a:graphic>
          </wp:inline>
        </w:drawing>
      </w:r>
    </w:p>
    <w:p>
      <w:pPr>
        <w:pStyle w:val="Body"/>
        <w:spacing w:before="80" w:after="160"/>
        <w:jc w:val="center"/>
      </w:pPr>
      <w:r>
        <w:t>Figure 7. Year-by-month mean rainfall per station.</w:t>
      </w:r>
    </w:p>
    <w:p>
      <w:pPr>
        <w:pStyle w:val="Body"/>
        <w:keepNext w:val="1"/>
        <w:spacing w:after="0"/>
        <w:jc w:val="center"/>
      </w:pPr>
      <w:r>
        <w:rPr>
          <w:rStyle w:val="Hyperlink.0"/>
        </w:rPr>
        <w:drawing xmlns:a="http://schemas.openxmlformats.org/drawingml/2006/main">
          <wp:inline distT="0" distB="0" distL="0" distR="0">
            <wp:extent cx="5486400" cy="3048000"/>
            <wp:effectExtent l="0" t="0" r="0" b="0"/>
            <wp:docPr id="1073741829" name="officeArt object" descr="Figure 4. Average monthly rainfall pattern with monsoon context."/>
            <wp:cNvGraphicFramePr/>
            <a:graphic xmlns:a="http://schemas.openxmlformats.org/drawingml/2006/main">
              <a:graphicData uri="http://schemas.openxmlformats.org/drawingml/2006/picture">
                <pic:pic xmlns:pic="http://schemas.openxmlformats.org/drawingml/2006/picture">
                  <pic:nvPicPr>
                    <pic:cNvPr id="1073741829" name="Figure 4. Average monthly rainfall pattern with monsoon context." descr="Figure 4. Average monthly rainfall pattern with monsoon context."/>
                    <pic:cNvPicPr>
                      <a:picLocks noChangeAspect="1"/>
                    </pic:cNvPicPr>
                  </pic:nvPicPr>
                  <pic:blipFill>
                    <a:blip r:embed="rId8">
                      <a:extLst/>
                    </a:blip>
                    <a:stretch>
                      <a:fillRect/>
                    </a:stretch>
                  </pic:blipFill>
                  <pic:spPr>
                    <a:xfrm>
                      <a:off x="0" y="0"/>
                      <a:ext cx="5486400" cy="3048000"/>
                    </a:xfrm>
                    <a:prstGeom prst="rect">
                      <a:avLst/>
                    </a:prstGeom>
                    <a:ln w="12700" cap="flat">
                      <a:noFill/>
                      <a:miter lim="400000"/>
                    </a:ln>
                    <a:effectLst/>
                  </pic:spPr>
                </pic:pic>
              </a:graphicData>
            </a:graphic>
          </wp:inline>
        </w:drawing>
      </w:r>
    </w:p>
    <w:p>
      <w:pPr>
        <w:pStyle w:val="Body"/>
        <w:spacing w:before="80" w:after="160"/>
        <w:jc w:val="center"/>
      </w:pPr>
      <w:r>
        <w:t>Figure 8. Average monthly rainfall pattern with monsoon context.</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monthly views show a recurring but variable seasonal cycle. Wetter Northeast Monsoon months and inter-monsoon peaks agree broadly with Singapore</w:t>
      </w:r>
      <w:r>
        <w:rPr>
          <w:rStyle w:val="None"/>
          <w:rFonts w:ascii="Times New Roman" w:hAnsi="Times New Roman"/>
          <w:outline w:val="0"/>
          <w:color w:val="000000"/>
          <w:sz w:val="22"/>
          <w:szCs w:val="22"/>
          <w:u w:color="000000"/>
          <w:rtl w:val="0"/>
          <w:lang w:val="en-US"/>
          <w14:textFill>
            <w14:solidFill>
              <w14:srgbClr w14:val="000000"/>
            </w14:solidFill>
          </w14:textFill>
        </w:rPr>
        <w:t>’</w:t>
      </w:r>
      <w:r>
        <w:rPr>
          <w:rStyle w:val="None"/>
          <w:rFonts w:ascii="Times New Roman" w:hAnsi="Times New Roman"/>
          <w:outline w:val="0"/>
          <w:color w:val="000000"/>
          <w:sz w:val="22"/>
          <w:szCs w:val="22"/>
          <w:u w:color="000000"/>
          <w:rtl w:val="0"/>
          <w:lang w:val="en-US"/>
          <w14:textFill>
            <w14:solidFill>
              <w14:srgbClr w14:val="000000"/>
            </w14:solidFill>
          </w14:textFill>
        </w:rPr>
        <w:t>s documented climate, while individual years depart from the average [2]. The project data are observational and do not establish a causal meteorological mechanism.</w:t>
      </w:r>
    </w:p>
    <w:p>
      <w:pPr>
        <w:pStyle w:val="Heading 2"/>
      </w:pPr>
      <w:r>
        <w:t>4.4 Diurnal variation</w:t>
      </w:r>
    </w:p>
    <w:p>
      <w:pPr>
        <w:pStyle w:val="Body"/>
        <w:keepNext w:val="1"/>
        <w:spacing w:after="0"/>
        <w:jc w:val="center"/>
      </w:pPr>
      <w:r>
        <w:rPr>
          <w:rStyle w:val="Hyperlink.0"/>
        </w:rPr>
        <w:drawing xmlns:a="http://schemas.openxmlformats.org/drawingml/2006/main">
          <wp:inline distT="0" distB="0" distL="0" distR="0">
            <wp:extent cx="5303520" cy="2946400"/>
            <wp:effectExtent l="0" t="0" r="0" b="0"/>
            <wp:docPr id="1073741830" name="officeArt object" descr="Figure 5. Diurnal rainfall intensity and wet-reading frequency."/>
            <wp:cNvGraphicFramePr/>
            <a:graphic xmlns:a="http://schemas.openxmlformats.org/drawingml/2006/main">
              <a:graphicData uri="http://schemas.openxmlformats.org/drawingml/2006/picture">
                <pic:pic xmlns:pic="http://schemas.openxmlformats.org/drawingml/2006/picture">
                  <pic:nvPicPr>
                    <pic:cNvPr id="1073741830" name="Figure 5. Diurnal rainfall intensity and wet-reading frequency." descr="Figure 5. Diurnal rainfall intensity and wet-reading frequency."/>
                    <pic:cNvPicPr>
                      <a:picLocks noChangeAspect="1"/>
                    </pic:cNvPicPr>
                  </pic:nvPicPr>
                  <pic:blipFill>
                    <a:blip r:embed="rId9">
                      <a:extLst/>
                    </a:blip>
                    <a:stretch>
                      <a:fillRect/>
                    </a:stretch>
                  </pic:blipFill>
                  <pic:spPr>
                    <a:xfrm>
                      <a:off x="0" y="0"/>
                      <a:ext cx="5303520" cy="2946400"/>
                    </a:xfrm>
                    <a:prstGeom prst="rect">
                      <a:avLst/>
                    </a:prstGeom>
                    <a:ln w="12700" cap="flat">
                      <a:noFill/>
                      <a:miter lim="400000"/>
                    </a:ln>
                    <a:effectLst/>
                  </pic:spPr>
                </pic:pic>
              </a:graphicData>
            </a:graphic>
          </wp:inline>
        </w:drawing>
      </w:r>
    </w:p>
    <w:p>
      <w:pPr>
        <w:pStyle w:val="Body"/>
        <w:spacing w:before="80" w:after="60"/>
        <w:jc w:val="center"/>
      </w:pPr>
      <w:r>
        <w:t>Figure 9. Diurnal rainfall intensity and wet-reading frequency.</w:t>
      </w:r>
    </w:p>
    <w:p>
      <w:pPr>
        <w:pStyle w:val="Body"/>
        <w:spacing w:line="264" w:lineRule="auto" w:before="60"/>
      </w:pPr>
      <w:r>
        <w:rPr>
          <w:rStyle w:val="None"/>
          <w:rFonts w:ascii="Times New Roman" w:hAnsi="Times New Roman"/>
          <w:outline w:val="0"/>
          <w:color w:val="000000"/>
          <w:sz w:val="22"/>
          <w:szCs w:val="22"/>
          <w:u w:color="000000"/>
          <w:rtl w:val="0"/>
          <w:lang w:val="en-US"/>
          <w14:textFill>
            <w14:solidFill>
              <w14:srgbClr w14:val="000000"/>
            </w14:solidFill>
          </w14:textFill>
        </w:rPr>
        <w:t>Wet-reading frequency rises from about 1.1% at 23:00 to about 5.8% at 15:00 in the reported summary, a roughly 5.3-fold difference. The peak around 14:00</w:t>
      </w:r>
      <w:r>
        <w:rPr>
          <w:rStyle w:val="None"/>
          <w:rFonts w:ascii="Times New Roman" w:hAnsi="Times New Roman"/>
          <w:outline w:val="0"/>
          <w:color w:val="000000"/>
          <w:sz w:val="22"/>
          <w:szCs w:val="22"/>
          <w:u w:color="000000"/>
          <w:rtl w:val="0"/>
          <w:lang w:val="en-US"/>
          <w14:textFill>
            <w14:solidFill>
              <w14:srgbClr w14:val="000000"/>
            </w14:solidFill>
          </w14:textFill>
        </w:rPr>
        <w:t>–</w:t>
      </w:r>
      <w:r>
        <w:rPr>
          <w:rStyle w:val="None"/>
          <w:rFonts w:ascii="Times New Roman" w:hAnsi="Times New Roman"/>
          <w:outline w:val="0"/>
          <w:color w:val="000000"/>
          <w:sz w:val="22"/>
          <w:szCs w:val="22"/>
          <w:u w:color="000000"/>
          <w:rtl w:val="0"/>
          <w:lang w:val="en-US"/>
          <w14:textFill>
            <w14:solidFill>
              <w14:srgbClr w14:val="000000"/>
            </w14:solidFill>
          </w14:textFill>
        </w:rPr>
        <w:t>16:00 SGT is consistent with afternoon convection, while seasonal stratification tests whether the pattern persists under different monsoon regimes.</w:t>
      </w:r>
    </w:p>
    <w:p>
      <w:pPr>
        <w:pStyle w:val="Body"/>
        <w:keepNext w:val="1"/>
        <w:spacing w:after="0"/>
        <w:jc w:val="center"/>
      </w:pPr>
      <w:r>
        <w:rPr>
          <w:rStyle w:val="Hyperlink.0"/>
        </w:rPr>
        <w:drawing xmlns:a="http://schemas.openxmlformats.org/drawingml/2006/main">
          <wp:inline distT="0" distB="0" distL="0" distR="0">
            <wp:extent cx="5577841" cy="3098800"/>
            <wp:effectExtent l="0" t="0" r="0" b="0"/>
            <wp:docPr id="1073741831" name="officeArt object" descr="Figure 6. Diurnal rainfall pattern by monsoon season."/>
            <wp:cNvGraphicFramePr/>
            <a:graphic xmlns:a="http://schemas.openxmlformats.org/drawingml/2006/main">
              <a:graphicData uri="http://schemas.openxmlformats.org/drawingml/2006/picture">
                <pic:pic xmlns:pic="http://schemas.openxmlformats.org/drawingml/2006/picture">
                  <pic:nvPicPr>
                    <pic:cNvPr id="1073741831" name="Figure 6. Diurnal rainfall pattern by monsoon season." descr="Figure 6. Diurnal rainfall pattern by monsoon season."/>
                    <pic:cNvPicPr>
                      <a:picLocks noChangeAspect="1"/>
                    </pic:cNvPicPr>
                  </pic:nvPicPr>
                  <pic:blipFill>
                    <a:blip r:embed="rId10">
                      <a:extLst/>
                    </a:blip>
                    <a:stretch>
                      <a:fillRect/>
                    </a:stretch>
                  </pic:blipFill>
                  <pic:spPr>
                    <a:xfrm>
                      <a:off x="0" y="0"/>
                      <a:ext cx="5577841" cy="3098800"/>
                    </a:xfrm>
                    <a:prstGeom prst="rect">
                      <a:avLst/>
                    </a:prstGeom>
                    <a:ln w="12700" cap="flat">
                      <a:noFill/>
                      <a:miter lim="400000"/>
                    </a:ln>
                    <a:effectLst/>
                  </pic:spPr>
                </pic:pic>
              </a:graphicData>
            </a:graphic>
          </wp:inline>
        </w:drawing>
      </w:r>
    </w:p>
    <w:p>
      <w:pPr>
        <w:pStyle w:val="Body"/>
        <w:spacing w:before="80" w:after="160"/>
        <w:jc w:val="center"/>
      </w:pPr>
      <w:r>
        <w:t>Figure 10. Diurnal rainfall pattern by monsoon season.</w:t>
      </w:r>
    </w:p>
    <w:p>
      <w:pPr>
        <w:pStyle w:val="Heading 2"/>
      </w:pPr>
      <w:r>
        <w:rPr>
          <w:rStyle w:val="None"/>
          <w:rFonts w:ascii="Times New Roman" w:hAnsi="Times New Roman"/>
          <w:outline w:val="0"/>
          <w:color w:val="000000"/>
          <w:u w:color="000000"/>
          <w:rtl w:val="0"/>
          <w:lang w:val="en-US"/>
          <w14:textFill>
            <w14:solidFill>
              <w14:srgbClr w14:val="000000"/>
            </w14:solidFill>
          </w14:textFill>
        </w:rPr>
        <w:t>4.5 Heavy-rain station-days</w:t>
      </w:r>
    </w:p>
    <w:p>
      <w:pPr>
        <w:pStyle w:val="Body"/>
        <w:keepNext w:val="1"/>
        <w:spacing w:after="0"/>
        <w:jc w:val="center"/>
      </w:pPr>
      <w:r>
        <w:rPr>
          <w:rStyle w:val="Hyperlink.0"/>
        </w:rPr>
        <w:drawing xmlns:a="http://schemas.openxmlformats.org/drawingml/2006/main">
          <wp:inline distT="0" distB="0" distL="0" distR="0">
            <wp:extent cx="5303521" cy="2946400"/>
            <wp:effectExtent l="0" t="0" r="0" b="0"/>
            <wp:docPr id="1073741834" name="officeArt object" descr="Figure 9. Count of station-days with at least 50 mm of rainfall."/>
            <wp:cNvGraphicFramePr/>
            <a:graphic xmlns:a="http://schemas.openxmlformats.org/drawingml/2006/main">
              <a:graphicData uri="http://schemas.openxmlformats.org/drawingml/2006/picture">
                <pic:pic xmlns:pic="http://schemas.openxmlformats.org/drawingml/2006/picture">
                  <pic:nvPicPr>
                    <pic:cNvPr id="1073741834" name="Figure 9. Count of station-days with at least 50 mm of rainfall." descr="Figure 9. Count of station-days with at least 50 mm of rainfall."/>
                    <pic:cNvPicPr>
                      <a:picLocks noChangeAspect="1"/>
                    </pic:cNvPicPr>
                  </pic:nvPicPr>
                  <pic:blipFill>
                    <a:blip r:embed="rId13">
                      <a:extLst/>
                    </a:blip>
                    <a:stretch>
                      <a:fillRect/>
                    </a:stretch>
                  </pic:blipFill>
                  <pic:spPr>
                    <a:xfrm>
                      <a:off x="0" y="0"/>
                      <a:ext cx="5303521" cy="2946400"/>
                    </a:xfrm>
                    <a:prstGeom prst="rect">
                      <a:avLst/>
                    </a:prstGeom>
                    <a:ln w="12700" cap="flat">
                      <a:noFill/>
                      <a:miter lim="400000"/>
                    </a:ln>
                    <a:effectLst/>
                  </pic:spPr>
                </pic:pic>
              </a:graphicData>
            </a:graphic>
          </wp:inline>
        </w:drawing>
      </w:r>
    </w:p>
    <w:p>
      <w:pPr>
        <w:pStyle w:val="Body"/>
        <w:spacing w:before="80" w:after="160"/>
        <w:jc w:val="center"/>
      </w:pPr>
      <w:r>
        <w:rPr>
          <w:rFonts w:ascii="Times New Roman" w:hAnsi="Times New Roman"/>
        </w:rPr>
        <w:t>Figure 11. Count of station-days with at least 50 mm of rainfall.</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raw count is lowest in 2019 (263) and highest in 2021 (875). Because more operating stations create more opportunities to record an event, the preferred follow-up measure is heavy station-days per 1,000 eligible station-days under a stated completeness rule.</w:t>
      </w:r>
    </w:p>
    <w:p>
      <w:pPr>
        <w:pStyle w:val="Heading"/>
      </w:pPr>
      <w:bookmarkStart w:name="toc_s5" w:id="5"/>
      <w:bookmarkEnd w:id="5"/>
      <w:r>
        <w:t>5. Task 2 — rainfall-probability prediction</w:t>
      </w:r>
    </w:p>
    <w:p>
      <w:pPr>
        <w:pStyle w:val="Heading 2"/>
      </w:pPr>
      <w:r>
        <w:rPr>
          <w:rStyle w:val="None"/>
          <w:rFonts w:ascii="Times New Roman" w:hAnsi="Times New Roman"/>
          <w:outline w:val="0"/>
          <w:color w:val="000000"/>
          <w:u w:color="000000"/>
          <w:rtl w:val="0"/>
          <w:lang w:val="en-US"/>
          <w14:textFill>
            <w14:solidFill>
              <w14:srgbClr w14:val="000000"/>
            </w14:solidFill>
          </w14:textFill>
        </w:rPr>
        <w:t>5.1 Target and feature contract</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 xml:space="preserve">For station s, prediction time t and threshold q, the binary target is 1 when the sum of rainfall readings at t+5, t+10, </w:t>
      </w:r>
      <w:r>
        <w:rPr>
          <w:rStyle w:val="None"/>
          <w:rFonts w:ascii="Times New Roman" w:hAnsi="Times New Roman"/>
          <w:outline w:val="0"/>
          <w:color w:val="000000"/>
          <w:sz w:val="22"/>
          <w:szCs w:val="22"/>
          <w:u w:color="000000"/>
          <w:rtl w:val="0"/>
          <w:lang w:val="en-US"/>
          <w14:textFill>
            <w14:solidFill>
              <w14:srgbClr w14:val="000000"/>
            </w14:solidFill>
          </w14:textFill>
        </w:rPr>
        <w:t>…</w:t>
      </w:r>
      <w:r>
        <w:rPr>
          <w:rStyle w:val="None"/>
          <w:rFonts w:ascii="Times New Roman" w:hAnsi="Times New Roman"/>
          <w:outline w:val="0"/>
          <w:color w:val="000000"/>
          <w:sz w:val="22"/>
          <w:szCs w:val="22"/>
          <w:u w:color="000000"/>
          <w:rtl w:val="0"/>
          <w:lang w:val="en-US"/>
          <w14:textFill>
            <w14:solidFill>
              <w14:srgbClr w14:val="000000"/>
            </w14:solidFill>
          </w14:textFill>
        </w:rPr>
        <w:t xml:space="preserve">, t+30 minutes exceeds q. The current reading at t is excluded from the target. Training examples are created for q </w:t>
      </w:r>
      <w:r>
        <w:rPr>
          <w:rStyle w:val="None"/>
          <w:rFonts w:ascii="Times New Roman" w:cs="Arial Unicode MS" w:hAnsi="Times New Roman" w:eastAsia="Arial Unicode MS" w:hint="default"/>
          <w:b w:val="0"/>
          <w:bCs w:val="0"/>
          <w:i w:val="0"/>
          <w:iCs w:val="0"/>
          <w:outline w:val="0"/>
          <w:color w:val="000000"/>
          <w:sz w:val="22"/>
          <w:szCs w:val="22"/>
          <w:u w:color="000000"/>
          <w:rtl w:val="0"/>
          <w:lang w:val="en-US"/>
          <w14:textFill>
            <w14:solidFill>
              <w14:srgbClr w14:val="000000"/>
            </w14:solidFill>
          </w14:textFill>
        </w:rPr>
        <w:t>∈</w:t>
      </w:r>
      <w:r>
        <w:rPr>
          <w:rStyle w:val="None"/>
          <w:rFonts w:ascii="Times New Roman" w:hAnsi="Times New Roman"/>
          <w:outline w:val="0"/>
          <w:color w:val="000000"/>
          <w:sz w:val="22"/>
          <w:szCs w:val="22"/>
          <w:u w:color="000000"/>
          <w:rtl w:val="0"/>
          <w:lang w:val="en-US"/>
          <w14:textFill>
            <w14:solidFill>
              <w14:srgbClr w14:val="000000"/>
            </w14:solidFill>
          </w14:textFill>
        </w:rPr>
        <w:t xml:space="preserve"> </w:t>
      </w:r>
      <w:r>
        <w:rPr>
          <w:rStyle w:val="None"/>
          <w:rFonts w:ascii="Times New Roman" w:hAnsi="Times New Roman"/>
          <w:outline w:val="0"/>
          <w:color w:val="000000"/>
          <w:sz w:val="22"/>
          <w:szCs w:val="22"/>
          <w:u w:color="000000"/>
          <w:rtl w:val="0"/>
          <w14:textFill>
            <w14:solidFill>
              <w14:srgbClr w14:val="000000"/>
            </w14:solidFill>
          </w14:textFill>
        </w:rPr>
        <w:t>{0.2, 1, 2, 5, 10} mm.</w:t>
      </w:r>
    </w:p>
    <w:p>
      <w:pPr>
        <w:pStyle w:val="caption"/>
        <w:keepNext w:val="1"/>
        <w:spacing w:before="100" w:after="60"/>
        <w:jc w:val="center"/>
      </w:pPr>
      <w:r>
        <w:rPr>
          <w:rStyle w:val="None"/>
          <w:rFonts w:ascii="Times New Roman" w:hAnsi="Times New Roman"/>
          <w:b w:val="1"/>
          <w:bCs w:val="1"/>
          <w:i w:val="0"/>
          <w:iCs w:val="0"/>
          <w:rtl w:val="0"/>
          <w:lang w:val="en-US"/>
        </w:rPr>
        <w:t xml:space="preserve">Table 3. </w:t>
      </w:r>
      <w:r>
        <w:rPr>
          <w:rStyle w:val="None"/>
          <w:rFonts w:ascii="Times New Roman" w:hAnsi="Times New Roman"/>
          <w:i w:val="0"/>
          <w:iCs w:val="0"/>
          <w:rtl w:val="0"/>
          <w:lang w:val="en-US"/>
        </w:rPr>
        <w:t>Predictive feature families and their modelling roles.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56"/>
        <w:gridCol w:w="4608"/>
        <w:gridCol w:w="3096"/>
      </w:tblGrid>
      <w:tr>
        <w:tblPrEx>
          <w:shd w:val="clear" w:color="auto" w:fill="4f81bd"/>
        </w:tblPrEx>
        <w:trPr>
          <w:trHeight w:val="208" w:hRule="atLeast"/>
          <w:tblHeader/>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Feature family</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Features</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Purpose</w:t>
            </w:r>
          </w:p>
        </w:tc>
      </w:tr>
      <w:tr>
        <w:tblPrEx>
          <w:shd w:val="clear" w:color="auto" w:fill="ced7e7"/>
        </w:tblPrEx>
        <w:trPr>
          <w:trHeight w:val="437"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Recent rain</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Current and previous reading; rolling 30/60/180-minute sums; minutes since rain</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Represent persistence and storm state</w:t>
            </w:r>
          </w:p>
        </w:tc>
      </w:tr>
      <w:tr>
        <w:tblPrEx>
          <w:shd w:val="clear" w:color="auto" w:fill="ced7e7"/>
        </w:tblPrEx>
        <w:trPr>
          <w:trHeight w:val="437"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Time</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Hour/month sine and cosine; weekend; NE/SW monsoon indicators</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Represent daily and seasonal cycles</w:t>
            </w:r>
          </w:p>
        </w:tc>
      </w:tr>
      <w:tr>
        <w:tblPrEx>
          <w:shd w:val="clear" w:color="auto" w:fill="ced7e7"/>
        </w:tblPrEx>
        <w:trPr>
          <w:trHeight w:val="208"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Station</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Station index, latitude, longitude</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Represent location and station effects</w:t>
            </w:r>
          </w:p>
        </w:tc>
      </w:tr>
      <w:tr>
        <w:tblPrEx>
          <w:shd w:val="clear" w:color="auto" w:fill="ced7e7"/>
        </w:tblPrEx>
        <w:trPr>
          <w:trHeight w:val="437" w:hRule="atLeast"/>
        </w:trPr>
        <w:tc>
          <w:tcPr>
            <w:tcW w:type="dxa" w:w="165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Query</w:t>
            </w:r>
          </w:p>
        </w:tc>
        <w:tc>
          <w:tcPr>
            <w:tcW w:type="dxa" w:w="460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Threshold q in mm</w:t>
            </w:r>
          </w:p>
        </w:tc>
        <w:tc>
          <w:tcPr>
            <w:tcW w:type="dxa" w:w="30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Allow one fitted pipeline to score tested thresholds</w:t>
            </w:r>
          </w:p>
        </w:tc>
      </w:tr>
    </w:tbl>
    <w:p>
      <w:pPr>
        <w:pStyle w:val="caption"/>
        <w:keepNext w:val="1"/>
        <w:widowControl w:val="0"/>
        <w:spacing w:before="100" w:after="60"/>
        <w:ind w:left="120" w:hanging="120"/>
      </w:pPr>
    </w:p>
    <w:p>
      <w:pPr>
        <w:pStyle w:val="Body"/>
        <w:spacing w:after="0"/>
      </w:pP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Fonts w:ascii="Times New Roman" w:hAnsi="Times New Roman"/>
          <w:b/>
        </w:rPr>
        <w:t>Interpretation.</w:t>
      </w:r>
      <w:r>
        <w:rPr>
          <w:rFonts w:ascii="Times New Roman" w:hAnsi="Times New Roman"/>
        </w:rPr>
        <w:t xml:space="preserve"> The experiment validates five thresholds. A numeric threshold input does not establish accurate interpolation at unseen thresholds, and a tree model does not guarantee that predicted probability decreases monotonically as q increases.</w:t>
      </w:r>
    </w:p>
    <w:p>
      <w:pPr>
        <w:pStyle w:val="Heading 2"/>
      </w:pPr>
      <w:r>
        <w:rPr>
          <w:rStyle w:val="None"/>
          <w:rFonts w:ascii="Times New Roman" w:hAnsi="Times New Roman"/>
          <w:outline w:val="0"/>
          <w:color w:val="000000"/>
          <w:u w:color="000000"/>
          <w:rtl w:val="0"/>
          <w:lang w:val="en-US"/>
          <w14:textFill>
            <w14:solidFill>
              <w14:srgbClr w14:val="000000"/>
            </w14:solidFill>
          </w14:textFill>
        </w:rPr>
        <w:t>5.2 Primary Spark MLlib pipeline</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fitted pipeline applies StringIndexer to station identity, VectorAssembler to the full feature set and Spark MLlib Gradient-Boosted Trees. The station index remains categorical, and maxBins is set above the number of stations.</w:t>
      </w:r>
      <w:r>
        <w:rPr>
          <w:rStyle w:val="Hyperlink.0"/>
          <w:rFonts w:ascii="Times New Roman" w:hAnsi="Times New Roman"/>
          <w:rtl w:val="0"/>
          <w:lang w:val="en-US"/>
        </w:rPr>
        <w:t xml:space="preserve"> Figure A6 shows the shared transformation and fitting path; Appendix B provides one architecture diagram for every evaluated model.</w:t>
      </w:r>
    </w:p>
    <w:p>
      <w:pPr>
        <w:pStyle w:val="caption"/>
        <w:keepNext w:val="1"/>
        <w:spacing w:before="100" w:after="60"/>
        <w:jc w:val="center"/>
      </w:pPr>
      <w:r>
        <w:rPr>
          <w:rStyle w:val="None"/>
          <w:rFonts w:ascii="Times New Roman" w:hAnsi="Times New Roman"/>
          <w:b w:val="1"/>
          <w:bCs w:val="1"/>
          <w:i w:val="0"/>
          <w:iCs w:val="0"/>
          <w:rtl w:val="0"/>
          <w:lang w:val="en-US"/>
        </w:rPr>
        <w:t xml:space="preserve">Table 4. </w:t>
      </w:r>
      <w:r>
        <w:rPr>
          <w:rStyle w:val="None"/>
          <w:rFonts w:ascii="Times New Roman" w:hAnsi="Times New Roman"/>
          <w:i w:val="0"/>
          <w:iCs w:val="0"/>
          <w:rtl w:val="0"/>
          <w:lang w:val="en-US"/>
        </w:rPr>
        <w:t>Gradient-Boosted Trees settings associated with the canonical saved-model record.</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32"/>
        <w:gridCol w:w="1440"/>
        <w:gridCol w:w="5688"/>
      </w:tblGrid>
      <w:tr>
        <w:tblPrEx>
          <w:shd w:val="clear" w:color="auto" w:fill="4f81bd"/>
        </w:tblPrEx>
        <w:trPr>
          <w:trHeight w:val="207" w:hRule="atLeast"/>
          <w:tblHeader/>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GBT parameter</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Value</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Reason / implication</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maxIter</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40</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Boosting rounds</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maxDepth</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5</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Limits tree complexity</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stepSize</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0.1</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Shrinkage</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maxBins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128</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Supports at least 91 station categories</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subsamplingRate</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0.7</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Row subsampling per tree</w:t>
            </w:r>
          </w:p>
        </w:tc>
      </w:tr>
      <w:tr>
        <w:tblPrEx>
          <w:shd w:val="clear" w:color="auto" w:fill="ced7e7"/>
        </w:tblPrEx>
        <w:trPr>
          <w:trHeight w:val="207"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cacheNodeIds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true</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Trades memory for repeated tree operations</w:t>
            </w:r>
          </w:p>
        </w:tc>
      </w:tr>
      <w:tr>
        <w:tblPrEx>
          <w:shd w:val="clear" w:color="auto" w:fill="ced7e7"/>
        </w:tblPrEx>
        <w:trPr>
          <w:trHeight w:val="226"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seed</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8"/>
                <w:szCs w:val="18"/>
                <w:shd w:val="nil" w:color="auto" w:fill="auto"/>
                <w:rtl w:val="0"/>
                <w:lang w:val="en-US"/>
              </w:rPr>
              <w:t>42</w:t>
            </w:r>
          </w:p>
        </w:tc>
        <w:tc>
          <w:tcPr>
            <w:tcW w:type="dxa" w:w="56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pPr>
            <w:r>
              <w:rPr>
                <w:rStyle w:val="None"/>
                <w:shd w:val="nil" w:color="auto" w:fill="auto"/>
                <w:rtl w:val="0"/>
                <w:lang w:val="en-US"/>
              </w:rPr>
              <w:t>Fixed estimator randomness</w:t>
            </w:r>
          </w:p>
        </w:tc>
      </w:tr>
    </w:tbl>
    <w:p>
      <w:pPr>
        <w:pStyle w:val="caption"/>
        <w:keepNext w:val="1"/>
        <w:widowControl w:val="0"/>
        <w:spacing w:before="100" w:after="60"/>
        <w:ind w:left="120" w:hanging="120"/>
      </w:pPr>
    </w:p>
    <w:p>
      <w:pPr>
        <w:pStyle w:val="Body"/>
        <w:spacing w:after="0"/>
      </w:pPr>
    </w:p>
    <w:p>
      <w:pPr>
        <w:pStyle w:val="Heading 2"/>
      </w:pPr>
      <w:r>
        <w:rPr>
          <w:rStyle w:val="None"/>
          <w:rFonts w:ascii="Times New Roman" w:hAnsi="Times New Roman"/>
          <w:outline w:val="0"/>
          <w:color w:val="000000"/>
          <w:u w:color="000000"/>
          <w:rtl w:val="0"/>
          <w:lang w:val="en-US"/>
          <w14:textFill>
            <w14:solidFill>
              <w14:srgbClr w14:val="000000"/>
            </w14:solidFill>
          </w14:textFill>
        </w:rPr>
        <w:t>5.3 Temporal evaluation and canonical run</w:t>
      </w:r>
    </w:p>
    <w:p>
      <w:pPr>
        <w:pStyle w:val="Body"/>
        <w:spacing w:line="264" w:lineRule="auto"/>
      </w:pPr>
      <w:r>
        <w:rPr>
          <w:rStyle w:val="Hyperlink.0"/>
          <w:rFonts w:ascii="Times New Roman" w:hAnsi="Times New Roman"/>
          <w:rtl w:val="0"/>
          <w:lang w:val="en-US"/>
        </w:rPr>
        <w:t>The final saved model is trained on years 2017</w:t>
      </w:r>
      <w:r>
        <w:rPr>
          <w:rStyle w:val="None"/>
          <w:rFonts w:ascii="Times New Roman" w:hAnsi="Times New Roman"/>
          <w:outline w:val="0"/>
          <w:color w:val="000000"/>
          <w:u w:color="000000"/>
          <w:rtl w:val="0"/>
          <w:lang w:val="en-US"/>
          <w14:textFill>
            <w14:solidFill>
              <w14:srgbClr w14:val="000000"/>
            </w14:solidFill>
          </w14:textFill>
        </w:rPr>
        <w:t>–</w:t>
      </w:r>
      <w:r>
        <w:rPr>
          <w:rStyle w:val="Hyperlink.0"/>
          <w:rFonts w:ascii="Times New Roman" w:hAnsi="Times New Roman"/>
          <w:rtl w:val="0"/>
          <w:lang w:val="en-US"/>
        </w:rPr>
        <w:t>2023 and evaluated on 2024. The table below reports the canonical result associated with the submitted pipeline. The separate model-comparison benchmark uses a smaller test sample and is reported independently.</w:t>
      </w:r>
    </w:p>
    <w:p>
      <w:pPr>
        <w:pStyle w:val="caption"/>
        <w:keepNext w:val="1"/>
        <w:spacing w:before="100" w:after="60"/>
        <w:jc w:val="center"/>
      </w:pPr>
      <w:r>
        <w:rPr>
          <w:rStyle w:val="None"/>
          <w:rFonts w:ascii="Times New Roman" w:hAnsi="Times New Roman"/>
          <w:b w:val="1"/>
          <w:bCs w:val="1"/>
          <w:i w:val="0"/>
          <w:iCs w:val="0"/>
          <w:rtl w:val="0"/>
          <w:lang w:val="en-US"/>
        </w:rPr>
        <w:t xml:space="preserve">Table 5. </w:t>
      </w:r>
      <w:r>
        <w:rPr>
          <w:rStyle w:val="None"/>
          <w:rFonts w:ascii="Times New Roman" w:hAnsi="Times New Roman"/>
          <w:i w:val="0"/>
          <w:iCs w:val="0"/>
          <w:rtl w:val="0"/>
          <w:lang w:val="en-US"/>
        </w:rPr>
        <w:t>Canonical saved GBT evaluation record: 2017</w:t>
      </w:r>
      <w:r>
        <w:rPr>
          <w:rStyle w:val="None"/>
          <w:rFonts w:ascii="Times New Roman" w:hAnsi="Times New Roman"/>
          <w:i w:val="0"/>
          <w:iCs w:val="0"/>
          <w:rtl w:val="0"/>
          <w:lang w:val="en-US"/>
        </w:rPr>
        <w:t>–</w:t>
      </w:r>
      <w:r>
        <w:rPr>
          <w:rStyle w:val="None"/>
          <w:rFonts w:ascii="Times New Roman" w:hAnsi="Times New Roman"/>
          <w:i w:val="0"/>
          <w:iCs w:val="0"/>
          <w:rtl w:val="0"/>
          <w:lang w:val="en-US"/>
        </w:rPr>
        <w:t>2023 training and 2024 testing.</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00"/>
        <w:gridCol w:w="1512"/>
        <w:gridCol w:w="1512"/>
        <w:gridCol w:w="1080"/>
        <w:gridCol w:w="1080"/>
        <w:gridCol w:w="1080"/>
        <w:gridCol w:w="1296"/>
      </w:tblGrid>
      <w:tr>
        <w:tblPrEx>
          <w:shd w:val="clear" w:color="auto" w:fill="4f81bd"/>
        </w:tblPrEx>
        <w:trPr>
          <w:trHeight w:val="226" w:hRule="atLeast"/>
          <w:tblHeader/>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pPr>
            <w:r>
              <w:rPr>
                <w:rStyle w:val="None"/>
                <w:b w:val="1"/>
                <w:bCs w:val="1"/>
                <w:shd w:val="nil" w:color="auto" w:fill="auto"/>
                <w:rtl w:val="0"/>
                <w:lang w:val="en-US"/>
              </w:rPr>
              <w:t>Canonical run</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Train rows</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2024 test rows</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ROC-AUC</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PR-AUC</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Accuracy</w:t>
            </w:r>
          </w:p>
        </w:tc>
        <w:tc>
          <w:tcPr>
            <w:tcW w:type="dxa" w:w="12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Weighted F1</w:t>
            </w:r>
          </w:p>
        </w:tc>
      </w:tr>
      <w:tr>
        <w:tblPrEx>
          <w:shd w:val="clear" w:color="auto" w:fill="ced7e7"/>
        </w:tblPrEx>
        <w:trPr>
          <w:trHeight w:val="208" w:hRule="atLeast"/>
        </w:trPr>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Saved GBT pipeline</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7,997,496</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31,872,380</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0.924</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0.584</w:t>
            </w:r>
          </w:p>
        </w:tc>
        <w:tc>
          <w:tcPr>
            <w:tcW w:type="dxa" w:w="10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0.986</w:t>
            </w:r>
          </w:p>
        </w:tc>
        <w:tc>
          <w:tcPr>
            <w:tcW w:type="dxa" w:w="129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0.984</w:t>
            </w:r>
          </w:p>
        </w:tc>
      </w:tr>
    </w:tbl>
    <w:p>
      <w:pPr>
        <w:pStyle w:val="caption"/>
        <w:keepNext w:val="1"/>
        <w:widowControl w:val="0"/>
        <w:spacing w:before="100" w:after="60"/>
        <w:ind w:left="120" w:hanging="120"/>
      </w:pPr>
    </w:p>
    <w:p>
      <w:pPr>
        <w:pStyle w:val="Body"/>
        <w:spacing w:after="0"/>
      </w:pP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0.984 F1 value is MLlib</w:t>
      </w:r>
      <w:r>
        <w:rPr>
          <w:rStyle w:val="None"/>
          <w:rFonts w:ascii="Times New Roman" w:hAnsi="Times New Roman"/>
          <w:outline w:val="0"/>
          <w:color w:val="000000"/>
          <w:sz w:val="22"/>
          <w:szCs w:val="22"/>
          <w:u w:color="000000"/>
          <w:rtl w:val="0"/>
          <w:lang w:val="en-US"/>
          <w14:textFill>
            <w14:solidFill>
              <w14:srgbClr w14:val="000000"/>
            </w14:solidFill>
          </w14:textFill>
        </w:rPr>
        <w:t>’</w:t>
      </w:r>
      <w:r>
        <w:rPr>
          <w:rStyle w:val="None"/>
          <w:rFonts w:ascii="Times New Roman" w:hAnsi="Times New Roman"/>
          <w:outline w:val="0"/>
          <w:color w:val="000000"/>
          <w:sz w:val="22"/>
          <w:szCs w:val="22"/>
          <w:u w:color="000000"/>
          <w:rtl w:val="0"/>
          <w:lang w:val="en-US"/>
          <w14:textFill>
            <w14:solidFill>
              <w14:srgbClr w14:val="000000"/>
            </w14:solidFill>
          </w14:textFill>
        </w:rPr>
        <w:t>s support-weighted F1. With a reported training positive rate near 1.9%, it is dominated by the negative class and must not be read as positive-event F1. ROC-AUC and PR-AUC measure ranking; they do not prove that the predicted probabilities are calibrated.</w:t>
      </w:r>
    </w:p>
    <w:p>
      <w:pPr>
        <w:pStyle w:val="Heading 2"/>
      </w:pPr>
      <w:r>
        <w:rPr>
          <w:rStyle w:val="None"/>
          <w:rFonts w:ascii="Times New Roman" w:hAnsi="Times New Roman"/>
          <w:outline w:val="0"/>
          <w:color w:val="000000"/>
          <w:u w:color="000000"/>
          <w:rtl w:val="0"/>
          <w:lang w:val="en-US"/>
          <w14:textFill>
            <w14:solidFill>
              <w14:srgbClr w14:val="000000"/>
            </w14:solidFill>
          </w14:textFill>
        </w:rPr>
        <w:t>5.4 Threshold-specific performance</w:t>
      </w:r>
    </w:p>
    <w:p>
      <w:pPr>
        <w:pStyle w:val="caption"/>
        <w:keepNext w:val="1"/>
        <w:spacing w:before="100" w:after="60"/>
        <w:jc w:val="center"/>
      </w:pPr>
      <w:r>
        <w:rPr>
          <w:rStyle w:val="None"/>
          <w:rFonts w:ascii="Times New Roman" w:hAnsi="Times New Roman"/>
          <w:b w:val="1"/>
          <w:bCs w:val="1"/>
          <w:i w:val="0"/>
          <w:iCs w:val="0"/>
          <w:rtl w:val="0"/>
          <w:lang w:val="en-US"/>
        </w:rPr>
        <w:t xml:space="preserve">Table 6. </w:t>
      </w:r>
      <w:r>
        <w:rPr>
          <w:rStyle w:val="None"/>
          <w:rFonts w:ascii="Times New Roman" w:hAnsi="Times New Roman"/>
          <w:i w:val="0"/>
          <w:iCs w:val="0"/>
          <w:rtl w:val="0"/>
          <w:lang w:val="en-US"/>
        </w:rPr>
        <w:t>Threshold-specific ranking metrics for GBT and logistic regression at the five evaluated thresholds.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72"/>
        <w:gridCol w:w="1872"/>
        <w:gridCol w:w="1872"/>
        <w:gridCol w:w="1872"/>
        <w:gridCol w:w="1872"/>
      </w:tblGrid>
      <w:tr>
        <w:tblPrEx>
          <w:shd w:val="clear" w:color="auto" w:fill="4f81bd"/>
        </w:tblPrEx>
        <w:trPr>
          <w:trHeight w:val="207" w:hRule="atLeast"/>
          <w:tblHeader/>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Threshold (mm)</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GBT ROC</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GBT PR</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LogReg ROC</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8"/>
                <w:szCs w:val="18"/>
                <w:shd w:val="nil" w:color="auto" w:fill="auto"/>
                <w:rtl w:val="0"/>
                <w:lang w:val="en-US"/>
              </w:rPr>
              <w:t>LogReg PR</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0.2</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0.904</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0.660</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0.879</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0.557</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1</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0.905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0.577</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0.874</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0.500</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2</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0.895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0.505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0.865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0.441</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0.898</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0.398</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0.857</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0.346</w:t>
            </w:r>
          </w:p>
        </w:tc>
      </w:tr>
      <w:tr>
        <w:tblPrEx>
          <w:shd w:val="clear" w:color="auto" w:fill="ced7e7"/>
        </w:tblPrEx>
        <w:trPr>
          <w:trHeight w:val="207" w:hRule="atLeast"/>
        </w:trPr>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10</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0.905</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0.302</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0.861</w:t>
            </w:r>
          </w:p>
        </w:tc>
        <w:tc>
          <w:tcPr>
            <w:tcW w:type="dxa" w:w="187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8"/>
                <w:szCs w:val="18"/>
                <w:shd w:val="nil" w:color="auto" w:fill="auto"/>
                <w:rtl w:val="0"/>
                <w:lang w:val="en-US"/>
              </w:rPr>
              <w:t>0.253</w:t>
            </w:r>
          </w:p>
        </w:tc>
      </w:tr>
    </w:tbl>
    <w:p>
      <w:pPr>
        <w:pStyle w:val="caption"/>
        <w:keepNext w:val="1"/>
        <w:widowControl w:val="0"/>
        <w:spacing w:before="100" w:after="60"/>
        <w:ind w:left="120" w:hanging="120"/>
      </w:pPr>
    </w:p>
    <w:p>
      <w:pPr>
        <w:pStyle w:val="Body"/>
        <w:spacing w:after="0"/>
      </w:pPr>
    </w:p>
    <w:p>
      <w:pPr>
        <w:pStyle w:val="Body"/>
        <w:keepNext w:val="1"/>
        <w:spacing w:after="0"/>
        <w:jc w:val="center"/>
      </w:pPr>
      <w:r>
        <w:rPr>
          <w:rStyle w:val="Hyperlink.0"/>
        </w:rPr>
        <w:drawing xmlns:a="http://schemas.openxmlformats.org/drawingml/2006/main">
          <wp:inline distT="0" distB="0" distL="0" distR="0">
            <wp:extent cx="5577841" cy="2145323"/>
            <wp:effectExtent l="0" t="0" r="0" b="0"/>
            <wp:docPr id="1073741835" name="officeArt object" descr="Figure 10. Threshold-specific ranking metrics reported for GBT and logistic regression."/>
            <wp:cNvGraphicFramePr/>
            <a:graphic xmlns:a="http://schemas.openxmlformats.org/drawingml/2006/main">
              <a:graphicData uri="http://schemas.openxmlformats.org/drawingml/2006/picture">
                <pic:pic xmlns:pic="http://schemas.openxmlformats.org/drawingml/2006/picture">
                  <pic:nvPicPr>
                    <pic:cNvPr id="1073741835" name="Figure 10. Threshold-specific ranking metrics reported for GBT and logistic regression." descr="Figure 10. Threshold-specific ranking metrics reported for GBT and logistic regression."/>
                    <pic:cNvPicPr>
                      <a:picLocks noChangeAspect="1"/>
                    </pic:cNvPicPr>
                  </pic:nvPicPr>
                  <pic:blipFill>
                    <a:blip r:embed="rId14">
                      <a:extLst/>
                    </a:blip>
                    <a:stretch>
                      <a:fillRect/>
                    </a:stretch>
                  </pic:blipFill>
                  <pic:spPr>
                    <a:xfrm>
                      <a:off x="0" y="0"/>
                      <a:ext cx="5577841" cy="2145323"/>
                    </a:xfrm>
                    <a:prstGeom prst="rect">
                      <a:avLst/>
                    </a:prstGeom>
                    <a:ln w="12700" cap="flat">
                      <a:noFill/>
                      <a:miter lim="400000"/>
                    </a:ln>
                    <a:effectLst/>
                  </pic:spPr>
                </pic:pic>
              </a:graphicData>
            </a:graphic>
          </wp:inline>
        </w:drawing>
      </w:r>
    </w:p>
    <w:p>
      <w:pPr>
        <w:pStyle w:val="Body"/>
        <w:spacing w:before="80" w:after="160"/>
        <w:jc w:val="center"/>
      </w:pPr>
      <w:r>
        <w:rPr>
          <w:rFonts w:ascii="Times New Roman" w:hAnsi="Times New Roman"/>
        </w:rPr>
        <w:t>Figure 12. Threshold-specific ranking metrics reported for GBT and logistic regression.</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GBT outperforms logistic regression at all five reported thresholds. GBT PR-AUC falls from 0.660 at 0.2 mm to 0.302 at 10 mm, consistent with the increasing rarity and difficulty of higher-accumulation events. Positive prevalence by threshold is required to quantify the baseline level of each PR curve.</w:t>
      </w:r>
    </w:p>
    <w:p>
      <w:pPr>
        <w:pStyle w:val="Heading 2"/>
      </w:pPr>
      <w:r>
        <w:rPr>
          <w:rFonts w:ascii="Times New Roman" w:hAnsi="Times New Roman"/>
        </w:rPr>
        <w:t>5.5 Limits of the retained evaluation</w:t>
      </w:r>
    </w:p>
    <w:p>
      <w:pPr>
        <w:pStyle w:val="List Bullet"/>
        <w:numPr>
          <w:ilvl w:val="0"/>
          <w:numId w:val="2"/>
        </w:numPr>
        <w:rPr>
          <w:lang w:val="en-US"/>
        </w:rPr>
      </w:pPr>
      <w:r>
        <w:rPr>
          <w:rStyle w:val="None"/>
          <w:rtl w:val="0"/>
          <w:lang w:val="en-US"/>
        </w:rPr>
        <w:t>Positive-class evidence unavailable: per-threshold prevalence, validation-selected cutoffs, confusion matrices, precision, recall and positive-class F1 are not retained.</w:t>
      </w:r>
    </w:p>
    <w:p>
      <w:pPr>
        <w:pStyle w:val="List Bullet"/>
        <w:numPr>
          <w:ilvl w:val="0"/>
          <w:numId w:val="2"/>
        </w:numPr>
        <w:rPr>
          <w:lang w:val="en-US"/>
        </w:rPr>
      </w:pPr>
      <w:r>
        <w:rPr>
          <w:rStyle w:val="None"/>
          <w:rtl w:val="0"/>
          <w:lang w:val="en-US"/>
        </w:rPr>
        <w:t>Calibration evidence unavailable: the report has no Brier score, log loss or reliability diagram based on a separate validation year.</w:t>
      </w:r>
    </w:p>
    <w:p>
      <w:pPr>
        <w:pStyle w:val="List Bullet"/>
        <w:numPr>
          <w:ilvl w:val="0"/>
          <w:numId w:val="2"/>
        </w:numPr>
        <w:rPr>
          <w:lang w:val="en-US"/>
        </w:rPr>
      </w:pPr>
      <w:r>
        <w:rPr>
          <w:rStyle w:val="None"/>
          <w:rtl w:val="0"/>
          <w:lang w:val="en-US"/>
        </w:rPr>
        <w:t>Baseline evidence unavailable: persistence and prevalence-only probability baselines were not evaluated in the retained results.</w:t>
      </w:r>
    </w:p>
    <w:p>
      <w:pPr>
        <w:pStyle w:val="List Bullet"/>
        <w:numPr>
          <w:ilvl w:val="0"/>
          <w:numId w:val="2"/>
        </w:numPr>
        <w:rPr>
          <w:lang w:val="en-US"/>
        </w:rPr>
      </w:pPr>
      <w:r>
        <w:rPr>
          <w:rStyle w:val="None"/>
          <w:rtl w:val="0"/>
          <w:lang w:val="en-US"/>
        </w:rPr>
        <w:t>Threshold-generalisation evidence unavailable: intermediate thresholds and monotonicity violations across q were not evaluated.</w:t>
      </w:r>
    </w:p>
    <w:p>
      <w:pPr>
        <w:pStyle w:val="Heading"/>
      </w:pPr>
      <w:bookmarkStart w:name="toc_s6" w:id="6"/>
      <w:bookmarkEnd w:id="6"/>
      <w:r>
        <w:t>6. Model and compute experiments</w:t>
      </w:r>
    </w:p>
    <w:p>
      <w:pPr>
        <w:pStyle w:val="Heading 2"/>
      </w:pPr>
      <w:r>
        <w:rPr>
          <w:rStyle w:val="None"/>
          <w:rFonts w:ascii="Times New Roman" w:hAnsi="Times New Roman"/>
          <w:outline w:val="0"/>
          <w:color w:val="000000"/>
          <w:u w:color="000000"/>
          <w:rtl w:val="0"/>
          <w:lang w:val="it-IT"/>
          <w14:textFill>
            <w14:solidFill>
              <w14:srgbClr w14:val="000000"/>
            </w14:solidFill>
          </w14:textFill>
        </w:rPr>
        <w:t>6.1 Model comparison</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model-comparison benchmark is a separate experiment. The six MLlib models share approximately 8.0 million training rows and 1.59 million test rows. The GPU models use about 401,000 rows per split, different sequence features and a different evaluator; their timing and quality therefore describe practical implementations rather than a controlled algorithm comparison.</w:t>
      </w:r>
      <w:r>
        <w:rPr>
          <w:rStyle w:val="Hyperlink.0"/>
          <w:rFonts w:ascii="Times New Roman" w:hAnsi="Times New Roman"/>
          <w:rtl w:val="0"/>
          <w:lang w:val="en-US"/>
        </w:rPr>
        <w:t xml:space="preserve"> The model structures are documented independently in Figures M1</w:t>
      </w:r>
      <w:r>
        <w:rPr>
          <w:rStyle w:val="None"/>
          <w:rFonts w:ascii="Times New Roman" w:hAnsi="Times New Roman"/>
          <w:outline w:val="0"/>
          <w:color w:val="000000"/>
          <w:u w:color="000000"/>
          <w:rtl w:val="0"/>
          <w:lang w:val="en-US"/>
          <w14:textFill>
            <w14:solidFill>
              <w14:srgbClr w14:val="000000"/>
            </w14:solidFill>
          </w14:textFill>
        </w:rPr>
        <w:t>–</w:t>
      </w:r>
      <w:r>
        <w:rPr>
          <w:rStyle w:val="Hyperlink.0"/>
          <w:rFonts w:ascii="Times New Roman" w:hAnsi="Times New Roman"/>
          <w:rtl w:val="0"/>
          <w:lang w:val="en-US"/>
        </w:rPr>
        <w:t>M8 so that algorithmic differences are separated from performance claims.</w:t>
      </w:r>
    </w:p>
    <w:p>
      <w:pPr>
        <w:pStyle w:val="caption"/>
        <w:keepNext w:val="1"/>
        <w:spacing w:before="100" w:after="60"/>
        <w:jc w:val="center"/>
      </w:pPr>
      <w:r>
        <w:rPr>
          <w:rStyle w:val="None"/>
          <w:rFonts w:ascii="Times New Roman" w:hAnsi="Times New Roman"/>
          <w:b w:val="1"/>
          <w:bCs w:val="1"/>
          <w:i w:val="0"/>
          <w:iCs w:val="0"/>
          <w:rtl w:val="0"/>
          <w:lang w:val="en-US"/>
        </w:rPr>
        <w:t xml:space="preserve">Table 7. </w:t>
      </w:r>
      <w:r>
        <w:rPr>
          <w:rStyle w:val="None"/>
          <w:rFonts w:ascii="Times New Roman" w:hAnsi="Times New Roman"/>
          <w:i w:val="0"/>
          <w:iCs w:val="0"/>
          <w:rtl w:val="0"/>
          <w:lang w:val="en-US"/>
        </w:rPr>
        <w:t>Model-comparison results; GPU rows use different samples, features and evaluators from MLlib rows.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32"/>
        <w:gridCol w:w="1583"/>
        <w:gridCol w:w="1224"/>
        <w:gridCol w:w="1369"/>
        <w:gridCol w:w="1440"/>
        <w:gridCol w:w="1512"/>
      </w:tblGrid>
      <w:tr>
        <w:tblPrEx>
          <w:shd w:val="clear" w:color="auto" w:fill="4f81bd"/>
        </w:tblPrEx>
        <w:trPr>
          <w:trHeight w:val="188" w:hRule="atLeast"/>
          <w:tblHeader/>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Model</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Runtime</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Train (s)</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Predict (s)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ROC-AUC</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6"/>
                <w:szCs w:val="16"/>
                <w:shd w:val="nil" w:color="auto" w:fill="auto"/>
                <w:rtl w:val="0"/>
                <w:lang w:val="en-US"/>
              </w:rPr>
              <w:t>PR-AUC</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GBT</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278.6</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8.16</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0.925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0.586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Random Forest</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173.5</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8.43</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0.902</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0.560</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Logistic Regression</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27.9</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4.91</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0.897</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0.436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Linear SVC</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44.3</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5.44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0.875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0.468</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MLP</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321.1</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7.95</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0.921</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0.557</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Factorization Machines</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MLlib CPU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278.3</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5.51</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0.814</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0.196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LSTM</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GPU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75.3</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0.915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0.476</w:t>
            </w:r>
          </w:p>
        </w:tc>
      </w:tr>
      <w:tr>
        <w:tblPrEx>
          <w:shd w:val="clear" w:color="auto" w:fill="ced7e7"/>
        </w:tblPrEx>
        <w:trPr>
          <w:trHeight w:val="188" w:hRule="atLeast"/>
        </w:trPr>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TCN</w:t>
            </w:r>
          </w:p>
        </w:tc>
        <w:tc>
          <w:tcPr>
            <w:tcW w:type="dxa" w:w="158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6"/>
                <w:szCs w:val="16"/>
                <w:shd w:val="nil" w:color="auto" w:fill="auto"/>
                <w:rtl w:val="0"/>
                <w:lang w:val="en-US"/>
              </w:rPr>
              <w:t>GPU</w:t>
            </w:r>
          </w:p>
        </w:tc>
        <w:tc>
          <w:tcPr>
            <w:tcW w:type="dxa" w:w="1223"/>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79.9</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0.36</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0.915</w:t>
            </w:r>
          </w:p>
        </w:tc>
        <w:tc>
          <w:tcPr>
            <w:tcW w:type="dxa" w:w="151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6"/>
                <w:szCs w:val="16"/>
                <w:shd w:val="nil" w:color="auto" w:fill="auto"/>
                <w:rtl w:val="0"/>
                <w:lang w:val="en-US"/>
              </w:rPr>
              <w:t>0.473</w:t>
            </w:r>
          </w:p>
        </w:tc>
      </w:tr>
    </w:tbl>
    <w:p>
      <w:pPr>
        <w:pStyle w:val="caption"/>
        <w:keepNext w:val="1"/>
        <w:widowControl w:val="0"/>
        <w:spacing w:before="100" w:after="60"/>
        <w:ind w:left="120" w:hanging="120"/>
      </w:pPr>
    </w:p>
    <w:p>
      <w:pPr>
        <w:pStyle w:val="Body"/>
        <w:spacing w:after="0"/>
      </w:pPr>
    </w:p>
    <w:p>
      <w:pPr>
        <w:pStyle w:val="Body"/>
        <w:keepNext w:val="1"/>
        <w:spacing w:after="0"/>
        <w:jc w:val="center"/>
      </w:pPr>
      <w:r>
        <w:rPr>
          <w:rStyle w:val="Hyperlink.0"/>
        </w:rPr>
        <w:drawing xmlns:a="http://schemas.openxmlformats.org/drawingml/2006/main">
          <wp:inline distT="0" distB="0" distL="0" distR="0">
            <wp:extent cx="5394960" cy="2697480"/>
            <wp:effectExtent l="0" t="0" r="0" b="0"/>
            <wp:docPr id="1073741836" name="officeArt object" descr="Figure 11. Reported ROC-AUC and PR-AUC across model implementations."/>
            <wp:cNvGraphicFramePr/>
            <a:graphic xmlns:a="http://schemas.openxmlformats.org/drawingml/2006/main">
              <a:graphicData uri="http://schemas.openxmlformats.org/drawingml/2006/picture">
                <pic:pic xmlns:pic="http://schemas.openxmlformats.org/drawingml/2006/picture">
                  <pic:nvPicPr>
                    <pic:cNvPr id="1073741836" name="Figure 11. Reported ROC-AUC and PR-AUC across model implementations." descr="Figure 11. Reported ROC-AUC and PR-AUC across model implementations."/>
                    <pic:cNvPicPr>
                      <a:picLocks noChangeAspect="1"/>
                    </pic:cNvPicPr>
                  </pic:nvPicPr>
                  <pic:blipFill>
                    <a:blip r:embed="rId15">
                      <a:extLst/>
                    </a:blip>
                    <a:stretch>
                      <a:fillRect/>
                    </a:stretch>
                  </pic:blipFill>
                  <pic:spPr>
                    <a:xfrm>
                      <a:off x="0" y="0"/>
                      <a:ext cx="5394960" cy="2697480"/>
                    </a:xfrm>
                    <a:prstGeom prst="rect">
                      <a:avLst/>
                    </a:prstGeom>
                    <a:ln w="12700" cap="flat">
                      <a:noFill/>
                      <a:miter lim="400000"/>
                    </a:ln>
                    <a:effectLst/>
                  </pic:spPr>
                </pic:pic>
              </a:graphicData>
            </a:graphic>
          </wp:inline>
        </w:drawing>
      </w:r>
    </w:p>
    <w:p>
      <w:pPr>
        <w:pStyle w:val="Body"/>
        <w:spacing w:before="80" w:after="160"/>
        <w:jc w:val="center"/>
      </w:pPr>
      <w:r>
        <w:rPr>
          <w:rFonts w:ascii="Times New Roman" w:hAnsi="Times New Roman"/>
        </w:rPr>
        <w:t>Figure 13. Reported ROC-AUC and PR-AUC across model implementations.</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GBT has the highest reported PR-AUC in this experiment. Random Forest and MLP are competitive, while the linear models provide faster baselines. The short GPU inference times are not directly comparable with MLlib because the scored row counts, feature representations and frameworks differ.</w:t>
      </w:r>
    </w:p>
    <w:p>
      <w:pPr>
        <w:pStyle w:val="Heading 2"/>
      </w:pPr>
      <w:r>
        <w:rPr>
          <w:rStyle w:val="None"/>
          <w:rFonts w:ascii="Times New Roman" w:hAnsi="Times New Roman"/>
          <w:outline w:val="0"/>
          <w:color w:val="000000"/>
          <w:u w:color="000000"/>
          <w:rtl w:val="0"/>
          <w:lang w:val="en-US"/>
          <w14:textFill>
            <w14:solidFill>
              <w14:srgbClr w14:val="000000"/>
            </w14:solidFill>
          </w14:textFill>
        </w:rPr>
        <w:t>6.2 Deployment comparison</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Four MLlib models were run across five Spark configurations on approximately one million sampled training rows. The sample counts differ slightly by configuration, and the configurations also change cores, heap budgets and shuffle partitions. The timings are therefore descriptive observations rather than a controlled estimate of deployment overhead.</w:t>
      </w:r>
      <w:r>
        <w:rPr>
          <w:rStyle w:val="Hyperlink.0"/>
          <w:rFonts w:ascii="Times New Roman" w:hAnsi="Times New Roman"/>
          <w:rtl w:val="0"/>
          <w:lang w:val="en-US"/>
        </w:rPr>
        <w:t xml:space="preserve"> Figure A7 specifies the matched-resource protocol needed for a causal deployment comparison.</w:t>
      </w:r>
    </w:p>
    <w:p>
      <w:pPr>
        <w:pStyle w:val="caption"/>
        <w:keepNext w:val="1"/>
        <w:spacing w:before="100" w:after="60"/>
        <w:jc w:val="center"/>
      </w:pPr>
      <w:r>
        <w:rPr>
          <w:rStyle w:val="None"/>
          <w:rFonts w:ascii="Times New Roman" w:hAnsi="Times New Roman"/>
          <w:b w:val="1"/>
          <w:bCs w:val="1"/>
          <w:i w:val="0"/>
          <w:iCs w:val="0"/>
          <w:rtl w:val="0"/>
          <w:lang w:val="en-US"/>
        </w:rPr>
        <w:t xml:space="preserve">Table 8. </w:t>
      </w:r>
      <w:r>
        <w:rPr>
          <w:rStyle w:val="None"/>
          <w:rFonts w:ascii="Times New Roman" w:hAnsi="Times New Roman"/>
          <w:i w:val="0"/>
          <w:iCs w:val="0"/>
          <w:rtl w:val="0"/>
          <w:lang w:val="en-US"/>
        </w:rPr>
        <w:t>Deployment observations; sampled rows and resource budgets are not matched across configurations.</w:t>
      </w:r>
    </w:p>
    <w:tbl>
      <w:tblPr>
        <w:tblW w:w="9359"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88"/>
        <w:gridCol w:w="1800"/>
        <w:gridCol w:w="1368"/>
        <w:gridCol w:w="1295"/>
        <w:gridCol w:w="1440"/>
        <w:gridCol w:w="1368"/>
      </w:tblGrid>
      <w:tr>
        <w:tblPrEx>
          <w:shd w:val="clear" w:color="auto" w:fill="4f81bd"/>
        </w:tblPrEx>
        <w:trPr>
          <w:trHeight w:val="208" w:hRule="atLeast"/>
          <w:tblHeader/>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Configuration</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GBT train rows</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GBT (s)</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RF (s)</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LogReg (s)</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LinSVC (s)</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local-all</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999,587</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64.0</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42.4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13.4</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27.0</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standalone-2x2</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1,000,314</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108.9</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75.6</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23.5</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41.5</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standalone-4x2</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1,000,771</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86.2</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51.2</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19.9</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36.6</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docker-2w</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1,000,314</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101.8</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71.7</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21.6</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46.2</w:t>
            </w:r>
          </w:p>
        </w:tc>
      </w:tr>
      <w:tr>
        <w:tblPrEx>
          <w:shd w:val="clear" w:color="auto" w:fill="ced7e7"/>
        </w:tblPrEx>
        <w:trPr>
          <w:trHeight w:val="208" w:hRule="atLeast"/>
        </w:trPr>
        <w:tc>
          <w:tcPr>
            <w:tcW w:type="dxa" w:w="208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docker-3w</w:t>
            </w:r>
          </w:p>
        </w:tc>
        <w:tc>
          <w:tcPr>
            <w:tcW w:type="dxa" w:w="180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1,000,771</w:t>
            </w:r>
          </w:p>
        </w:tc>
        <w:tc>
          <w:tcPr>
            <w:tcW w:type="dxa" w:w="1368"/>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82.4</w:t>
            </w:r>
          </w:p>
        </w:tc>
        <w:tc>
          <w:tcPr>
            <w:tcW w:type="dxa" w:w="1295"/>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59.4</w:t>
            </w:r>
          </w:p>
        </w:tc>
        <w:tc>
          <w:tcPr>
            <w:tcW w:type="dxa" w:w="144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20.2</w:t>
            </w:r>
          </w:p>
        </w:tc>
        <w:tc>
          <w:tcPr>
            <w:tcW w:type="dxa" w:w="1367"/>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jc w:val="center"/>
            </w:pPr>
            <w:r>
              <w:rPr>
                <w:rStyle w:val="None"/>
                <w:sz w:val="17"/>
                <w:szCs w:val="17"/>
                <w:shd w:val="nil" w:color="auto" w:fill="auto"/>
                <w:rtl w:val="0"/>
                <w:lang w:val="en-US"/>
              </w:rPr>
              <w:t>39.1</w:t>
            </w:r>
          </w:p>
        </w:tc>
      </w:tr>
    </w:tbl>
    <w:p>
      <w:pPr>
        <w:pStyle w:val="caption"/>
        <w:keepNext w:val="1"/>
        <w:widowControl w:val="0"/>
        <w:spacing w:before="100" w:after="60"/>
        <w:ind w:left="120" w:hanging="120"/>
      </w:pPr>
    </w:p>
    <w:p>
      <w:pPr>
        <w:pStyle w:val="Body"/>
        <w:spacing w:after="0"/>
      </w:pPr>
    </w:p>
    <w:p>
      <w:pPr>
        <w:pStyle w:val="Body"/>
        <w:keepNext w:val="1"/>
        <w:spacing w:after="0"/>
        <w:jc w:val="center"/>
      </w:pPr>
      <w:r>
        <w:rPr>
          <w:rStyle w:val="Hyperlink.0"/>
        </w:rPr>
        <w:drawing xmlns:a="http://schemas.openxmlformats.org/drawingml/2006/main">
          <wp:inline distT="0" distB="0" distL="0" distR="0">
            <wp:extent cx="5532121" cy="3859620"/>
            <wp:effectExtent l="0" t="0" r="0" b="0"/>
            <wp:docPr id="1073741837" name="officeArt object" descr="Figure 12. Training time by deployment configuration; resources are not held constant."/>
            <wp:cNvGraphicFramePr/>
            <a:graphic xmlns:a="http://schemas.openxmlformats.org/drawingml/2006/main">
              <a:graphicData uri="http://schemas.openxmlformats.org/drawingml/2006/picture">
                <pic:pic xmlns:pic="http://schemas.openxmlformats.org/drawingml/2006/picture">
                  <pic:nvPicPr>
                    <pic:cNvPr id="1073741837" name="Figure 12. Training time by deployment configuration; resources are not held constant." descr="Figure 12. Training time by deployment configuration; resources are not held constant."/>
                    <pic:cNvPicPr>
                      <a:picLocks noChangeAspect="1"/>
                    </pic:cNvPicPr>
                  </pic:nvPicPr>
                  <pic:blipFill>
                    <a:blip r:embed="rId16">
                      <a:extLst/>
                    </a:blip>
                    <a:stretch>
                      <a:fillRect/>
                    </a:stretch>
                  </pic:blipFill>
                  <pic:spPr>
                    <a:xfrm>
                      <a:off x="0" y="0"/>
                      <a:ext cx="5532121" cy="3859620"/>
                    </a:xfrm>
                    <a:prstGeom prst="rect">
                      <a:avLst/>
                    </a:prstGeom>
                    <a:ln w="12700" cap="flat">
                      <a:noFill/>
                      <a:miter lim="400000"/>
                    </a:ln>
                    <a:effectLst/>
                  </pic:spPr>
                </pic:pic>
              </a:graphicData>
            </a:graphic>
          </wp:inline>
        </w:drawing>
      </w:r>
    </w:p>
    <w:p>
      <w:pPr>
        <w:pStyle w:val="Body"/>
        <w:spacing w:before="80" w:after="160"/>
        <w:jc w:val="center"/>
      </w:pPr>
      <w:r>
        <w:rPr>
          <w:rFonts w:ascii="Times New Roman" w:hAnsi="Times New Roman"/>
        </w:rPr>
        <w:t>Figure 14. Training time by deployment configuration; resources are not held constant.</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Local execution is fastest in the reported table. Within each cluster family, more allocated cores reduce GBT training time. These results are compatible with executor, serialization and container overhead on a shared host, but the current design cannot isolate those causes. Quality metrics remain similar because deployment changes execution, not the learning objective.</w:t>
      </w:r>
    </w:p>
    <w:p>
      <w:pPr>
        <w:pStyle w:val="Heading 2"/>
      </w:pPr>
      <w:r>
        <w:rPr>
          <w:rStyle w:val="None"/>
          <w:rFonts w:ascii="Times New Roman" w:hAnsi="Times New Roman"/>
          <w:rtl w:val="0"/>
          <w:lang w:val="en-US"/>
        </w:rPr>
        <w:t>6.3 Protocol for future controlled systems experiments</w:t>
      </w:r>
    </w:p>
    <w:p>
      <w:pPr>
        <w:pStyle w:val="caption"/>
        <w:keepNext w:val="1"/>
        <w:spacing w:before="100" w:after="60"/>
        <w:jc w:val="center"/>
      </w:pPr>
      <w:r>
        <w:rPr>
          <w:rStyle w:val="None"/>
          <w:rFonts w:ascii="Times New Roman" w:hAnsi="Times New Roman"/>
          <w:b w:val="1"/>
          <w:bCs w:val="1"/>
          <w:i w:val="0"/>
          <w:iCs w:val="0"/>
          <w:rtl w:val="0"/>
          <w:lang w:val="en-US"/>
        </w:rPr>
        <w:t xml:space="preserve">Table 9. </w:t>
      </w:r>
      <w:r>
        <w:rPr>
          <w:rStyle w:val="None"/>
          <w:rFonts w:ascii="Times New Roman" w:hAnsi="Times New Roman"/>
          <w:i w:val="0"/>
          <w:iCs w:val="0"/>
          <w:rtl w:val="0"/>
          <w:lang w:val="en-US"/>
        </w:rPr>
        <w:t>Proposed controlled systems experiments; these protocols are not reported as executed results.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44"/>
        <w:gridCol w:w="4536"/>
        <w:gridCol w:w="2880"/>
      </w:tblGrid>
      <w:tr>
        <w:tblPrEx>
          <w:shd w:val="clear" w:color="auto" w:fill="4f81bd"/>
        </w:tblPrEx>
        <w:trPr>
          <w:trHeight w:val="208" w:hRule="atLeast"/>
          <w:tblHeader/>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Experiment</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Controlled design</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Report output</w:t>
            </w:r>
          </w:p>
        </w:tc>
      </w:tr>
      <w:tr>
        <w:tblPrEx>
          <w:shd w:val="clear" w:color="auto" w:fill="ced7e7"/>
        </w:tblPrEx>
        <w:trPr>
          <w:trHeight w:val="437" w:hRule="atLeast"/>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Matched deployment overhead</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Same frozen row IDs, four cores, memory budget, partitions and GBT; local[4] vs 2</w:t>
            </w:r>
            <w:r>
              <w:rPr>
                <w:rStyle w:val="None"/>
                <w:sz w:val="17"/>
                <w:szCs w:val="17"/>
                <w:shd w:val="nil" w:color="auto" w:fill="auto"/>
                <w:rtl w:val="0"/>
                <w:lang w:val="en-US"/>
              </w:rPr>
              <w:t>×</w:t>
            </w:r>
            <w:r>
              <w:rPr>
                <w:rStyle w:val="None"/>
                <w:sz w:val="17"/>
                <w:szCs w:val="17"/>
                <w:shd w:val="nil" w:color="auto" w:fill="auto"/>
                <w:rtl w:val="0"/>
                <w:lang w:val="en-US"/>
              </w:rPr>
              <w:t>2 Standalone vs 2</w:t>
            </w:r>
            <w:r>
              <w:rPr>
                <w:rStyle w:val="None"/>
                <w:sz w:val="17"/>
                <w:szCs w:val="17"/>
                <w:shd w:val="nil" w:color="auto" w:fill="auto"/>
                <w:rtl w:val="0"/>
                <w:lang w:val="en-US"/>
              </w:rPr>
              <w:t>×</w:t>
            </w:r>
            <w:r>
              <w:rPr>
                <w:rStyle w:val="None"/>
                <w:sz w:val="17"/>
                <w:szCs w:val="17"/>
                <w:shd w:val="nil" w:color="auto" w:fill="auto"/>
                <w:rtl w:val="0"/>
                <w:lang w:val="en-US"/>
              </w:rPr>
              <w:t>2 Docker</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 xml:space="preserve">Median and range over </w:t>
            </w:r>
            <w:r>
              <w:rPr>
                <w:rStyle w:val="None"/>
                <w:sz w:val="17"/>
                <w:szCs w:val="17"/>
                <w:shd w:val="nil" w:color="auto" w:fill="auto"/>
                <w:rtl w:val="0"/>
                <w:lang w:val="en-US"/>
              </w:rPr>
              <w:t>≥</w:t>
            </w:r>
            <w:r>
              <w:rPr>
                <w:rStyle w:val="None"/>
                <w:sz w:val="17"/>
                <w:szCs w:val="17"/>
                <w:shd w:val="nil" w:color="auto" w:fill="auto"/>
                <w:rtl w:val="0"/>
                <w:lang w:val="en-US"/>
              </w:rPr>
              <w:t>3 measured runs; stage time, shuffle, spill, GC</w:t>
            </w:r>
          </w:p>
        </w:tc>
      </w:tr>
      <w:tr>
        <w:tblPrEx>
          <w:shd w:val="clear" w:color="auto" w:fill="ced7e7"/>
        </w:tblPrEx>
        <w:trPr>
          <w:trHeight w:val="437" w:hRule="atLeast"/>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Parallel scaling</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Fixed data/model; local[1/2/4/8], then executor layouts with fixed total cores</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Speedup S(p), efficiency E(p), throughput and p95 task time</w:t>
            </w:r>
          </w:p>
        </w:tc>
      </w:tr>
      <w:tr>
        <w:tblPrEx>
          <w:shd w:val="clear" w:color="auto" w:fill="ced7e7"/>
        </w:tblPrEx>
        <w:trPr>
          <w:trHeight w:val="437" w:hRule="atLeast"/>
        </w:trPr>
        <w:tc>
          <w:tcPr>
            <w:tcW w:type="dxa" w:w="1944"/>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Feature reuse break-even</w:t>
            </w:r>
          </w:p>
        </w:tc>
        <w:tc>
          <w:tcPr>
            <w:tcW w:type="dxa" w:w="45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Recompute features per fit versus materialise once and reuse for 1, 3 and 6 fits</w:t>
            </w:r>
          </w:p>
        </w:tc>
        <w:tc>
          <w:tcPr>
            <w:tcW w:type="dxa" w:w="2880"/>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End-to-end elapsed time and measured break-even number of fits</w:t>
            </w:r>
          </w:p>
        </w:tc>
      </w:tr>
    </w:tbl>
    <w:p>
      <w:pPr>
        <w:pStyle w:val="caption"/>
        <w:keepNext w:val="1"/>
        <w:widowControl w:val="0"/>
        <w:spacing w:before="100" w:after="60"/>
        <w:ind w:left="120" w:hanging="120"/>
      </w:pPr>
    </w:p>
    <w:p>
      <w:pPr>
        <w:pStyle w:val="Body"/>
        <w:spacing w:after="0"/>
      </w:pPr>
    </w:p>
    <w:p>
      <w:pPr>
        <w:pStyle w:val="Heading"/>
        <w:pageBreakBefore w:val="1"/>
      </w:pPr>
      <w:bookmarkStart w:name="toc_s7" w:id="7"/>
      <w:bookmarkEnd w:id="7"/>
      <w:r>
        <w:t>7. Threats to validity and proposed extensions</w:t>
      </w:r>
    </w:p>
    <w:p>
      <w:pPr>
        <w:pStyle w:val="Body"/>
        <w:spacing w:line="264" w:lineRule="auto"/>
      </w:pPr>
      <w:r>
        <w:rPr>
          <w:rStyle w:val="None"/>
          <w:rFonts w:ascii="Times New Roman" w:hAnsi="Times New Roman"/>
          <w:rtl w:val="0"/>
          <w:lang w:val="en-US"/>
        </w:rPr>
        <w:t>The following threats have the greatest potential to affect target construction, feature timing or interpretation. Their effect on the reported metrics cannot be established from the retained artifacts alone.</w:t>
      </w:r>
    </w:p>
    <w:p>
      <w:pPr>
        <w:pStyle w:val="caption"/>
        <w:keepNext w:val="1"/>
        <w:spacing w:before="100" w:after="60"/>
        <w:jc w:val="center"/>
      </w:pPr>
      <w:r>
        <w:rPr>
          <w:rStyle w:val="None"/>
          <w:rFonts w:ascii="Times New Roman" w:hAnsi="Times New Roman"/>
          <w:b w:val="1"/>
          <w:bCs w:val="1"/>
          <w:i w:val="0"/>
          <w:iCs w:val="0"/>
          <w:rtl w:val="0"/>
          <w:lang w:val="en-US"/>
        </w:rPr>
        <w:t xml:space="preserve">Table 10. </w:t>
      </w:r>
      <w:r>
        <w:rPr>
          <w:rStyle w:val="None"/>
          <w:rFonts w:ascii="Times New Roman" w:hAnsi="Times New Roman"/>
          <w:i w:val="0"/>
          <w:iCs w:val="0"/>
          <w:rtl w:val="0"/>
          <w:lang w:val="en-US"/>
        </w:rPr>
        <w:t>Retained implementation risks and the validity checks needed before stronger predictive claims.</w:t>
      </w:r>
    </w:p>
    <w:tbl>
      <w:tblPr>
        <w:tblW w:w="9360" w:type="dxa"/>
        <w:jc w:val="left"/>
        <w:tblInd w:w="2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
        <w:gridCol w:w="2232"/>
        <w:gridCol w:w="6192"/>
      </w:tblGrid>
      <w:tr>
        <w:tblPrEx>
          <w:shd w:val="clear" w:color="auto" w:fill="4f81bd"/>
        </w:tblPrEx>
        <w:trPr>
          <w:trHeight w:val="208" w:hRule="atLeast"/>
          <w:tblHeader/>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Priority</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Risk</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e6e6e6"/>
            <w:tcMar>
              <w:top w:type="dxa" w:w="80"/>
              <w:left w:type="dxa" w:w="80"/>
              <w:bottom w:type="dxa" w:w="80"/>
              <w:right w:type="dxa" w:w="80"/>
            </w:tcMar>
            <w:vAlign w:val="center"/>
          </w:tcPr>
          <w:p>
            <w:pPr>
              <w:pStyle w:val="Body"/>
              <w:spacing w:after="0"/>
            </w:pPr>
            <w:r>
              <w:rPr>
                <w:rStyle w:val="None"/>
                <w:b w:val="1"/>
                <w:bCs w:val="1"/>
                <w:sz w:val="17"/>
                <w:szCs w:val="17"/>
                <w:shd w:val="nil" w:color="auto" w:fill="auto"/>
                <w:rtl w:val="0"/>
                <w:lang w:val="en-US"/>
              </w:rPr>
              <w:t>Implication / required check</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Temporal window boundaries</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Confirm that rolling 30 minutes contains the intended six five-minute totals; rangeBetween(-1800,0) can include seven grid points.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Cadence integrity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 previous row is not necessarily t</w:t>
            </w:r>
            <w:r>
              <w:rPr>
                <w:rStyle w:val="None"/>
                <w:sz w:val="17"/>
                <w:szCs w:val="17"/>
                <w:shd w:val="nil" w:color="auto" w:fill="auto"/>
                <w:rtl w:val="0"/>
                <w:lang w:val="en-US"/>
              </w:rPr>
              <w:t>−</w:t>
            </w:r>
            <w:r>
              <w:rPr>
                <w:rStyle w:val="None"/>
                <w:sz w:val="17"/>
                <w:szCs w:val="17"/>
                <w:shd w:val="nil" w:color="auto" w:fill="auto"/>
                <w:rtl w:val="0"/>
                <w:lang w:val="en-US"/>
              </w:rPr>
              <w:t>5 minutes. Verify exact offsets for lag sequences and future labels when observations are missing.</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Temporal split boundary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Ensure training rows near year-end do not use 2024 observations in their target windows.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P0</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Training/inference parity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Training can search up to 24 h for last rain; inference currently loads six hours. Compare offline and online features for identical queries.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P1</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Run traceability</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Assign immutable run IDs to data, feature version, sample membership, model, metrics and figures.</w:t>
            </w:r>
          </w:p>
        </w:tc>
      </w:tr>
      <w:tr>
        <w:tblPrEx>
          <w:shd w:val="clear" w:color="auto" w:fill="ced7e7"/>
        </w:tblPrEx>
        <w:trPr>
          <w:trHeight w:val="437" w:hRule="atLeast"/>
        </w:trPr>
        <w:tc>
          <w:tcPr>
            <w:tcW w:type="dxa" w:w="936"/>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P1</w:t>
            </w:r>
          </w:p>
        </w:tc>
        <w:tc>
          <w:tcPr>
            <w:tcW w:type="dxa" w:w="223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Probability validation</w:t>
            </w:r>
          </w:p>
        </w:tc>
        <w:tc>
          <w:tcPr>
            <w:tcW w:type="dxa" w:w="6192"/>
            <w:tcBorders>
              <w:top w:val="single" w:color="808080" w:sz="6" w:space="0" w:shadow="0" w:frame="0"/>
              <w:left w:val="single" w:color="808080" w:sz="6" w:space="0" w:shadow="0" w:frame="0"/>
              <w:bottom w:val="single" w:color="808080" w:sz="6" w:space="0" w:shadow="0" w:frame="0"/>
              <w:right w:val="single" w:color="808080" w:sz="6" w:space="0" w:shadow="0" w:frame="0"/>
            </w:tcBorders>
            <w:shd w:val="clear" w:color="auto" w:fill="ffffff"/>
            <w:tcMar>
              <w:top w:type="dxa" w:w="80"/>
              <w:left w:type="dxa" w:w="80"/>
              <w:bottom w:type="dxa" w:w="80"/>
              <w:right w:type="dxa" w:w="80"/>
            </w:tcMar>
            <w:vAlign w:val="center"/>
          </w:tcPr>
          <w:p>
            <w:pPr>
              <w:pStyle w:val="Body"/>
              <w:spacing w:after="0"/>
            </w:pPr>
            <w:r>
              <w:rPr>
                <w:rStyle w:val="None"/>
                <w:sz w:val="17"/>
                <w:szCs w:val="17"/>
                <w:shd w:val="nil" w:color="auto" w:fill="auto"/>
                <w:rtl w:val="0"/>
                <w:lang w:val="en-US"/>
              </w:rPr>
              <w:t>Add calibration, positive-class metrics and unseen-threshold tests before operational claims.</w:t>
            </w:r>
          </w:p>
        </w:tc>
      </w:tr>
    </w:tbl>
    <w:p>
      <w:pPr>
        <w:pStyle w:val="caption"/>
        <w:keepNext w:val="1"/>
        <w:widowControl w:val="0"/>
        <w:spacing w:before="100" w:after="60"/>
        <w:ind w:left="120" w:hanging="120"/>
      </w:pPr>
    </w:p>
    <w:p>
      <w:pPr>
        <w:pStyle w:val="Body"/>
        <w:spacing w:after="0"/>
      </w:pPr>
    </w:p>
    <w:p>
      <w:pPr>
        <w:pStyle w:val="Body"/>
        <w:pBdr>
          <w:top w:val="single" w:color="808080" w:sz="5" w:space="0" w:shadow="0" w:frame="0"/>
          <w:left w:val="single" w:color="808080" w:sz="5" w:space="0" w:shadow="0" w:frame="0"/>
          <w:bottom w:val="single" w:color="808080" w:sz="5" w:space="0" w:shadow="0" w:frame="0"/>
          <w:right w:val="single" w:color="808080" w:sz="5" w:space="0" w:shadow="0" w:frame="0"/>
        </w:pBdr>
        <w:shd w:val="clear" w:color="auto" w:fill="f2f2f2"/>
        <w:spacing w:before="80" w:after="160" w:line="264" w:lineRule="auto"/>
        <w:ind w:left="86" w:right="86" w:firstLine="0"/>
      </w:pPr>
      <w:r>
        <w:rPr>
          <w:rStyle w:val="None"/>
          <w:rFonts w:ascii="Times New Roman" w:hAnsi="Times New Roman"/>
          <w:rtl w:val="0"/>
          <w:lang w:val="en-US"/>
        </w:rPr>
        <w:t>Interpretation. These are implementation risks rather than evidence that the reported ranking metrics are incorrect. Any future correction that changes features or labels requires a new versioned run and a jointly regenerated model, metric set and figure set.</w:t>
      </w:r>
    </w:p>
    <w:p>
      <w:pPr>
        <w:pStyle w:val="Heading 2"/>
      </w:pPr>
      <w:r>
        <w:rPr>
          <w:rStyle w:val="None"/>
          <w:rFonts w:ascii="Times New Roman" w:hAnsi="Times New Roman"/>
          <w:outline w:val="0"/>
          <w:color w:val="000000"/>
          <w:u w:color="000000"/>
          <w:rtl w:val="0"/>
          <w:lang w:val="en-US"/>
          <w14:textFill>
            <w14:solidFill>
              <w14:srgbClr w14:val="000000"/>
            </w14:solidFill>
          </w14:textFill>
        </w:rPr>
        <w:t>7.1 Proposed temporal-partitioning experiment</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 xml:space="preserve">A strong extension is to compare the corrected station-wide temporal window with station-month blocks that include boundary </w:t>
      </w:r>
      <w:r>
        <w:rPr>
          <w:rStyle w:val="None"/>
          <w:rFonts w:ascii="Times New Roman" w:hAnsi="Times New Roman"/>
          <w:outline w:val="0"/>
          <w:color w:val="000000"/>
          <w:sz w:val="22"/>
          <w:szCs w:val="22"/>
          <w:u w:color="000000"/>
          <w:rtl w:val="0"/>
          <w:lang w:val="en-US"/>
          <w14:textFill>
            <w14:solidFill>
              <w14:srgbClr w14:val="000000"/>
            </w14:solidFill>
          </w14:textFill>
        </w:rPr>
        <w:t>“</w:t>
      </w:r>
      <w:r>
        <w:rPr>
          <w:rStyle w:val="None"/>
          <w:rFonts w:ascii="Times New Roman" w:hAnsi="Times New Roman"/>
          <w:outline w:val="0"/>
          <w:color w:val="000000"/>
          <w:sz w:val="22"/>
          <w:szCs w:val="22"/>
          <w:u w:color="000000"/>
          <w:rtl w:val="0"/>
          <w14:textFill>
            <w14:solidFill>
              <w14:srgbClr w14:val="000000"/>
            </w14:solidFill>
          </w14:textFill>
        </w:rPr>
        <w:t>halo</w:t>
      </w:r>
      <w:r>
        <w:rPr>
          <w:rStyle w:val="None"/>
          <w:rFonts w:ascii="Times New Roman" w:hAnsi="Times New Roman"/>
          <w:outline w:val="0"/>
          <w:color w:val="000000"/>
          <w:sz w:val="22"/>
          <w:szCs w:val="22"/>
          <w:u w:color="000000"/>
          <w:rtl w:val="0"/>
          <w:lang w:val="en-US"/>
          <w14:textFill>
            <w14:solidFill>
              <w14:srgbClr w14:val="000000"/>
            </w14:solidFill>
          </w14:textFill>
        </w:rPr>
        <w:t xml:space="preserve">” </w:t>
      </w:r>
      <w:r>
        <w:rPr>
          <w:rStyle w:val="None"/>
          <w:rFonts w:ascii="Times New Roman" w:hAnsi="Times New Roman"/>
          <w:outline w:val="0"/>
          <w:color w:val="000000"/>
          <w:sz w:val="22"/>
          <w:szCs w:val="22"/>
          <w:u w:color="000000"/>
          <w:rtl w:val="0"/>
          <w:lang w:val="en-US"/>
          <w14:textFill>
            <w14:solidFill>
              <w14:srgbClr w14:val="000000"/>
            </w14:solidFill>
          </w14:textFill>
        </w:rPr>
        <w:t>data. Each monthly block must include at least 180 minutes of prior context, 30 minutes of future context and sufficient last-wet state, then emit only rows owned by its core month. The optimised output must match the reference output exactly before runtime is compared.</w:t>
      </w:r>
    </w:p>
    <w:p>
      <w:pPr>
        <w:pStyle w:val="List Bullet"/>
        <w:numPr>
          <w:ilvl w:val="0"/>
          <w:numId w:val="2"/>
        </w:numPr>
        <w:rPr>
          <w:lang w:val="en-US"/>
        </w:rPr>
      </w:pPr>
      <w:r>
        <w:rPr>
          <w:rStyle w:val="Hyperlink.0"/>
          <w:rtl w:val="0"/>
          <w:lang w:val="en-US"/>
        </w:rPr>
        <w:t>Correctness: identical keys, feature values and labels, including month/year boundaries and missing-slot cases.</w:t>
      </w:r>
    </w:p>
    <w:p>
      <w:pPr>
        <w:pStyle w:val="List Bullet"/>
        <w:numPr>
          <w:ilvl w:val="0"/>
          <w:numId w:val="2"/>
        </w:numPr>
        <w:rPr>
          <w:lang w:val="en-US"/>
        </w:rPr>
      </w:pPr>
      <w:r>
        <w:rPr>
          <w:rStyle w:val="Hyperlink.0"/>
          <w:rtl w:val="0"/>
          <w:lang w:val="en-US"/>
        </w:rPr>
        <w:t>Systems evidence: runtime, shuffle read/write, spill, task-duration distribution and executor utilisation.</w:t>
      </w:r>
    </w:p>
    <w:p>
      <w:pPr>
        <w:pStyle w:val="List Bullet"/>
        <w:numPr>
          <w:ilvl w:val="0"/>
          <w:numId w:val="2"/>
        </w:numPr>
        <w:rPr>
          <w:lang w:val="en-US"/>
        </w:rPr>
      </w:pPr>
      <w:r>
        <w:rPr>
          <w:rStyle w:val="Hyperlink.0"/>
          <w:rtl w:val="0"/>
          <w:lang w:val="en-US"/>
        </w:rPr>
        <w:t>Honest outcome: overlap may cost more than added parallelism; no speed-up is still a useful finding when explained.</w:t>
      </w:r>
    </w:p>
    <w:p>
      <w:pPr>
        <w:pStyle w:val="Heading"/>
      </w:pPr>
      <w:bookmarkStart w:name="toc_s8" w:id="8"/>
      <w:bookmarkEnd w:id="8"/>
      <w:r>
        <w:t>8. Limitations and conclusion</w:t>
      </w:r>
    </w:p>
    <w:p>
      <w:pPr>
        <w:pStyle w:val="Body"/>
        <w:spacing w:line="264" w:lineRule="auto"/>
      </w:pPr>
      <w:r>
        <w:rPr>
          <w:rStyle w:val="None"/>
          <w:rFonts w:ascii="Times New Roman" w:hAnsi="Times New Roman"/>
          <w:outline w:val="0"/>
          <w:color w:val="000000"/>
          <w:sz w:val="22"/>
          <w:szCs w:val="22"/>
          <w:u w:color="000000"/>
          <w:rtl w:val="0"/>
          <w:lang w:val="en-US"/>
          <w14:textFill>
            <w14:solidFill>
              <w14:srgbClr w14:val="000000"/>
            </w14:solidFill>
          </w14:textFill>
        </w:rPr>
        <w:t>The analysis is limited by changing station coverage, incomplete rule-level cleaning counts, a project-selected high-reading cutoff, sampled training, unresolved probability calibration and single-host compute experiments. Deep-model comparisons use smaller datasets and different feature representations. The saved model</w:t>
      </w:r>
      <w:r>
        <w:rPr>
          <w:rStyle w:val="None"/>
          <w:rFonts w:ascii="Times New Roman" w:hAnsi="Times New Roman"/>
          <w:outline w:val="0"/>
          <w:color w:val="000000"/>
          <w:sz w:val="22"/>
          <w:szCs w:val="22"/>
          <w:u w:color="000000"/>
          <w:rtl w:val="0"/>
          <w:lang w:val="en-US"/>
          <w14:textFill>
            <w14:solidFill>
              <w14:srgbClr w14:val="000000"/>
            </w14:solidFill>
          </w14:textFill>
        </w:rPr>
        <w:t>’</w:t>
      </w:r>
      <w:r>
        <w:rPr>
          <w:rStyle w:val="None"/>
          <w:rFonts w:ascii="Times New Roman" w:hAnsi="Times New Roman"/>
          <w:outline w:val="0"/>
          <w:color w:val="000000"/>
          <w:sz w:val="22"/>
          <w:szCs w:val="22"/>
          <w:u w:color="000000"/>
          <w:rtl w:val="0"/>
          <w:lang w:val="en-US"/>
          <w14:textFill>
            <w14:solidFill>
              <w14:srgbClr w14:val="000000"/>
            </w14:solidFill>
          </w14:textFill>
        </w:rPr>
        <w:t>s evaluator reports weighted rather than positive-class F1.</w:t>
      </w:r>
    </w:p>
    <w:p>
      <w:pPr>
        <w:pStyle w:val="Body"/>
        <w:spacing w:line="264" w:lineRule="auto"/>
      </w:pPr>
      <w:r>
        <w:t>Within those limits, the project demonstrates a coherent Spark workflow from large raw CSV files to reusable Parquet, distributed temporal processing, MLlib training and report-ready summaries. The weather record is marked by the wet 2021–2022 period, dry 2019, an afternoon wet-reading peak and clear spatial heterogeneity. GBT provides the strongest retained predictive result through its PR-AUC advantage over the logistic baseline at each tested threshold. On the shared laptop, the additional executor and container layers introduce enough overhead that they do not offset the smaller per-process resource allocation; this observation is specific to the tested host.</w:t>
      </w:r>
    </w:p>
    <w:p>
      <w:pPr>
        <w:pStyle w:val="Heading"/>
      </w:pPr>
      <w:bookmarkStart w:name="toc_s9" w:id="9"/>
      <w:bookmarkEnd w:id="9"/>
      <w:r>
        <w:t>9. AI usage declaration</w:t>
      </w:r>
    </w:p>
    <w:p>
      <w:pPr>
        <w:pStyle w:val="Body"/>
        <w:spacing w:line="264" w:lineRule="auto"/>
      </w:pPr>
      <w:r>
        <w:rPr>
          <w:rFonts w:ascii="Times New Roman" w:hAnsi="Times New Roman"/>
        </w:rPr>
        <w:t>OpenAI ChatGPT and Codex were used to support idea development, language editing, document formatting, analysis planning, and preparation of diagrams and illustrations. Responsibility for the submitted analysis, interpretation and quality remains with the project team.</w:t>
      </w:r>
    </w:p>
    <w:p>
      <w:pPr>
        <w:pStyle w:val="Heading"/>
      </w:pPr>
      <w:bookmarkStart w:name="toc_refs" w:id="10"/>
      <w:bookmarkEnd w:id="10"/>
      <w:r>
        <w:t>References</w:t>
      </w:r>
    </w:p>
    <w:p>
      <w:pPr>
        <w:pStyle w:val="Body"/>
        <w:spacing w:after="160" w:line="252" w:lineRule="auto"/>
      </w:pPr>
      <w:r>
        <w:rPr>
          <w:rStyle w:val="None"/>
          <w:rFonts w:ascii="Times New Roman" w:hAnsi="Times New Roman"/>
          <w:outline w:val="0"/>
          <w:color w:val="000000"/>
          <w:sz w:val="19"/>
          <w:szCs w:val="19"/>
          <w:u w:color="000000"/>
          <w:rtl w:val="0"/>
          <w:lang w:val="en-US"/>
          <w14:textFill>
            <w14:solidFill>
              <w14:srgbClr w14:val="000000"/>
            </w14:solidFill>
          </w14:textFill>
        </w:rPr>
        <w:t>[1] National Environment Agency. Historical Rainfall across Singapore datasets, 2017</w:t>
      </w:r>
      <w:r>
        <w:rPr>
          <w:rStyle w:val="None"/>
          <w:rFonts w:ascii="Times New Roman" w:hAnsi="Times New Roman"/>
          <w:outline w:val="0"/>
          <w:color w:val="000000"/>
          <w:sz w:val="19"/>
          <w:szCs w:val="19"/>
          <w:u w:color="000000"/>
          <w:rtl w:val="0"/>
          <w:lang w:val="en-US"/>
          <w14:textFill>
            <w14:solidFill>
              <w14:srgbClr w14:val="000000"/>
            </w14:solidFill>
          </w14:textFill>
        </w:rPr>
        <w:t>–</w:t>
      </w:r>
      <w:r>
        <w:rPr>
          <w:rStyle w:val="None"/>
          <w:rFonts w:ascii="Times New Roman" w:hAnsi="Times New Roman"/>
          <w:outline w:val="0"/>
          <w:color w:val="000000"/>
          <w:sz w:val="19"/>
          <w:szCs w:val="19"/>
          <w:u w:color="000000"/>
          <w:rtl w:val="0"/>
          <w14:textFill>
            <w14:solidFill>
              <w14:srgbClr w14:val="000000"/>
            </w14:solidFill>
          </w14:textFill>
        </w:rPr>
        <w:t xml:space="preserve">2024. data.gov.sg. </w:t>
      </w:r>
      <w:r>
        <w:rPr>
          <w:rStyle w:val="Hyperlink.1"/>
          <w:rFonts w:ascii="Times New Roman" w:hAnsi="Times New Roman"/>
        </w:rPr>
        <w:fldChar w:fldCharType="begin" w:fldLock="0"/>
      </w:r>
      <w:r>
        <w:rPr>
          <w:rStyle w:val="Hyperlink.1"/>
          <w:rFonts w:ascii="Times New Roman" w:hAnsi="Times New Roman"/>
        </w:rPr>
        <w:instrText xml:space="preserve"> HYPERLINK "https://data.gov.sg/collections/2279/view"</w:instrText>
      </w:r>
      <w:r>
        <w:rPr>
          <w:rStyle w:val="Hyperlink.1"/>
          <w:rFonts w:ascii="Times New Roman" w:hAnsi="Times New Roman"/>
        </w:rPr>
        <w:fldChar w:fldCharType="separate" w:fldLock="0"/>
      </w:r>
      <w:r>
        <w:rPr>
          <w:rStyle w:val="Hyperlink.1"/>
          <w:rFonts w:ascii="Times New Roman" w:hAnsi="Times New Roman"/>
          <w:rtl w:val="0"/>
          <w:lang w:val="en-US"/>
        </w:rPr>
        <w:t>Source link</w:t>
      </w:r>
      <w:r>
        <w:rPr>
          <w:rFonts w:ascii="Times New Roman" w:hAnsi="Times New Roman"/>
        </w:rPr>
        <w:fldChar w:fldCharType="end" w:fldLock="0"/>
      </w:r>
    </w:p>
    <w:p>
      <w:pPr>
        <w:pStyle w:val="Body"/>
        <w:spacing w:after="160" w:line="252" w:lineRule="auto"/>
      </w:pPr>
      <w:r>
        <w:rPr>
          <w:rStyle w:val="None"/>
          <w:rFonts w:ascii="Times New Roman" w:hAnsi="Times New Roman"/>
          <w:outline w:val="0"/>
          <w:color w:val="000000"/>
          <w:sz w:val="19"/>
          <w:szCs w:val="19"/>
          <w:u w:color="000000"/>
          <w:rtl w:val="0"/>
          <w:lang w:val="en-US"/>
          <w14:textFill>
            <w14:solidFill>
              <w14:srgbClr w14:val="000000"/>
            </w14:solidFill>
          </w14:textFill>
        </w:rPr>
        <w:t xml:space="preserve">[2] Meteorological Service Singapore. Climate of Singapore. </w:t>
      </w:r>
      <w:r>
        <w:rPr>
          <w:rStyle w:val="Hyperlink.1"/>
          <w:rFonts w:ascii="Times New Roman" w:hAnsi="Times New Roman"/>
        </w:rPr>
        <w:fldChar w:fldCharType="begin" w:fldLock="0"/>
      </w:r>
      <w:r>
        <w:rPr>
          <w:rStyle w:val="Hyperlink.1"/>
          <w:rFonts w:ascii="Times New Roman" w:hAnsi="Times New Roman"/>
        </w:rPr>
        <w:instrText xml:space="preserve"> HYPERLINK "https://www.weather.gov.sg/climate-climate-of-singapore/"</w:instrText>
      </w:r>
      <w:r>
        <w:rPr>
          <w:rStyle w:val="Hyperlink.1"/>
          <w:rFonts w:ascii="Times New Roman" w:hAnsi="Times New Roman"/>
        </w:rPr>
        <w:fldChar w:fldCharType="separate" w:fldLock="0"/>
      </w:r>
      <w:r>
        <w:rPr>
          <w:rStyle w:val="Hyperlink.1"/>
          <w:rFonts w:ascii="Times New Roman" w:hAnsi="Times New Roman"/>
          <w:rtl w:val="0"/>
          <w:lang w:val="en-US"/>
        </w:rPr>
        <w:t>Source link</w:t>
      </w:r>
      <w:r>
        <w:rPr>
          <w:rFonts w:ascii="Times New Roman" w:hAnsi="Times New Roman"/>
        </w:rPr>
        <w:fldChar w:fldCharType="end" w:fldLock="0"/>
      </w:r>
    </w:p>
    <w:p>
      <w:pPr>
        <w:pStyle w:val="Body"/>
        <w:spacing w:after="160" w:line="252" w:lineRule="auto"/>
      </w:pPr>
      <w:r>
        <w:rPr>
          <w:rStyle w:val="None"/>
          <w:rFonts w:ascii="Times New Roman" w:hAnsi="Times New Roman"/>
          <w:outline w:val="0"/>
          <w:color w:val="000000"/>
          <w:sz w:val="19"/>
          <w:szCs w:val="19"/>
          <w:u w:color="000000"/>
          <w:rtl w:val="0"/>
          <w:lang w:val="en-US"/>
          <w14:textFill>
            <w14:solidFill>
              <w14:srgbClr w14:val="000000"/>
            </w14:solidFill>
          </w14:textFill>
        </w:rPr>
        <w:t xml:space="preserve">[3] Apache Spark. MLlib classification and regression documentation, Spark 3.5.3. </w:t>
      </w:r>
      <w:r>
        <w:rPr>
          <w:rStyle w:val="Hyperlink.1"/>
          <w:rFonts w:ascii="Times New Roman" w:hAnsi="Times New Roman"/>
        </w:rPr>
        <w:fldChar w:fldCharType="begin" w:fldLock="0"/>
      </w:r>
      <w:r>
        <w:rPr>
          <w:rStyle w:val="Hyperlink.1"/>
          <w:rFonts w:ascii="Times New Roman" w:hAnsi="Times New Roman"/>
        </w:rPr>
        <w:instrText xml:space="preserve"> HYPERLINK "https://spark.apache.org/docs/3.5.3/ml-classification-regression.html"</w:instrText>
      </w:r>
      <w:r>
        <w:rPr>
          <w:rStyle w:val="Hyperlink.1"/>
          <w:rFonts w:ascii="Times New Roman" w:hAnsi="Times New Roman"/>
        </w:rPr>
        <w:fldChar w:fldCharType="separate" w:fldLock="0"/>
      </w:r>
      <w:r>
        <w:rPr>
          <w:rStyle w:val="Hyperlink.1"/>
          <w:rFonts w:ascii="Times New Roman" w:hAnsi="Times New Roman"/>
          <w:rtl w:val="0"/>
          <w:lang w:val="en-US"/>
        </w:rPr>
        <w:t>Source link</w:t>
      </w:r>
      <w:r>
        <w:rPr>
          <w:rFonts w:ascii="Times New Roman" w:hAnsi="Times New Roman"/>
        </w:rPr>
        <w:fldChar w:fldCharType="end" w:fldLock="0"/>
      </w:r>
    </w:p>
    <w:p>
      <w:pPr>
        <w:pStyle w:val="Body"/>
        <w:spacing w:after="160" w:line="252" w:lineRule="auto"/>
      </w:pPr>
      <w:r>
        <w:rPr>
          <w:rStyle w:val="None"/>
          <w:rFonts w:ascii="Times New Roman" w:hAnsi="Times New Roman"/>
          <w:outline w:val="0"/>
          <w:color w:val="000000"/>
          <w:sz w:val="19"/>
          <w:szCs w:val="19"/>
          <w:u w:color="000000"/>
          <w:rtl w:val="0"/>
          <w:lang w:val="en-US"/>
          <w14:textFill>
            <w14:solidFill>
              <w14:srgbClr w14:val="000000"/>
            </w14:solidFill>
          </w14:textFill>
        </w:rPr>
        <w:t xml:space="preserve">[4] Apache Spark. BinaryClassificationMetrics API, Spark 3.5.3. </w:t>
      </w:r>
      <w:r>
        <w:rPr>
          <w:rStyle w:val="Hyperlink.1"/>
          <w:rFonts w:ascii="Times New Roman" w:hAnsi="Times New Roman"/>
        </w:rPr>
        <w:fldChar w:fldCharType="begin" w:fldLock="0"/>
      </w:r>
      <w:r>
        <w:rPr>
          <w:rStyle w:val="Hyperlink.1"/>
          <w:rFonts w:ascii="Times New Roman" w:hAnsi="Times New Roman"/>
        </w:rPr>
        <w:instrText xml:space="preserve"> HYPERLINK "https://spark.apache.org/docs/3.5.3/api/java/org/apache/spark/mllib/evaluation/BinaryClassificationMetrics.html"</w:instrText>
      </w:r>
      <w:r>
        <w:rPr>
          <w:rStyle w:val="Hyperlink.1"/>
          <w:rFonts w:ascii="Times New Roman" w:hAnsi="Times New Roman"/>
        </w:rPr>
        <w:fldChar w:fldCharType="separate" w:fldLock="0"/>
      </w:r>
      <w:r>
        <w:rPr>
          <w:rStyle w:val="Hyperlink.1"/>
          <w:rFonts w:ascii="Times New Roman" w:hAnsi="Times New Roman"/>
          <w:rtl w:val="0"/>
          <w:lang w:val="en-US"/>
        </w:rPr>
        <w:t>Source link</w:t>
      </w:r>
      <w:r>
        <w:rPr>
          <w:rFonts w:ascii="Times New Roman" w:hAnsi="Times New Roman"/>
        </w:rPr>
        <w:fldChar w:fldCharType="end" w:fldLock="0"/>
      </w:r>
    </w:p>
    <w:p>
      <w:pPr>
        <w:pStyle w:val="Body"/>
        <w:spacing w:after="160" w:line="252" w:lineRule="auto"/>
      </w:pPr>
      <w:r>
        <w:rPr>
          <w:rStyle w:val="None"/>
          <w:rFonts w:ascii="Times New Roman" w:hAnsi="Times New Roman"/>
          <w:outline w:val="0"/>
          <w:color w:val="000000"/>
          <w:sz w:val="19"/>
          <w:szCs w:val="19"/>
          <w:u w:color="000000"/>
          <w:rtl w:val="0"/>
          <w:lang w:val="en-US"/>
          <w14:textFill>
            <w14:solidFill>
              <w14:srgbClr w14:val="000000"/>
            </w14:solidFill>
          </w14:textFill>
        </w:rPr>
        <w:t xml:space="preserve">[5] Apache Spark. Monitoring and instrumentation, Spark 3.5 series. </w:t>
      </w:r>
      <w:r>
        <w:rPr>
          <w:rStyle w:val="Hyperlink.1"/>
          <w:rFonts w:ascii="Times New Roman" w:hAnsi="Times New Roman"/>
        </w:rPr>
        <w:fldChar w:fldCharType="begin" w:fldLock="0"/>
      </w:r>
      <w:r>
        <w:rPr>
          <w:rStyle w:val="Hyperlink.1"/>
          <w:rFonts w:ascii="Times New Roman" w:hAnsi="Times New Roman"/>
        </w:rPr>
        <w:instrText xml:space="preserve"> HYPERLINK "https://spark.apache.org/docs/3.5.6/monitoring.html"</w:instrText>
      </w:r>
      <w:r>
        <w:rPr>
          <w:rStyle w:val="Hyperlink.1"/>
          <w:rFonts w:ascii="Times New Roman" w:hAnsi="Times New Roman"/>
        </w:rPr>
        <w:fldChar w:fldCharType="separate" w:fldLock="0"/>
      </w:r>
      <w:r>
        <w:rPr>
          <w:rStyle w:val="Hyperlink.1"/>
          <w:rFonts w:ascii="Times New Roman" w:hAnsi="Times New Roman"/>
          <w:rtl w:val="0"/>
          <w:lang w:val="en-US"/>
        </w:rPr>
        <w:t>Source link</w:t>
      </w:r>
      <w:r>
        <w:rPr>
          <w:rFonts w:ascii="Times New Roman" w:hAnsi="Times New Roman"/>
        </w:rPr>
        <w:fldChar w:fldCharType="end" w:fldLock="0"/>
      </w:r>
    </w:p>
    <w:p>
      <w:pPr>
        <w:pStyle w:val="Body"/>
        <w:spacing w:after="160" w:line="252" w:lineRule="auto"/>
      </w:pPr>
      <w:r>
        <w:rPr>
          <w:rStyle w:val="None"/>
          <w:rFonts w:ascii="Times New Roman" w:hAnsi="Times New Roman"/>
          <w:outline w:val="0"/>
          <w:color w:val="000000"/>
          <w:sz w:val="19"/>
          <w:szCs w:val="19"/>
          <w:u w:color="000000"/>
          <w:rtl w:val="0"/>
          <w:lang w:val="en-US"/>
          <w14:textFill>
            <w14:solidFill>
              <w14:srgbClr w14:val="000000"/>
            </w14:solidFill>
          </w14:textFill>
        </w:rPr>
        <w:t xml:space="preserve">[6] Apache Spark. SQL performance tuning and Adaptive Query Execution, Spark 3.5 series. </w:t>
      </w:r>
      <w:r>
        <w:rPr>
          <w:rStyle w:val="Hyperlink.1"/>
          <w:rFonts w:ascii="Times New Roman" w:hAnsi="Times New Roman"/>
        </w:rPr>
        <w:fldChar w:fldCharType="begin" w:fldLock="0"/>
      </w:r>
      <w:r>
        <w:rPr>
          <w:rStyle w:val="Hyperlink.1"/>
          <w:rFonts w:ascii="Times New Roman" w:hAnsi="Times New Roman"/>
        </w:rPr>
        <w:instrText xml:space="preserve"> HYPERLINK "https://spark.apache.org/docs/3.5.6/sql-performance-tuning.html"</w:instrText>
      </w:r>
      <w:r>
        <w:rPr>
          <w:rStyle w:val="Hyperlink.1"/>
          <w:rFonts w:ascii="Times New Roman" w:hAnsi="Times New Roman"/>
        </w:rPr>
        <w:fldChar w:fldCharType="separate" w:fldLock="0"/>
      </w:r>
      <w:r>
        <w:rPr>
          <w:rStyle w:val="Hyperlink.1"/>
          <w:rFonts w:ascii="Times New Roman" w:hAnsi="Times New Roman"/>
          <w:rtl w:val="0"/>
          <w:lang w:val="en-US"/>
        </w:rPr>
        <w:t>Source link</w:t>
      </w:r>
      <w:r>
        <w:rPr>
          <w:rFonts w:ascii="Times New Roman" w:hAnsi="Times New Roman"/>
        </w:rPr>
        <w:fldChar w:fldCharType="end" w:fldLock="0"/>
      </w:r>
    </w:p>
    <w:p>
      <w:pPr>
        <w:pStyle w:val="Body"/>
      </w:pPr>
      <w:r>
        <w:rPr>
          <w:rFonts w:ascii="Times New Roman" w:hAnsi="Times New Roman"/>
        </w:rPr>
        <w:t>[7] AI assistance statement. OpenAI ChatGPT and Codex were used to support idea development, language editing, document formatting, analysis planning, and preparation of diagrams and illustrations. Responsibility for the submitted analysis, interpretation and quality remains with the project team.</w:t>
      </w:r>
    </w:p>
    <w:p>
      <w:pPr>
        <w:pStyle w:val="Body"/>
        <w:spacing w:after="0"/>
      </w:pPr>
      <w:r>
        <w:rPr>
          <w:rStyle w:val="Hyperlink.0"/>
          <w:rFonts w:ascii="Arial Unicode MS" w:cs="Arial Unicode MS" w:hAnsi="Arial Unicode MS" w:eastAsia="Arial Unicode MS"/>
          <w:b w:val="0"/>
          <w:bCs w:val="0"/>
          <w:i w:val="0"/>
          <w:iCs w:val="0"/>
        </w:rPr>
        <w:br w:type="page"/>
      </w:r>
    </w:p>
    <w:p>
      <w:pPr>
        <w:pStyle w:val="Body"/>
      </w:pPr>
    </w:p>
    <w:p>
      <w:pPr>
        <w:pStyle w:val="Heading"/>
      </w:pPr>
      <w:bookmarkStart w:name="toc_app_a" w:id="11"/>
      <w:bookmarkEnd w:id="11"/>
      <w:r>
        <w:t>Appendix A. Distributed systems architecture</w:t>
      </w:r>
    </w:p>
    <w:p>
      <w:pPr>
        <w:pStyle w:val="Body"/>
      </w:pPr>
      <w:r>
        <w:rPr>
          <w:rStyle w:val="Hyperlink.0"/>
          <w:rFonts w:ascii="Times New Roman" w:hAnsi="Times New Roman"/>
          <w:rtl w:val="0"/>
          <w:lang w:val="en-US"/>
        </w:rPr>
        <w:t>This appendix makes the execution boundaries explicit. Solid arrows show primary data or task flow; dashed arrows show scheduling, shuffle, fitting or instrumentation. The Standalone and Docker layouts remain within one physical laptop and therefore demonstrate process-level distribution rather than multi-machine scale-out.</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38" name="officeArt object" descr="Figure A2. Distributed data-engineering path, including partitioning, shuffle boundaries and feature materialisation."/>
            <wp:cNvGraphicFramePr/>
            <a:graphic xmlns:a="http://schemas.openxmlformats.org/drawingml/2006/main">
              <a:graphicData uri="http://schemas.openxmlformats.org/drawingml/2006/picture">
                <pic:pic xmlns:pic="http://schemas.openxmlformats.org/drawingml/2006/picture">
                  <pic:nvPicPr>
                    <pic:cNvPr id="1073741838" name="Figure A2. Distributed data-engineering path, including partitioning, shuffle boundaries and feature materialisation." descr="Figure A2. Distributed data-engineering path, including partitioning, shuffle boundaries and feature materialisation."/>
                    <pic:cNvPicPr>
                      <a:picLocks noChangeAspect="1"/>
                    </pic:cNvPicPr>
                  </pic:nvPicPr>
                  <pic:blipFill>
                    <a:blip r:embed="rId17">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A2. Distributed data-engineering path, including partitioning, shuffle boundaries and feature materialisation.</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39" name="officeArt object" descr="Figure A3. Local Spark uses executor threads inside the driver JVM and shares one host resource pool."/>
            <wp:cNvGraphicFramePr/>
            <a:graphic xmlns:a="http://schemas.openxmlformats.org/drawingml/2006/main">
              <a:graphicData uri="http://schemas.openxmlformats.org/drawingml/2006/picture">
                <pic:pic xmlns:pic="http://schemas.openxmlformats.org/drawingml/2006/picture">
                  <pic:nvPicPr>
                    <pic:cNvPr id="1073741839" name="Figure A3. Local Spark uses executor threads inside the driver JVM and shares one host resource pool." descr="Figure A3. Local Spark uses executor threads inside the driver JVM and shares one host resource pool."/>
                    <pic:cNvPicPr>
                      <a:picLocks noChangeAspect="1"/>
                    </pic:cNvPicPr>
                  </pic:nvPicPr>
                  <pic:blipFill>
                    <a:blip r:embed="rId18">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A3. Local Spark uses executor threads inside the driver JVM and shares one host resource pool.</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0" name="officeArt object" descr="Figure A4. Spark Standalone separates the master, driver and executor JVMs while retaining a shared physical-host boundary."/>
            <wp:cNvGraphicFramePr/>
            <a:graphic xmlns:a="http://schemas.openxmlformats.org/drawingml/2006/main">
              <a:graphicData uri="http://schemas.openxmlformats.org/drawingml/2006/picture">
                <pic:pic xmlns:pic="http://schemas.openxmlformats.org/drawingml/2006/picture">
                  <pic:nvPicPr>
                    <pic:cNvPr id="1073741840" name="Figure A4. Spark Standalone separates the master, driver and executor JVMs while retaining a shared physical-host boundary." descr="Figure A4. Spark Standalone separates the master, driver and executor JVMs while retaining a shared physical-host boundary."/>
                    <pic:cNvPicPr>
                      <a:picLocks noChangeAspect="1"/>
                    </pic:cNvPicPr>
                  </pic:nvPicPr>
                  <pic:blipFill>
                    <a:blip r:embed="rId19">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A4. Spark Standalone separates the master, driver and executor JVMs while retaining a shared physical-host boundary.</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1" name="officeArt object" descr="Figure A5. Docker Spark isolates the master and workers as containers connected by a bridge network and shared bind mount."/>
            <wp:cNvGraphicFramePr/>
            <a:graphic xmlns:a="http://schemas.openxmlformats.org/drawingml/2006/main">
              <a:graphicData uri="http://schemas.openxmlformats.org/drawingml/2006/picture">
                <pic:pic xmlns:pic="http://schemas.openxmlformats.org/drawingml/2006/picture">
                  <pic:nvPicPr>
                    <pic:cNvPr id="1073741841" name="Figure A5. Docker Spark isolates the master and workers as containers connected by a bridge network and shared bind mount." descr="Figure A5. Docker Spark isolates the master and workers as containers connected by a bridge network and shared bind mount."/>
                    <pic:cNvPicPr>
                      <a:picLocks noChangeAspect="1"/>
                    </pic:cNvPicPr>
                  </pic:nvPicPr>
                  <pic:blipFill>
                    <a:blip r:embed="rId20">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A5. Docker Spark isolates the master and workers as containers connected by a bridge network and shared bind mount.</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2" name="officeArt object" descr="Figure A6. Common MLlib transformation, fitting and evaluation path used by the six Spark classifiers."/>
            <wp:cNvGraphicFramePr/>
            <a:graphic xmlns:a="http://schemas.openxmlformats.org/drawingml/2006/main">
              <a:graphicData uri="http://schemas.openxmlformats.org/drawingml/2006/picture">
                <pic:pic xmlns:pic="http://schemas.openxmlformats.org/drawingml/2006/picture">
                  <pic:nvPicPr>
                    <pic:cNvPr id="1073741842" name="Figure A6. Common MLlib transformation, fitting and evaluation path used by the six Spark classifiers." descr="Figure A6. Common MLlib transformation, fitting and evaluation path used by the six Spark classifiers."/>
                    <pic:cNvPicPr>
                      <a:picLocks noChangeAspect="1"/>
                    </pic:cNvPicPr>
                  </pic:nvPicPr>
                  <pic:blipFill>
                    <a:blip r:embed="rId21">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A6. Common MLlib transformation, fitting and evaluation path used by the six Spark classifiers.</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3" name="officeArt object" descr="Figure A7. Proposed matched-resource protocol for comparing local, Standalone and Docker execution."/>
            <wp:cNvGraphicFramePr/>
            <a:graphic xmlns:a="http://schemas.openxmlformats.org/drawingml/2006/main">
              <a:graphicData uri="http://schemas.openxmlformats.org/drawingml/2006/picture">
                <pic:pic xmlns:pic="http://schemas.openxmlformats.org/drawingml/2006/picture">
                  <pic:nvPicPr>
                    <pic:cNvPr id="1073741843" name="Figure A7. Proposed matched-resource protocol for comparing local, Standalone and Docker execution." descr="Figure A7. Proposed matched-resource protocol for comparing local, Standalone and Docker execution."/>
                    <pic:cNvPicPr>
                      <a:picLocks noChangeAspect="1"/>
                    </pic:cNvPicPr>
                  </pic:nvPicPr>
                  <pic:blipFill>
                    <a:blip r:embed="rId22">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A7. Proposed matched-resource protocol for comparing local, Standalone and Docker execution.</w:t>
      </w:r>
    </w:p>
    <w:p>
      <w:pPr>
        <w:pStyle w:val="Body"/>
        <w:spacing w:after="0"/>
      </w:pPr>
      <w:r>
        <w:rPr>
          <w:rStyle w:val="Hyperlink.0"/>
          <w:rFonts w:ascii="Arial Unicode MS" w:cs="Arial Unicode MS" w:hAnsi="Arial Unicode MS" w:eastAsia="Arial Unicode MS"/>
          <w:b w:val="0"/>
          <w:bCs w:val="0"/>
          <w:i w:val="0"/>
          <w:iCs w:val="0"/>
        </w:rPr>
        <w:br w:type="page"/>
      </w:r>
    </w:p>
    <w:p>
      <w:pPr>
        <w:pStyle w:val="Heading"/>
      </w:pPr>
      <w:bookmarkStart w:name="toc_app_b" w:id="12"/>
      <w:bookmarkEnd w:id="12"/>
      <w:r>
        <w:t>Appendix B. Model architecture atlas</w:t>
      </w:r>
    </w:p>
    <w:p>
      <w:pPr>
        <w:pStyle w:val="Body"/>
      </w:pPr>
      <w:r>
        <w:rPr>
          <w:rStyle w:val="Hyperlink.0"/>
          <w:rFonts w:ascii="Times New Roman" w:hAnsi="Times New Roman"/>
          <w:rtl w:val="0"/>
          <w:lang w:val="en-US"/>
        </w:rPr>
        <w:t>Each evaluated model is shown separately because its computational assumptions differ. These figures document the implemented structure and experimental role; they do not substitute for the common evaluation tables in Section 6.</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4" name="officeArt object" descr="Figure M1. Gradient-Boosted Trees: sequential residual fitting and additive probability score."/>
            <wp:cNvGraphicFramePr/>
            <a:graphic xmlns:a="http://schemas.openxmlformats.org/drawingml/2006/main">
              <a:graphicData uri="http://schemas.openxmlformats.org/drawingml/2006/picture">
                <pic:pic xmlns:pic="http://schemas.openxmlformats.org/drawingml/2006/picture">
                  <pic:nvPicPr>
                    <pic:cNvPr id="1073741844" name="Figure M1. Gradient-Boosted Trees: sequential residual fitting and additive probability score." descr="Figure M1. Gradient-Boosted Trees: sequential residual fitting and additive probability score."/>
                    <pic:cNvPicPr>
                      <a:picLocks noChangeAspect="1"/>
                    </pic:cNvPicPr>
                  </pic:nvPicPr>
                  <pic:blipFill>
                    <a:blip r:embed="rId23">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M1. Gradient-Boosted Trees: sequential residual fitting and additive probability score.</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5" name="officeArt object" descr="Figure M2. Random Forest: independent bagged trees followed by vote or probability averaging."/>
            <wp:cNvGraphicFramePr/>
            <a:graphic xmlns:a="http://schemas.openxmlformats.org/drawingml/2006/main">
              <a:graphicData uri="http://schemas.openxmlformats.org/drawingml/2006/picture">
                <pic:pic xmlns:pic="http://schemas.openxmlformats.org/drawingml/2006/picture">
                  <pic:nvPicPr>
                    <pic:cNvPr id="1073741845" name="Figure M2. Random Forest: independent bagged trees followed by vote or probability averaging." descr="Figure M2. Random Forest: independent bagged trees followed by vote or probability averaging."/>
                    <pic:cNvPicPr>
                      <a:picLocks noChangeAspect="1"/>
                    </pic:cNvPicPr>
                  </pic:nvPicPr>
                  <pic:blipFill>
                    <a:blip r:embed="rId24">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M2. Random Forest: independent bagged trees followed by vote or probability averaging.</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6" name="officeArt object" descr="Figure M3. Logistic regression: scaled linear score with L2 regularisation and sigmoid probability."/>
            <wp:cNvGraphicFramePr/>
            <a:graphic xmlns:a="http://schemas.openxmlformats.org/drawingml/2006/main">
              <a:graphicData uri="http://schemas.openxmlformats.org/drawingml/2006/picture">
                <pic:pic xmlns:pic="http://schemas.openxmlformats.org/drawingml/2006/picture">
                  <pic:nvPicPr>
                    <pic:cNvPr id="1073741846" name="Figure M3. Logistic regression: scaled linear score with L2 regularisation and sigmoid probability." descr="Figure M3. Logistic regression: scaled linear score with L2 regularisation and sigmoid probability."/>
                    <pic:cNvPicPr>
                      <a:picLocks noChangeAspect="1"/>
                    </pic:cNvPicPr>
                  </pic:nvPicPr>
                  <pic:blipFill>
                    <a:blip r:embed="rId25">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M3. Logistic regression: scaled linear score with L2 regularisation and sigmoid probability.</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7" name="officeArt object" descr="Figure M4. Linear SVC: scaled maximum-margin classifier that yields a ranking margin rather than a native probability."/>
            <wp:cNvGraphicFramePr/>
            <a:graphic xmlns:a="http://schemas.openxmlformats.org/drawingml/2006/main">
              <a:graphicData uri="http://schemas.openxmlformats.org/drawingml/2006/picture">
                <pic:pic xmlns:pic="http://schemas.openxmlformats.org/drawingml/2006/picture">
                  <pic:nvPicPr>
                    <pic:cNvPr id="1073741847" name="Figure M4. Linear SVC: scaled maximum-margin classifier that yields a ranking margin rather than a native probability." descr="Figure M4. Linear SVC: scaled maximum-margin classifier that yields a ranking margin rather than a native probability."/>
                    <pic:cNvPicPr>
                      <a:picLocks noChangeAspect="1"/>
                    </pic:cNvPicPr>
                  </pic:nvPicPr>
                  <pic:blipFill>
                    <a:blip r:embed="rId26">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M4. Linear SVC: scaled maximum-margin classifier that yields a ranking margin rather than a native probability.</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8" name="officeArt object" descr="Figure M5. Spark MLlib multilayer perceptron with 32- and 16-unit hidden layers."/>
            <wp:cNvGraphicFramePr/>
            <a:graphic xmlns:a="http://schemas.openxmlformats.org/drawingml/2006/main">
              <a:graphicData uri="http://schemas.openxmlformats.org/drawingml/2006/picture">
                <pic:pic xmlns:pic="http://schemas.openxmlformats.org/drawingml/2006/picture">
                  <pic:nvPicPr>
                    <pic:cNvPr id="1073741848" name="Figure M5. Spark MLlib multilayer perceptron with 32- and 16-unit hidden layers." descr="Figure M5. Spark MLlib multilayer perceptron with 32- and 16-unit hidden layers."/>
                    <pic:cNvPicPr>
                      <a:picLocks noChangeAspect="1"/>
                    </pic:cNvPicPr>
                  </pic:nvPicPr>
                  <pic:blipFill>
                    <a:blip r:embed="rId27">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M5. Spark MLlib multilayer perceptron with 32- and 16-unit hidden layers.</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49" name="officeArt object" descr="Figure M6. Factorization Machines combine linear effects with learned rank-8 pairwise interactions."/>
            <wp:cNvGraphicFramePr/>
            <a:graphic xmlns:a="http://schemas.openxmlformats.org/drawingml/2006/main">
              <a:graphicData uri="http://schemas.openxmlformats.org/drawingml/2006/picture">
                <pic:pic xmlns:pic="http://schemas.openxmlformats.org/drawingml/2006/picture">
                  <pic:nvPicPr>
                    <pic:cNvPr id="1073741849" name="Figure M6. Factorization Machines combine linear effects with learned rank-8 pairwise interactions." descr="Figure M6. Factorization Machines combine linear effects with learned rank-8 pairwise interactions."/>
                    <pic:cNvPicPr>
                      <a:picLocks noChangeAspect="1"/>
                    </pic:cNvPicPr>
                  </pic:nvPicPr>
                  <pic:blipFill>
                    <a:blip r:embed="rId28">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M6. Factorization Machines combine linear effects with learned rank-8 pairwise interactions.</w:t>
      </w:r>
    </w:p>
    <w:p>
      <w:pPr>
        <w:pStyle w:val="Body"/>
        <w:spacing w:after="0"/>
      </w:pPr>
      <w:r>
        <w:rPr>
          <w:rStyle w:val="Hyperlink.0"/>
          <w:rFonts w:ascii="Arial Unicode MS" w:cs="Arial Unicode MS" w:hAnsi="Arial Unicode MS" w:eastAsia="Arial Unicode MS"/>
          <w:b w:val="0"/>
          <w:bCs w:val="0"/>
          <w:i w:val="0"/>
          <w:iCs w:val="0"/>
        </w:rPr>
        <w:br w:type="page"/>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50" name="officeArt object" descr="Figure M7. LSTM sequence model with static-context fusion and a dense PyTorch classification head."/>
            <wp:cNvGraphicFramePr/>
            <a:graphic xmlns:a="http://schemas.openxmlformats.org/drawingml/2006/main">
              <a:graphicData uri="http://schemas.openxmlformats.org/drawingml/2006/picture">
                <pic:pic xmlns:pic="http://schemas.openxmlformats.org/drawingml/2006/picture">
                  <pic:nvPicPr>
                    <pic:cNvPr id="1073741850" name="Figure M7. LSTM sequence model with static-context fusion and a dense PyTorch classification head." descr="Figure M7. LSTM sequence model with static-context fusion and a dense PyTorch classification head."/>
                    <pic:cNvPicPr>
                      <a:picLocks noChangeAspect="1"/>
                    </pic:cNvPicPr>
                  </pic:nvPicPr>
                  <pic:blipFill>
                    <a:blip r:embed="rId29">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M7. LSTM sequence model with static-context fusion and a dense PyTorch classification head.</w:t>
      </w:r>
    </w:p>
    <w:p>
      <w:pPr>
        <w:pStyle w:val="Body"/>
        <w:keepNext w:val="1"/>
        <w:spacing w:after="0"/>
        <w:jc w:val="center"/>
      </w:pPr>
      <w:r>
        <w:rPr>
          <w:rStyle w:val="Hyperlink.0"/>
        </w:rPr>
        <w:drawing xmlns:a="http://schemas.openxmlformats.org/drawingml/2006/main">
          <wp:inline distT="0" distB="0" distL="0" distR="0">
            <wp:extent cx="5715000" cy="3172968"/>
            <wp:effectExtent l="0" t="0" r="0" b="0"/>
            <wp:docPr id="1073741851" name="officeArt object" descr="Figure M8. Temporal CNN with standard and dilated convolutions, global pooling and static-context fusion."/>
            <wp:cNvGraphicFramePr/>
            <a:graphic xmlns:a="http://schemas.openxmlformats.org/drawingml/2006/main">
              <a:graphicData uri="http://schemas.openxmlformats.org/drawingml/2006/picture">
                <pic:pic xmlns:pic="http://schemas.openxmlformats.org/drawingml/2006/picture">
                  <pic:nvPicPr>
                    <pic:cNvPr id="1073741851" name="Figure M8. Temporal CNN with standard and dilated convolutions, global pooling and static-context fusion." descr="Figure M8. Temporal CNN with standard and dilated convolutions, global pooling and static-context fusion."/>
                    <pic:cNvPicPr>
                      <a:picLocks noChangeAspect="1"/>
                    </pic:cNvPicPr>
                  </pic:nvPicPr>
                  <pic:blipFill>
                    <a:blip r:embed="rId30">
                      <a:extLst/>
                    </a:blip>
                    <a:stretch>
                      <a:fillRect/>
                    </a:stretch>
                  </pic:blipFill>
                  <pic:spPr>
                    <a:xfrm>
                      <a:off x="0" y="0"/>
                      <a:ext cx="5715000" cy="3172968"/>
                    </a:xfrm>
                    <a:prstGeom prst="rect">
                      <a:avLst/>
                    </a:prstGeom>
                    <a:ln w="12700" cap="flat">
                      <a:noFill/>
                      <a:miter lim="400000"/>
                    </a:ln>
                    <a:effectLst/>
                  </pic:spPr>
                </pic:pic>
              </a:graphicData>
            </a:graphic>
          </wp:inline>
        </w:drawing>
      </w:r>
    </w:p>
    <w:p>
      <w:pPr>
        <w:pStyle w:val="caption"/>
        <w:spacing w:before="60" w:after="160"/>
        <w:jc w:val="center"/>
      </w:pPr>
      <w:r>
        <w:rPr>
          <w:rStyle w:val="None"/>
          <w:rFonts w:ascii="Times New Roman" w:hAnsi="Times New Roman"/>
          <w:outline w:val="0"/>
          <w:color w:val="000000"/>
          <w:sz w:val="18"/>
          <w:szCs w:val="18"/>
          <w:u w:color="000000"/>
          <w:rtl w:val="0"/>
          <w:lang w:val="en-US"/>
          <w14:textFill>
            <w14:solidFill>
              <w14:srgbClr w14:val="000000"/>
            </w14:solidFill>
          </w14:textFill>
        </w:rPr>
        <w:t>Figure M8. Temporal CNN with standard and dilated convolutions, global pooling and static-context fusion.</w:t>
      </w:r>
    </w:p>
    <w:sectPr>
      <w:headerReference w:type="default" r:id="rId31"/>
      <w:headerReference w:type="first" r:id="rId32"/>
      <w:footerReference w:type="default" r:id="rId33"/>
      <w:footerReference w:type="first" r:id="rId34"/>
      <w:pgSz w:w="11900" w:h="16840" w:orient="portrait"/>
      <w:pgMar w:top="1037" w:right="1440" w:bottom="1325" w:left="1440" w:header="547" w:footer="547"/>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Bold">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9000"/>
        <w:tab w:val="clear" w:pos="9360"/>
      </w:tabs>
      <w:jc w:val="center"/>
    </w:pPr>
    <w:r>
      <w:rPr>
        <w:outline w:val="0"/>
        <w:color w:val="4a4a4a"/>
        <w:sz w:val="16"/>
        <w:szCs w:val="16"/>
        <w:u w:color="4a4a4a"/>
        <w:rtl w:val="0"/>
        <w:lang w:val="en-US"/>
        <w14:textFill>
          <w14:solidFill>
            <w14:srgbClr w14:val="4A4A4A"/>
          </w14:solidFill>
        </w14:textFill>
      </w:rPr>
      <w:t xml:space="preserve">Project report  </w:t>
    </w:r>
    <w:r>
      <w:rPr>
        <w:outline w:val="0"/>
        <w:color w:val="4a4a4a"/>
        <w:sz w:val="16"/>
        <w:szCs w:val="16"/>
        <w:u w:color="4a4a4a"/>
        <w:rtl w:val="0"/>
        <w:lang w:val="en-US"/>
        <w14:textFill>
          <w14:solidFill>
            <w14:srgbClr w14:val="4A4A4A"/>
          </w14:solidFill>
        </w14:textFill>
      </w:rPr>
      <w:t xml:space="preserve">•  </w:t>
    </w:r>
    <w:r>
      <w:rPr>
        <w:outline w:val="0"/>
        <w:color w:val="4a4a4a"/>
        <w:sz w:val="16"/>
        <w:szCs w:val="16"/>
        <w:u w:color="4a4a4a"/>
        <w14:textFill>
          <w14:solidFill>
            <w14:srgbClr w14:val="4A4A4A"/>
          </w14:solidFill>
        </w14:textFill>
      </w:rPr>
      <w:fldChar w:fldCharType="begin" w:fldLock="0"/>
    </w:r>
    <w:r>
      <w:rPr>
        <w:outline w:val="0"/>
        <w:color w:val="4a4a4a"/>
        <w:sz w:val="16"/>
        <w:szCs w:val="16"/>
        <w:u w:color="4a4a4a"/>
        <w14:textFill>
          <w14:solidFill>
            <w14:srgbClr w14:val="4A4A4A"/>
          </w14:solidFill>
        </w14:textFill>
      </w:rPr>
      <w:instrText xml:space="preserve"> PAGE </w:instrText>
    </w:r>
    <w:r>
      <w:rPr>
        <w:outline w:val="0"/>
        <w:color w:val="4a4a4a"/>
        <w:sz w:val="16"/>
        <w:szCs w:val="16"/>
        <w:u w:color="4a4a4a"/>
        <w14:textFill>
          <w14:solidFill>
            <w14:srgbClr w14:val="4A4A4A"/>
          </w14:solidFill>
        </w14:textFill>
      </w:rPr>
      <w:fldChar w:fldCharType="separate" w:fldLock="0"/>
    </w:r>
    <w:r>
      <w:rPr>
        <w:outline w:val="0"/>
        <w:color w:val="4a4a4a"/>
        <w:sz w:val="16"/>
        <w:szCs w:val="16"/>
        <w:u w:color="4a4a4a"/>
        <w14:textFill>
          <w14:solidFill>
            <w14:srgbClr w14:val="4A4A4A"/>
          </w14:solidFill>
        </w14:textFill>
      </w:rPr>
    </w:r>
    <w:r>
      <w:rPr>
        <w:outline w:val="0"/>
        <w:color w:val="4a4a4a"/>
        <w:sz w:val="16"/>
        <w:szCs w:val="16"/>
        <w:u w:color="4a4a4a"/>
        <w14:textFill>
          <w14:solidFill>
            <w14:srgbClr w14:val="4A4A4A"/>
          </w14:solidFill>
        </w14:textFill>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w:tabs>
        <w:tab w:val="right" w:pos="9000"/>
        <w:tab w:val="clear" w:pos="9360"/>
      </w:tabs>
    </w:pPr>
    <w:r>
      <w:rPr>
        <w:b w:val="1"/>
        <w:bCs w:val="1"/>
        <w:outline w:val="0"/>
        <w:color w:val="000000"/>
        <w:sz w:val="17"/>
        <w:szCs w:val="17"/>
        <w:u w:color="000000"/>
        <w:rtl w:val="0"/>
        <w:lang w:val="en-US"/>
        <w14:textFill>
          <w14:solidFill>
            <w14:srgbClr w14:val="000000"/>
          </w14:solidFill>
        </w14:textFill>
      </w:rPr>
      <w:t>SINGAPORE RAINFALL ANALYSIS AND PREDICTION  |  DSA5208</w:t>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w:name w:val="header"/>
    <w:next w:val="head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20" w:line="276"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de-D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320" w:after="160" w:line="276"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30"/>
      <w:szCs w:val="30"/>
      <w:u w:val="none" w:color="000000"/>
      <w:shd w:val="nil" w:color="auto" w:fill="auto"/>
      <w:vertAlign w:val="baseline"/>
      <w:lang w:val="en-US"/>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000000"/>
      <w:u w:color="000000"/>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240" w:after="120" w:line="276" w:lineRule="auto"/>
      <w:ind w:left="0"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5"/>
      <w:szCs w:val="25"/>
      <w:u w:val="none" w:color="000000"/>
      <w:shd w:val="nil" w:color="auto" w:fill="auto"/>
      <w:vertAlign w:val="baseline"/>
      <w:lang w:val="en-US"/>
      <w14:textOutline>
        <w14:noFill/>
      </w14:textOutline>
      <w14:textFill>
        <w14:solidFill>
          <w14:srgbClr w14:val="000000"/>
        </w14:solidFill>
      </w14:textFill>
    </w:r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80" w:line="264"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1"/>
      <w:szCs w:val="21"/>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caption">
    <w:name w:val="caption"/>
    <w:next w:val="Body"/>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Arial Unicode MS" w:hAnsi="Times New Roman" w:eastAsia="Arial Unicode MS"/>
      <w:b w:val="0"/>
      <w:bCs w:val="0"/>
      <w:i w:val="1"/>
      <w:iCs w:val="1"/>
      <w:caps w:val="0"/>
      <w:smallCaps w:val="0"/>
      <w:strike w:val="0"/>
      <w:dstrike w:val="0"/>
      <w:outline w:val="0"/>
      <w:color w:val="000000"/>
      <w:spacing w:val="0"/>
      <w:kern w:val="0"/>
      <w:position w:val="0"/>
      <w:sz w:val="19"/>
      <w:szCs w:val="19"/>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Hyperlink.1">
    <w:name w:val="Hyperlink.1"/>
    <w:basedOn w:val="None"/>
    <w:next w:val="Hyperlink.1"/>
    <w:rPr>
      <w:rFonts w:ascii="Times New Roman" w:cs="Times New Roman" w:hAnsi="Times New Roman" w:eastAsia="Times New Roman"/>
      <w:outline w:val="0"/>
      <w:color w:val="0563c1"/>
      <w:u w:val="single" w:color="0563c1"/>
      <w14:textFill>
        <w14:solidFill>
          <w14:srgbClr w14:val="0563C1"/>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numbering" Target="numbering.xml"/><Relationship Id="rId36" Type="http://schemas.openxmlformats.org/officeDocument/2006/relationships/theme" Target="theme/theme1.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457200" rtl="0" fontAlgn="auto" latinLnBrk="0" hangingPunct="0">
          <a:lnSpc>
            <a:spcPct val="100000"/>
          </a:lnSpc>
          <a:spcBef>
            <a:spcPts val="600"/>
          </a:spcBef>
          <a:spcAft>
            <a:spcPts val="0"/>
          </a:spcAft>
          <a:buClrTx/>
          <a:buSzTx/>
          <a:buFontTx/>
          <a:buNone/>
          <a:tabLst/>
          <a:defRPr b="0" baseline="0" cap="none" i="1" spc="0" strike="noStrike" sz="950" u="none" kumimoji="0" normalizeH="0">
            <a:ln>
              <a:noFill/>
            </a:ln>
            <a:solidFill>
              <a:srgbClr val="000000"/>
            </a:solidFill>
            <a:effectLst/>
            <a:uFill>
              <a:solidFill>
                <a:srgbClr val="000000"/>
              </a:solidFill>
            </a:uFill>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