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Daily Purchase &amp; Inventory Report — Field Mapping</w:t>
      </w:r>
    </w:p>
    <w:p>
      <w:pPr>
        <w:spacing w:after="260"/>
        <w:jc w:val="center"/>
      </w:pPr>
      <w:r>
        <w:rPr>
          <w:i/>
          <w:iCs/>
          <w:color w:val="595959"/>
          <w:sz w:val="19"/>
          <w:szCs w:val="19"/>
        </w:rPr>
        <w:t xml:space="preserve">Sudhamayi Enterprise Pvt. Ltd. — Pharmacy Purchase &amp; Inventory Automation</w:t>
      </w:r>
    </w:p>
    <w:p>
      <w:pPr>
        <w:pStyle w:val="Heading1"/>
        <w:pBdr>
          <w:bottom w:val="single" w:color="1F3864" w:sz="6" w:space="4"/>
        </w:pBdr>
        <w:spacing w:after="140" w:before="300"/>
      </w:pPr>
      <w:r>
        <w:rPr>
          <w:b/>
          <w:bCs/>
          <w:color w:val="1F3864"/>
          <w:sz w:val="28"/>
          <w:szCs w:val="28"/>
        </w:rPr>
        <w:t xml:space="preserve">Overview</w:t>
      </w:r>
    </w:p>
    <w:p>
      <w:pPr>
        <w:spacing w:after="110" w:line="280"/>
      </w:pPr>
      <w:r>
        <w:rPr>
          <w:sz w:val="21"/>
          <w:szCs w:val="21"/>
        </w:rPr>
        <w:t xml:space="preserve">Every day, three raw files are pulled automatically from the pharmacy system via Puppeteer: PRQ Details, PO Detail Report, and Purchase Report (GRN) Detail. This document shows exactly which column of each file feeds into which column of the Daily Report, and the rule used to calculate it — so it can be looked up directly without re-reading the whole workflow each time.</w:t>
      </w:r>
    </w:p>
    <w:p>
      <w:pPr>
        <w:pStyle w:val="Heading1"/>
        <w:pBdr>
          <w:bottom w:val="single" w:color="1F3864" w:sz="6" w:space="4"/>
        </w:pBdr>
        <w:spacing w:after="140" w:before="300"/>
      </w:pPr>
      <w:r>
        <w:rPr>
          <w:b/>
          <w:bCs/>
          <w:color w:val="1F3864"/>
          <w:sz w:val="28"/>
          <w:szCs w:val="28"/>
        </w:rPr>
        <w:t xml:space="preserve">Source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50"/>
      </w:tblGrid>
      <w:tr>
        <w:trPr>
          <w:tblHeader/>
        </w:trPr>
        <w:tc>
          <w:tcPr>
            <w:tcW w:type="dxa" w:w="4200"/>
            <w:shd w:fill="1F3864" w:val="clear"/>
            <w:tcMar>
              <w:top w:type="dxa" w:w="90"/>
              <w:left w:type="dxa" w:w="110"/>
              <w:bottom w:type="dxa" w:w="90"/>
              <w:right w:type="dxa" w:w="110"/>
            </w:tcMar>
          </w:tcPr>
          <w:p>
            <w:r>
              <w:rPr>
                <w:b/>
                <w:bCs/>
                <w:color w:val="FFFFFF"/>
                <w:sz w:val="19"/>
                <w:szCs w:val="19"/>
              </w:rPr>
              <w:t xml:space="preserve">File</w:t>
            </w:r>
          </w:p>
        </w:tc>
        <w:tc>
          <w:tcPr>
            <w:tcW w:type="dxa" w:w="1500"/>
            <w:shd w:fill="1F3864" w:val="clear"/>
            <w:tcMar>
              <w:top w:type="dxa" w:w="90"/>
              <w:left w:type="dxa" w:w="110"/>
              <w:bottom w:type="dxa" w:w="90"/>
              <w:right w:type="dxa" w:w="110"/>
            </w:tcMar>
          </w:tcPr>
          <w:p>
            <w:r>
              <w:rPr>
                <w:b/>
                <w:bCs/>
                <w:color w:val="FFFFFF"/>
                <w:sz w:val="19"/>
                <w:szCs w:val="19"/>
              </w:rPr>
              <w:t xml:space="preserve">Format</w:t>
            </w:r>
          </w:p>
        </w:tc>
        <w:tc>
          <w:tcPr>
            <w:tcW w:type="dxa" w:w="3650"/>
            <w:shd w:fill="1F3864" w:val="clear"/>
            <w:tcMar>
              <w:top w:type="dxa" w:w="90"/>
              <w:left w:type="dxa" w:w="110"/>
              <w:bottom w:type="dxa" w:w="90"/>
              <w:right w:type="dxa" w:w="110"/>
            </w:tcMar>
          </w:tcPr>
          <w:p>
            <w:r>
              <w:rPr>
                <w:b/>
                <w:bCs/>
                <w:color w:val="FFFFFF"/>
                <w:sz w:val="19"/>
                <w:szCs w:val="19"/>
              </w:rPr>
              <w:t xml:space="preserve">Feeds into</w:t>
            </w:r>
          </w:p>
        </w:tc>
      </w:tr>
      <w:tr>
        <w:tc>
          <w:tcPr>
            <w:tcW w:type="dxa" w:w="4200"/>
            <w:tcMar>
              <w:top w:type="dxa" w:w="90"/>
              <w:left w:type="dxa" w:w="110"/>
              <w:bottom w:type="dxa" w:w="90"/>
              <w:right w:type="dxa" w:w="110"/>
            </w:tcMar>
          </w:tcPr>
          <w:p>
            <w:r>
              <w:rPr>
                <w:b w:val="false"/>
                <w:bCs w:val="false"/>
                <w:color w:val="1A1A1A"/>
                <w:sz w:val="19"/>
                <w:szCs w:val="19"/>
              </w:rPr>
              <w:t xml:space="preserve">Pharmacy PRQ Details</w:t>
            </w:r>
          </w:p>
        </w:tc>
        <w:tc>
          <w:tcPr>
            <w:tcW w:type="dxa" w:w="1500"/>
            <w:tcMar>
              <w:top w:type="dxa" w:w="90"/>
              <w:left w:type="dxa" w:w="110"/>
              <w:bottom w:type="dxa" w:w="90"/>
              <w:right w:type="dxa" w:w="110"/>
            </w:tcMar>
          </w:tcPr>
          <w:p>
            <w:r>
              <w:rPr>
                <w:b w:val="false"/>
                <w:bCs w:val="false"/>
                <w:color w:val="1A1A1A"/>
                <w:sz w:val="19"/>
                <w:szCs w:val="19"/>
              </w:rPr>
              <w:t xml:space="preserve">CSV</w:t>
            </w:r>
          </w:p>
        </w:tc>
        <w:tc>
          <w:tcPr>
            <w:tcW w:type="dxa" w:w="3650"/>
            <w:tcMar>
              <w:top w:type="dxa" w:w="90"/>
              <w:left w:type="dxa" w:w="110"/>
              <w:bottom w:type="dxa" w:w="90"/>
              <w:right w:type="dxa" w:w="110"/>
            </w:tcMar>
          </w:tcPr>
          <w:p>
            <w:r>
              <w:rPr>
                <w:b w:val="false"/>
                <w:bCs w:val="false"/>
                <w:color w:val="1A1A1A"/>
                <w:sz w:val="19"/>
                <w:szCs w:val="19"/>
              </w:rPr>
              <w:t xml:space="preserve">Daily Report columns C, D</w:t>
            </w:r>
          </w:p>
        </w:tc>
      </w:tr>
      <w:tr>
        <w:tc>
          <w:tcPr>
            <w:tcW w:type="dxa" w:w="4200"/>
            <w:tcMar>
              <w:top w:type="dxa" w:w="90"/>
              <w:left w:type="dxa" w:w="110"/>
              <w:bottom w:type="dxa" w:w="90"/>
              <w:right w:type="dxa" w:w="110"/>
            </w:tcMar>
          </w:tcPr>
          <w:p>
            <w:r>
              <w:rPr>
                <w:b w:val="false"/>
                <w:bCs w:val="false"/>
                <w:color w:val="1A1A1A"/>
                <w:sz w:val="19"/>
                <w:szCs w:val="19"/>
              </w:rPr>
              <w:t xml:space="preserve">Purchase Order Detail Report - Pharmacy</w:t>
            </w:r>
          </w:p>
        </w:tc>
        <w:tc>
          <w:tcPr>
            <w:tcW w:type="dxa" w:w="1500"/>
            <w:tcMar>
              <w:top w:type="dxa" w:w="90"/>
              <w:left w:type="dxa" w:w="110"/>
              <w:bottom w:type="dxa" w:w="90"/>
              <w:right w:type="dxa" w:w="110"/>
            </w:tcMar>
          </w:tcPr>
          <w:p>
            <w:r>
              <w:rPr>
                <w:b w:val="false"/>
                <w:bCs w:val="false"/>
                <w:color w:val="1A1A1A"/>
                <w:sz w:val="19"/>
                <w:szCs w:val="19"/>
              </w:rPr>
              <w:t xml:space="preserve">XLSX</w:t>
            </w:r>
          </w:p>
        </w:tc>
        <w:tc>
          <w:tcPr>
            <w:tcW w:type="dxa" w:w="3650"/>
            <w:tcMar>
              <w:top w:type="dxa" w:w="90"/>
              <w:left w:type="dxa" w:w="110"/>
              <w:bottom w:type="dxa" w:w="90"/>
              <w:right w:type="dxa" w:w="110"/>
            </w:tcMar>
          </w:tcPr>
          <w:p>
            <w:r>
              <w:rPr>
                <w:b w:val="false"/>
                <w:bCs w:val="false"/>
                <w:color w:val="1A1A1A"/>
                <w:sz w:val="19"/>
                <w:szCs w:val="19"/>
              </w:rPr>
              <w:t xml:space="preserve">Daily Report columns E, F, G</w:t>
            </w:r>
          </w:p>
        </w:tc>
      </w:tr>
      <w:tr>
        <w:tc>
          <w:tcPr>
            <w:tcW w:type="dxa" w:w="4200"/>
            <w:tcMar>
              <w:top w:type="dxa" w:w="90"/>
              <w:left w:type="dxa" w:w="110"/>
              <w:bottom w:type="dxa" w:w="90"/>
              <w:right w:type="dxa" w:w="110"/>
            </w:tcMar>
          </w:tcPr>
          <w:p>
            <w:r>
              <w:rPr>
                <w:b w:val="false"/>
                <w:bCs w:val="false"/>
                <w:color w:val="1A1A1A"/>
                <w:sz w:val="19"/>
                <w:szCs w:val="19"/>
              </w:rPr>
              <w:t xml:space="preserve">Purchase Report Pharmacy Detail</w:t>
            </w:r>
          </w:p>
        </w:tc>
        <w:tc>
          <w:tcPr>
            <w:tcW w:type="dxa" w:w="1500"/>
            <w:tcMar>
              <w:top w:type="dxa" w:w="90"/>
              <w:left w:type="dxa" w:w="110"/>
              <w:bottom w:type="dxa" w:w="90"/>
              <w:right w:type="dxa" w:w="110"/>
            </w:tcMar>
          </w:tcPr>
          <w:p>
            <w:r>
              <w:rPr>
                <w:b w:val="false"/>
                <w:bCs w:val="false"/>
                <w:color w:val="1A1A1A"/>
                <w:sz w:val="19"/>
                <w:szCs w:val="19"/>
              </w:rPr>
              <w:t xml:space="preserve">CSV</w:t>
            </w:r>
          </w:p>
        </w:tc>
        <w:tc>
          <w:tcPr>
            <w:tcW w:type="dxa" w:w="3650"/>
            <w:tcMar>
              <w:top w:type="dxa" w:w="90"/>
              <w:left w:type="dxa" w:w="110"/>
              <w:bottom w:type="dxa" w:w="90"/>
              <w:right w:type="dxa" w:w="110"/>
            </w:tcMar>
          </w:tcPr>
          <w:p>
            <w:r>
              <w:rPr>
                <w:b w:val="false"/>
                <w:bCs w:val="false"/>
                <w:color w:val="1A1A1A"/>
                <w:sz w:val="19"/>
                <w:szCs w:val="19"/>
              </w:rPr>
              <w:t xml:space="preserve">Daily Report columns H, I, J</w:t>
            </w:r>
          </w:p>
        </w:tc>
      </w:tr>
      <w:tr>
        <w:tc>
          <w:tcPr>
            <w:tcW w:type="dxa" w:w="4200"/>
            <w:tcMar>
              <w:top w:type="dxa" w:w="90"/>
              <w:left w:type="dxa" w:w="110"/>
              <w:bottom w:type="dxa" w:w="90"/>
              <w:right w:type="dxa" w:w="110"/>
            </w:tcMar>
          </w:tcPr>
          <w:p>
            <w:r>
              <w:rPr>
                <w:b w:val="false"/>
                <w:bCs w:val="false"/>
                <w:color w:val="1A1A1A"/>
                <w:sz w:val="19"/>
                <w:szCs w:val="19"/>
              </w:rPr>
              <w:t xml:space="preserve">Daily Report for Coding</w:t>
            </w:r>
          </w:p>
        </w:tc>
        <w:tc>
          <w:tcPr>
            <w:tcW w:type="dxa" w:w="1500"/>
            <w:tcMar>
              <w:top w:type="dxa" w:w="90"/>
              <w:left w:type="dxa" w:w="110"/>
              <w:bottom w:type="dxa" w:w="90"/>
              <w:right w:type="dxa" w:w="110"/>
            </w:tcMar>
          </w:tcPr>
          <w:p>
            <w:r>
              <w:rPr>
                <w:b w:val="false"/>
                <w:bCs w:val="false"/>
                <w:color w:val="1A1A1A"/>
                <w:sz w:val="19"/>
                <w:szCs w:val="19"/>
              </w:rPr>
              <w:t xml:space="preserve">XLSX</w:t>
            </w:r>
          </w:p>
        </w:tc>
        <w:tc>
          <w:tcPr>
            <w:tcW w:type="dxa" w:w="3650"/>
            <w:tcMar>
              <w:top w:type="dxa" w:w="90"/>
              <w:left w:type="dxa" w:w="110"/>
              <w:bottom w:type="dxa" w:w="90"/>
              <w:right w:type="dxa" w:w="110"/>
            </w:tcMar>
          </w:tcPr>
          <w:p>
            <w:r>
              <w:rPr>
                <w:b w:val="false"/>
                <w:bCs w:val="false"/>
                <w:color w:val="1A1A1A"/>
                <w:sz w:val="19"/>
                <w:szCs w:val="19"/>
              </w:rPr>
              <w:t xml:space="preserve">Reference format for the output / master file</w:t>
            </w:r>
          </w:p>
        </w:tc>
      </w:tr>
    </w:tbl>
    <w:p>
      <w:pPr>
        <w:pStyle w:val="Heading1"/>
        <w:pBdr>
          <w:bottom w:val="single" w:color="1F3864" w:sz="6" w:space="4"/>
        </w:pBdr>
        <w:spacing w:after="140" w:before="300"/>
      </w:pPr>
      <w:r>
        <w:rPr>
          <w:b/>
          <w:bCs/>
          <w:color w:val="1F3864"/>
          <w:sz w:val="28"/>
          <w:szCs w:val="28"/>
        </w:rPr>
        <w:t xml:space="preserve">PRQ Section — Columns C, 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50"/>
        <w:gridCol w:w="4400"/>
      </w:tblGrid>
      <w:tr>
        <w:trPr>
          <w:tblHeader/>
        </w:trPr>
        <w:tc>
          <w:tcPr>
            <w:tcW w:type="dxa" w:w="2600"/>
            <w:shd w:fill="1F3864" w:val="clear"/>
            <w:tcMar>
              <w:top w:type="dxa" w:w="90"/>
              <w:left w:type="dxa" w:w="110"/>
              <w:bottom w:type="dxa" w:w="90"/>
              <w:right w:type="dxa" w:w="110"/>
            </w:tcMar>
          </w:tcPr>
          <w:p>
            <w:r>
              <w:rPr>
                <w:b/>
                <w:bCs/>
                <w:color w:val="FFFFFF"/>
                <w:sz w:val="19"/>
                <w:szCs w:val="19"/>
              </w:rPr>
              <w:t xml:space="preserve">Column</w:t>
            </w:r>
          </w:p>
        </w:tc>
        <w:tc>
          <w:tcPr>
            <w:tcW w:type="dxa" w:w="2350"/>
            <w:shd w:fill="1F3864" w:val="clear"/>
            <w:tcMar>
              <w:top w:type="dxa" w:w="90"/>
              <w:left w:type="dxa" w:w="110"/>
              <w:bottom w:type="dxa" w:w="90"/>
              <w:right w:type="dxa" w:w="110"/>
            </w:tcMar>
          </w:tcPr>
          <w:p>
            <w:r>
              <w:rPr>
                <w:b/>
                <w:bCs/>
                <w:color w:val="FFFFFF"/>
                <w:sz w:val="19"/>
                <w:szCs w:val="19"/>
              </w:rPr>
              <w:t xml:space="preserve">Source Column</w:t>
            </w:r>
          </w:p>
        </w:tc>
        <w:tc>
          <w:tcPr>
            <w:tcW w:type="dxa" w:w="4400"/>
            <w:shd w:fill="1F3864" w:val="clear"/>
            <w:tcMar>
              <w:top w:type="dxa" w:w="90"/>
              <w:left w:type="dxa" w:w="110"/>
              <w:bottom w:type="dxa" w:w="90"/>
              <w:right w:type="dxa" w:w="110"/>
            </w:tcMar>
          </w:tcPr>
          <w:p>
            <w:r>
              <w:rPr>
                <w:b/>
                <w:bCs/>
                <w:color w:val="FFFFFF"/>
                <w:sz w:val="19"/>
                <w:szCs w:val="19"/>
              </w:rPr>
              <w:t xml:space="preserve">Logic</w:t>
            </w:r>
          </w:p>
        </w:tc>
      </w:tr>
      <w:tr>
        <w:tc>
          <w:tcPr>
            <w:tcW w:type="dxa" w:w="2600"/>
            <w:tcMar>
              <w:top w:type="dxa" w:w="90"/>
              <w:left w:type="dxa" w:w="110"/>
              <w:bottom w:type="dxa" w:w="90"/>
              <w:right w:type="dxa" w:w="110"/>
            </w:tcMar>
          </w:tcPr>
          <w:p>
            <w:r>
              <w:rPr>
                <w:b w:val="false"/>
                <w:bCs w:val="false"/>
                <w:color w:val="1A1A1A"/>
                <w:sz w:val="19"/>
                <w:szCs w:val="19"/>
              </w:rPr>
              <w:t xml:space="preserve">C — Total no. of PRQ</w:t>
            </w:r>
          </w:p>
        </w:tc>
        <w:tc>
          <w:tcPr>
            <w:tcW w:type="dxa" w:w="2350"/>
            <w:tcMar>
              <w:top w:type="dxa" w:w="90"/>
              <w:left w:type="dxa" w:w="110"/>
              <w:bottom w:type="dxa" w:w="90"/>
              <w:right w:type="dxa" w:w="110"/>
            </w:tcMar>
          </w:tcPr>
          <w:p>
            <w:r>
              <w:rPr>
                <w:b w:val="false"/>
                <w:bCs w:val="false"/>
                <w:color w:val="1A1A1A"/>
                <w:sz w:val="19"/>
                <w:szCs w:val="19"/>
              </w:rPr>
              <w:t xml:space="preserve">PRQ No.</w:t>
            </w:r>
          </w:p>
        </w:tc>
        <w:tc>
          <w:tcPr>
            <w:tcW w:type="dxa" w:w="4400"/>
            <w:tcMar>
              <w:top w:type="dxa" w:w="90"/>
              <w:left w:type="dxa" w:w="110"/>
              <w:bottom w:type="dxa" w:w="90"/>
              <w:right w:type="dxa" w:w="110"/>
            </w:tcMar>
          </w:tcPr>
          <w:p>
            <w:r>
              <w:rPr>
                <w:b w:val="false"/>
                <w:bCs w:val="false"/>
                <w:color w:val="1A1A1A"/>
                <w:sz w:val="19"/>
                <w:szCs w:val="19"/>
              </w:rPr>
              <w:t xml:space="preserve">Count distinct PRQ numbers, excluding any that start with "AUTO"</w:t>
            </w:r>
          </w:p>
        </w:tc>
      </w:tr>
      <w:tr>
        <w:tc>
          <w:tcPr>
            <w:tcW w:type="dxa" w:w="2600"/>
            <w:tcMar>
              <w:top w:type="dxa" w:w="90"/>
              <w:left w:type="dxa" w:w="110"/>
              <w:bottom w:type="dxa" w:w="90"/>
              <w:right w:type="dxa" w:w="110"/>
            </w:tcMar>
          </w:tcPr>
          <w:p>
            <w:r>
              <w:rPr>
                <w:b w:val="false"/>
                <w:bCs w:val="false"/>
                <w:color w:val="1A1A1A"/>
                <w:sz w:val="19"/>
                <w:szCs w:val="19"/>
              </w:rPr>
              <w:t xml:space="preserve">D — PRQ Itemwise</w:t>
            </w:r>
          </w:p>
        </w:tc>
        <w:tc>
          <w:tcPr>
            <w:tcW w:type="dxa" w:w="2350"/>
            <w:tcMar>
              <w:top w:type="dxa" w:w="90"/>
              <w:left w:type="dxa" w:w="110"/>
              <w:bottom w:type="dxa" w:w="90"/>
              <w:right w:type="dxa" w:w="110"/>
            </w:tcMar>
          </w:tcPr>
          <w:p>
            <w:r>
              <w:rPr>
                <w:b w:val="false"/>
                <w:bCs w:val="false"/>
                <w:color w:val="1A1A1A"/>
                <w:sz w:val="19"/>
                <w:szCs w:val="19"/>
              </w:rPr>
              <w:t xml:space="preserve">Item Name</w:t>
            </w:r>
          </w:p>
        </w:tc>
        <w:tc>
          <w:tcPr>
            <w:tcW w:type="dxa" w:w="4400"/>
            <w:tcMar>
              <w:top w:type="dxa" w:w="90"/>
              <w:left w:type="dxa" w:w="110"/>
              <w:bottom w:type="dxa" w:w="90"/>
              <w:right w:type="dxa" w:w="110"/>
            </w:tcMar>
          </w:tcPr>
          <w:p>
            <w:r>
              <w:rPr>
                <w:b w:val="false"/>
                <w:bCs w:val="false"/>
                <w:color w:val="1A1A1A"/>
                <w:sz w:val="19"/>
                <w:szCs w:val="19"/>
              </w:rPr>
              <w:t xml:space="preserve">Count distinct drug names across the same non-AUTO rows</w:t>
            </w:r>
          </w:p>
        </w:tc>
      </w:tr>
    </w:tbl>
    <w:p>
      <w:pPr>
        <w:spacing w:before="100"/>
      </w:pPr>
    </w:p>
    <w:p>
      <w:pPr>
        <w:pBdr>
          <w:left w:val="single" w:color="2E5F8A" w:sz="12" w:space="6"/>
        </w:pBdr>
        <w:shd w:fill="EEF3FA" w:val="clear"/>
        <w:spacing w:after="140"/>
        <w:ind w:left="100"/>
      </w:pPr>
      <w:r>
        <w:rPr>
          <w:b/>
          <w:bCs/>
          <w:color w:val="2E5F8A"/>
          <w:sz w:val="19"/>
          <w:szCs w:val="19"/>
        </w:rPr>
        <w:t xml:space="preserve">Example: </w:t>
      </w:r>
      <w:r>
        <w:rPr>
          <w:color w:val="333333"/>
          <w:sz w:val="19"/>
          <w:szCs w:val="19"/>
        </w:rPr>
        <w:t xml:space="preserve">PRQ No. "AUTO/P/26/540" is system-generated and is dropped from both C and D. "P/AMPU/26/3864" is a normal PRQ and is counted.</w:t>
      </w:r>
    </w:p>
    <w:p>
      <w:pPr>
        <w:pStyle w:val="Heading1"/>
        <w:pBdr>
          <w:bottom w:val="single" w:color="1F3864" w:sz="6" w:space="4"/>
        </w:pBdr>
        <w:spacing w:after="140" w:before="300"/>
      </w:pPr>
      <w:r>
        <w:rPr>
          <w:b/>
          <w:bCs/>
          <w:color w:val="1F3864"/>
          <w:sz w:val="28"/>
          <w:szCs w:val="28"/>
        </w:rPr>
        <w:t xml:space="preserve">Purchase Order Section — Columns E, F, G</w:t>
      </w:r>
    </w:p>
    <w:p>
      <w:pPr>
        <w:spacing w:after="110" w:line="280"/>
      </w:pPr>
      <w:r>
        <w:rPr>
          <w:b/>
          <w:bCs/>
          <w:sz w:val="21"/>
          <w:szCs w:val="21"/>
        </w:rPr>
        <w:t xml:space="preserve">Filter that applies to all three PO columns: drop any row where the "PRQ No." column (inside the PO file) starts with "AUTO" — same rule as the PRQ section, applied here as well.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50"/>
        <w:gridCol w:w="4400"/>
      </w:tblGrid>
      <w:tr>
        <w:trPr>
          <w:tblHeader/>
        </w:trPr>
        <w:tc>
          <w:tcPr>
            <w:tcW w:type="dxa" w:w="2600"/>
            <w:shd w:fill="1F3864" w:val="clear"/>
            <w:tcMar>
              <w:top w:type="dxa" w:w="90"/>
              <w:left w:type="dxa" w:w="110"/>
              <w:bottom w:type="dxa" w:w="90"/>
              <w:right w:type="dxa" w:w="110"/>
            </w:tcMar>
          </w:tcPr>
          <w:p>
            <w:r>
              <w:rPr>
                <w:b/>
                <w:bCs/>
                <w:color w:val="FFFFFF"/>
                <w:sz w:val="19"/>
                <w:szCs w:val="19"/>
              </w:rPr>
              <w:t xml:space="preserve">Column</w:t>
            </w:r>
          </w:p>
        </w:tc>
        <w:tc>
          <w:tcPr>
            <w:tcW w:type="dxa" w:w="2350"/>
            <w:shd w:fill="1F3864" w:val="clear"/>
            <w:tcMar>
              <w:top w:type="dxa" w:w="90"/>
              <w:left w:type="dxa" w:w="110"/>
              <w:bottom w:type="dxa" w:w="90"/>
              <w:right w:type="dxa" w:w="110"/>
            </w:tcMar>
          </w:tcPr>
          <w:p>
            <w:r>
              <w:rPr>
                <w:b/>
                <w:bCs/>
                <w:color w:val="FFFFFF"/>
                <w:sz w:val="19"/>
                <w:szCs w:val="19"/>
              </w:rPr>
              <w:t xml:space="preserve">Source Column</w:t>
            </w:r>
          </w:p>
        </w:tc>
        <w:tc>
          <w:tcPr>
            <w:tcW w:type="dxa" w:w="4400"/>
            <w:shd w:fill="1F3864" w:val="clear"/>
            <w:tcMar>
              <w:top w:type="dxa" w:w="90"/>
              <w:left w:type="dxa" w:w="110"/>
              <w:bottom w:type="dxa" w:w="90"/>
              <w:right w:type="dxa" w:w="110"/>
            </w:tcMar>
          </w:tcPr>
          <w:p>
            <w:r>
              <w:rPr>
                <w:b/>
                <w:bCs/>
                <w:color w:val="FFFFFF"/>
                <w:sz w:val="19"/>
                <w:szCs w:val="19"/>
              </w:rPr>
              <w:t xml:space="preserve">Logic</w:t>
            </w:r>
          </w:p>
        </w:tc>
      </w:tr>
      <w:tr>
        <w:tc>
          <w:tcPr>
            <w:tcW w:type="dxa" w:w="2600"/>
            <w:tcMar>
              <w:top w:type="dxa" w:w="90"/>
              <w:left w:type="dxa" w:w="110"/>
              <w:bottom w:type="dxa" w:w="90"/>
              <w:right w:type="dxa" w:w="110"/>
            </w:tcMar>
          </w:tcPr>
          <w:p>
            <w:r>
              <w:rPr>
                <w:b w:val="false"/>
                <w:bCs w:val="false"/>
                <w:color w:val="1A1A1A"/>
                <w:sz w:val="19"/>
                <w:szCs w:val="19"/>
              </w:rPr>
              <w:t xml:space="preserve">E — PO Created</w:t>
            </w:r>
          </w:p>
        </w:tc>
        <w:tc>
          <w:tcPr>
            <w:tcW w:type="dxa" w:w="2350"/>
            <w:tcMar>
              <w:top w:type="dxa" w:w="90"/>
              <w:left w:type="dxa" w:w="110"/>
              <w:bottom w:type="dxa" w:w="90"/>
              <w:right w:type="dxa" w:w="110"/>
            </w:tcMar>
          </w:tcPr>
          <w:p>
            <w:r>
              <w:rPr>
                <w:b w:val="false"/>
                <w:bCs w:val="false"/>
                <w:color w:val="1A1A1A"/>
                <w:sz w:val="19"/>
                <w:szCs w:val="19"/>
              </w:rPr>
              <w:t xml:space="preserve">PO No.</w:t>
            </w:r>
          </w:p>
        </w:tc>
        <w:tc>
          <w:tcPr>
            <w:tcW w:type="dxa" w:w="4400"/>
            <w:tcMar>
              <w:top w:type="dxa" w:w="90"/>
              <w:left w:type="dxa" w:w="110"/>
              <w:bottom w:type="dxa" w:w="90"/>
              <w:right w:type="dxa" w:w="110"/>
            </w:tcMar>
          </w:tcPr>
          <w:p>
            <w:r>
              <w:rPr>
                <w:b w:val="false"/>
                <w:bCs w:val="false"/>
                <w:color w:val="1A1A1A"/>
                <w:sz w:val="19"/>
                <w:szCs w:val="19"/>
              </w:rPr>
              <w:t xml:space="preserve">Count distinct PO numbers, after also excluding PO numbers ending in a letter suffix</w:t>
            </w:r>
          </w:p>
        </w:tc>
      </w:tr>
      <w:tr>
        <w:tc>
          <w:tcPr>
            <w:tcW w:type="dxa" w:w="2600"/>
            <w:tcMar>
              <w:top w:type="dxa" w:w="90"/>
              <w:left w:type="dxa" w:w="110"/>
              <w:bottom w:type="dxa" w:w="90"/>
              <w:right w:type="dxa" w:w="110"/>
            </w:tcMar>
          </w:tcPr>
          <w:p>
            <w:r>
              <w:rPr>
                <w:b w:val="false"/>
                <w:bCs w:val="false"/>
                <w:color w:val="1A1A1A"/>
                <w:sz w:val="19"/>
                <w:szCs w:val="19"/>
              </w:rPr>
              <w:t xml:space="preserve">F — PO Items</w:t>
            </w:r>
          </w:p>
        </w:tc>
        <w:tc>
          <w:tcPr>
            <w:tcW w:type="dxa" w:w="2350"/>
            <w:tcMar>
              <w:top w:type="dxa" w:w="90"/>
              <w:left w:type="dxa" w:w="110"/>
              <w:bottom w:type="dxa" w:w="90"/>
              <w:right w:type="dxa" w:w="110"/>
            </w:tcMar>
          </w:tcPr>
          <w:p>
            <w:r>
              <w:rPr>
                <w:b w:val="false"/>
                <w:bCs w:val="false"/>
                <w:color w:val="1A1A1A"/>
                <w:sz w:val="19"/>
                <w:szCs w:val="19"/>
              </w:rPr>
              <w:t xml:space="preserve">Item Name</w:t>
            </w:r>
          </w:p>
        </w:tc>
        <w:tc>
          <w:tcPr>
            <w:tcW w:type="dxa" w:w="4400"/>
            <w:tcMar>
              <w:top w:type="dxa" w:w="90"/>
              <w:left w:type="dxa" w:w="110"/>
              <w:bottom w:type="dxa" w:w="90"/>
              <w:right w:type="dxa" w:w="110"/>
            </w:tcMar>
          </w:tcPr>
          <w:p>
            <w:r>
              <w:rPr>
                <w:b w:val="false"/>
                <w:bCs w:val="false"/>
                <w:color w:val="1A1A1A"/>
                <w:sz w:val="19"/>
                <w:szCs w:val="19"/>
              </w:rPr>
              <w:t xml:space="preserve">Count distinct drug names, on the same filtered rows as E</w:t>
            </w:r>
          </w:p>
        </w:tc>
      </w:tr>
      <w:tr>
        <w:tc>
          <w:tcPr>
            <w:tcW w:type="dxa" w:w="2600"/>
            <w:tcMar>
              <w:top w:type="dxa" w:w="90"/>
              <w:left w:type="dxa" w:w="110"/>
              <w:bottom w:type="dxa" w:w="90"/>
              <w:right w:type="dxa" w:w="110"/>
            </w:tcMar>
          </w:tcPr>
          <w:p>
            <w:r>
              <w:rPr>
                <w:b w:val="false"/>
                <w:bCs w:val="false"/>
                <w:color w:val="1A1A1A"/>
                <w:sz w:val="19"/>
                <w:szCs w:val="19"/>
              </w:rPr>
              <w:t xml:space="preserve">G — Total PO Value</w:t>
            </w:r>
          </w:p>
        </w:tc>
        <w:tc>
          <w:tcPr>
            <w:tcW w:type="dxa" w:w="2350"/>
            <w:tcMar>
              <w:top w:type="dxa" w:w="90"/>
              <w:left w:type="dxa" w:w="110"/>
              <w:bottom w:type="dxa" w:w="90"/>
              <w:right w:type="dxa" w:w="110"/>
            </w:tcMar>
          </w:tcPr>
          <w:p>
            <w:r>
              <w:rPr>
                <w:b w:val="false"/>
                <w:bCs w:val="false"/>
                <w:color w:val="1A1A1A"/>
                <w:sz w:val="19"/>
                <w:szCs w:val="19"/>
              </w:rPr>
              <w:t xml:space="preserve">Grand Total</w:t>
            </w:r>
          </w:p>
        </w:tc>
        <w:tc>
          <w:tcPr>
            <w:tcW w:type="dxa" w:w="4400"/>
            <w:tcMar>
              <w:top w:type="dxa" w:w="90"/>
              <w:left w:type="dxa" w:w="110"/>
              <w:bottom w:type="dxa" w:w="90"/>
              <w:right w:type="dxa" w:w="110"/>
            </w:tcMar>
          </w:tcPr>
          <w:p>
            <w:r>
              <w:rPr>
                <w:b w:val="false"/>
                <w:bCs w:val="false"/>
                <w:color w:val="1A1A1A"/>
                <w:sz w:val="19"/>
                <w:szCs w:val="19"/>
              </w:rPr>
              <w:t xml:space="preserve">Take the value straight from the totals row at the bottom of the sheet</w:t>
            </w:r>
          </w:p>
        </w:tc>
      </w:tr>
    </w:tbl>
    <w:p>
      <w:pPr>
        <w:spacing w:before="100"/>
      </w:pPr>
    </w:p>
    <w:p>
      <w:pPr>
        <w:pBdr>
          <w:left w:val="single" w:color="2E5F8A" w:sz="12" w:space="6"/>
        </w:pBdr>
        <w:shd w:fill="EEF3FA" w:val="clear"/>
        <w:spacing w:after="140"/>
        <w:ind w:left="100"/>
      </w:pPr>
      <w:r>
        <w:rPr>
          <w:b/>
          <w:bCs/>
          <w:color w:val="2E5F8A"/>
          <w:sz w:val="19"/>
          <w:szCs w:val="19"/>
        </w:rPr>
        <w:t xml:space="preserve">Example: </w:t>
      </w:r>
      <w:r>
        <w:rPr>
          <w:color w:val="333333"/>
          <w:sz w:val="19"/>
          <w:szCs w:val="19"/>
        </w:rPr>
        <w:t xml:space="preserve">PO No. "SE/PH/2026-27/3910-A" ends in "-A" (a split/amended PO) and is excluded from E. "SE/PH/2026-27/3919" is a plain PO number and is counted.</w:t>
      </w:r>
    </w:p>
    <w:p>
      <w:pPr>
        <w:pStyle w:val="Heading1"/>
        <w:pBdr>
          <w:bottom w:val="single" w:color="1F3864" w:sz="6" w:space="4"/>
        </w:pBdr>
        <w:spacing w:after="140" w:before="300"/>
      </w:pPr>
      <w:r>
        <w:rPr>
          <w:b/>
          <w:bCs/>
          <w:color w:val="1F3864"/>
          <w:sz w:val="28"/>
          <w:szCs w:val="28"/>
        </w:rPr>
        <w:t xml:space="preserve">GRN Section — Columns H, I, J</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50"/>
        <w:gridCol w:w="4400"/>
      </w:tblGrid>
      <w:tr>
        <w:trPr>
          <w:tblHeader/>
        </w:trPr>
        <w:tc>
          <w:tcPr>
            <w:tcW w:type="dxa" w:w="2600"/>
            <w:shd w:fill="1F3864" w:val="clear"/>
            <w:tcMar>
              <w:top w:type="dxa" w:w="90"/>
              <w:left w:type="dxa" w:w="110"/>
              <w:bottom w:type="dxa" w:w="90"/>
              <w:right w:type="dxa" w:w="110"/>
            </w:tcMar>
          </w:tcPr>
          <w:p>
            <w:r>
              <w:rPr>
                <w:b/>
                <w:bCs/>
                <w:color w:val="FFFFFF"/>
                <w:sz w:val="19"/>
                <w:szCs w:val="19"/>
              </w:rPr>
              <w:t xml:space="preserve">Column</w:t>
            </w:r>
          </w:p>
        </w:tc>
        <w:tc>
          <w:tcPr>
            <w:tcW w:type="dxa" w:w="2350"/>
            <w:shd w:fill="1F3864" w:val="clear"/>
            <w:tcMar>
              <w:top w:type="dxa" w:w="90"/>
              <w:left w:type="dxa" w:w="110"/>
              <w:bottom w:type="dxa" w:w="90"/>
              <w:right w:type="dxa" w:w="110"/>
            </w:tcMar>
          </w:tcPr>
          <w:p>
            <w:r>
              <w:rPr>
                <w:b/>
                <w:bCs/>
                <w:color w:val="FFFFFF"/>
                <w:sz w:val="19"/>
                <w:szCs w:val="19"/>
              </w:rPr>
              <w:t xml:space="preserve">Source Column</w:t>
            </w:r>
          </w:p>
        </w:tc>
        <w:tc>
          <w:tcPr>
            <w:tcW w:type="dxa" w:w="4400"/>
            <w:shd w:fill="1F3864" w:val="clear"/>
            <w:tcMar>
              <w:top w:type="dxa" w:w="90"/>
              <w:left w:type="dxa" w:w="110"/>
              <w:bottom w:type="dxa" w:w="90"/>
              <w:right w:type="dxa" w:w="110"/>
            </w:tcMar>
          </w:tcPr>
          <w:p>
            <w:r>
              <w:rPr>
                <w:b/>
                <w:bCs/>
                <w:color w:val="FFFFFF"/>
                <w:sz w:val="19"/>
                <w:szCs w:val="19"/>
              </w:rPr>
              <w:t xml:space="preserve">Logic</w:t>
            </w:r>
          </w:p>
        </w:tc>
      </w:tr>
      <w:tr>
        <w:tc>
          <w:tcPr>
            <w:tcW w:type="dxa" w:w="2600"/>
            <w:tcMar>
              <w:top w:type="dxa" w:w="90"/>
              <w:left w:type="dxa" w:w="110"/>
              <w:bottom w:type="dxa" w:w="90"/>
              <w:right w:type="dxa" w:w="110"/>
            </w:tcMar>
          </w:tcPr>
          <w:p>
            <w:r>
              <w:rPr>
                <w:b w:val="false"/>
                <w:bCs w:val="false"/>
                <w:color w:val="1A1A1A"/>
                <w:sz w:val="19"/>
                <w:szCs w:val="19"/>
              </w:rPr>
              <w:t xml:space="preserve">H — Total no. of GRN</w:t>
            </w:r>
          </w:p>
        </w:tc>
        <w:tc>
          <w:tcPr>
            <w:tcW w:type="dxa" w:w="2350"/>
            <w:tcMar>
              <w:top w:type="dxa" w:w="90"/>
              <w:left w:type="dxa" w:w="110"/>
              <w:bottom w:type="dxa" w:w="90"/>
              <w:right w:type="dxa" w:w="110"/>
            </w:tcMar>
          </w:tcPr>
          <w:p>
            <w:r>
              <w:rPr>
                <w:b w:val="false"/>
                <w:bCs w:val="false"/>
                <w:color w:val="1A1A1A"/>
                <w:sz w:val="19"/>
                <w:szCs w:val="19"/>
              </w:rPr>
              <w:t xml:space="preserve">PO No.</w:t>
            </w:r>
          </w:p>
        </w:tc>
        <w:tc>
          <w:tcPr>
            <w:tcW w:type="dxa" w:w="4400"/>
            <w:tcMar>
              <w:top w:type="dxa" w:w="90"/>
              <w:left w:type="dxa" w:w="110"/>
              <w:bottom w:type="dxa" w:w="90"/>
              <w:right w:type="dxa" w:w="110"/>
            </w:tcMar>
          </w:tcPr>
          <w:p>
            <w:r>
              <w:rPr>
                <w:b w:val="false"/>
                <w:bCs w:val="false"/>
                <w:color w:val="1A1A1A"/>
                <w:sz w:val="19"/>
                <w:szCs w:val="19"/>
              </w:rPr>
              <w:t xml:space="preserve">Count distinct PO numbers</w:t>
            </w:r>
          </w:p>
        </w:tc>
      </w:tr>
      <w:tr>
        <w:tc>
          <w:tcPr>
            <w:tcW w:type="dxa" w:w="2600"/>
            <w:tcMar>
              <w:top w:type="dxa" w:w="90"/>
              <w:left w:type="dxa" w:w="110"/>
              <w:bottom w:type="dxa" w:w="90"/>
              <w:right w:type="dxa" w:w="110"/>
            </w:tcMar>
          </w:tcPr>
          <w:p>
            <w:r>
              <w:rPr>
                <w:b w:val="false"/>
                <w:bCs w:val="false"/>
                <w:color w:val="1A1A1A"/>
                <w:sz w:val="19"/>
                <w:szCs w:val="19"/>
              </w:rPr>
              <w:t xml:space="preserve">I — GRN Itemwise</w:t>
            </w:r>
          </w:p>
        </w:tc>
        <w:tc>
          <w:tcPr>
            <w:tcW w:type="dxa" w:w="2350"/>
            <w:tcMar>
              <w:top w:type="dxa" w:w="90"/>
              <w:left w:type="dxa" w:w="110"/>
              <w:bottom w:type="dxa" w:w="90"/>
              <w:right w:type="dxa" w:w="110"/>
            </w:tcMar>
          </w:tcPr>
          <w:p>
            <w:r>
              <w:rPr>
                <w:b w:val="false"/>
                <w:bCs w:val="false"/>
                <w:color w:val="1A1A1A"/>
                <w:sz w:val="19"/>
                <w:szCs w:val="19"/>
              </w:rPr>
              <w:t xml:space="preserve">Drug Description</w:t>
            </w:r>
          </w:p>
        </w:tc>
        <w:tc>
          <w:tcPr>
            <w:tcW w:type="dxa" w:w="4400"/>
            <w:tcMar>
              <w:top w:type="dxa" w:w="90"/>
              <w:left w:type="dxa" w:w="110"/>
              <w:bottom w:type="dxa" w:w="90"/>
              <w:right w:type="dxa" w:w="110"/>
            </w:tcMar>
          </w:tcPr>
          <w:p>
            <w:r>
              <w:rPr>
                <w:b w:val="false"/>
                <w:bCs w:val="false"/>
                <w:color w:val="1A1A1A"/>
                <w:sz w:val="19"/>
                <w:szCs w:val="19"/>
              </w:rPr>
              <w:t xml:space="preserve">Count distinct drug names</w:t>
            </w:r>
          </w:p>
        </w:tc>
      </w:tr>
      <w:tr>
        <w:tc>
          <w:tcPr>
            <w:tcW w:type="dxa" w:w="2600"/>
            <w:tcMar>
              <w:top w:type="dxa" w:w="90"/>
              <w:left w:type="dxa" w:w="110"/>
              <w:bottom w:type="dxa" w:w="90"/>
              <w:right w:type="dxa" w:w="110"/>
            </w:tcMar>
          </w:tcPr>
          <w:p>
            <w:r>
              <w:rPr>
                <w:b w:val="false"/>
                <w:bCs w:val="false"/>
                <w:color w:val="1A1A1A"/>
                <w:sz w:val="19"/>
                <w:szCs w:val="19"/>
              </w:rPr>
              <w:t xml:space="preserve">J — Total GRN Value</w:t>
            </w:r>
          </w:p>
        </w:tc>
        <w:tc>
          <w:tcPr>
            <w:tcW w:type="dxa" w:w="2350"/>
            <w:tcMar>
              <w:top w:type="dxa" w:w="90"/>
              <w:left w:type="dxa" w:w="110"/>
              <w:bottom w:type="dxa" w:w="90"/>
              <w:right w:type="dxa" w:w="110"/>
            </w:tcMar>
          </w:tcPr>
          <w:p>
            <w:r>
              <w:rPr>
                <w:b w:val="false"/>
                <w:bCs w:val="false"/>
                <w:color w:val="1A1A1A"/>
                <w:sz w:val="19"/>
                <w:szCs w:val="19"/>
              </w:rPr>
              <w:t xml:space="preserve">Grand Total</w:t>
            </w:r>
          </w:p>
        </w:tc>
        <w:tc>
          <w:tcPr>
            <w:tcW w:type="dxa" w:w="4400"/>
            <w:tcMar>
              <w:top w:type="dxa" w:w="90"/>
              <w:left w:type="dxa" w:w="110"/>
              <w:bottom w:type="dxa" w:w="90"/>
              <w:right w:type="dxa" w:w="110"/>
            </w:tcMar>
          </w:tcPr>
          <w:p>
            <w:r>
              <w:rPr>
                <w:b w:val="false"/>
                <w:bCs w:val="false"/>
                <w:color w:val="1A1A1A"/>
                <w:sz w:val="19"/>
                <w:szCs w:val="19"/>
              </w:rPr>
              <w:t xml:space="preserve">Take the value straight from the totals row at the bottom of the sheet</w:t>
            </w:r>
          </w:p>
        </w:tc>
      </w:tr>
    </w:tbl>
    <w:p>
      <w:pPr>
        <w:spacing w:before="100"/>
      </w:pPr>
    </w:p>
    <w:p>
      <w:pPr>
        <w:spacing w:after="110" w:line="280"/>
      </w:pPr>
      <w:r>
        <w:rPr>
          <w:i/>
          <w:iCs/>
          <w:color w:val="595959"/>
          <w:sz w:val="20"/>
          <w:szCs w:val="20"/>
        </w:rPr>
        <w:t xml:space="preserve">Column K (Pending GRN) and columns L–Q of the Daily Report are not part of this automation — they fall outside the three source files above.</w:t>
      </w:r>
    </w:p>
    <w:p>
      <w:pPr>
        <w:pStyle w:val="Heading1"/>
        <w:pBdr>
          <w:bottom w:val="single" w:color="1F3864" w:sz="6" w:space="4"/>
        </w:pBdr>
        <w:spacing w:after="140" w:before="300"/>
      </w:pPr>
      <w:r>
        <w:rPr>
          <w:b/>
          <w:bCs/>
          <w:color w:val="1F3864"/>
          <w:sz w:val="28"/>
          <w:szCs w:val="28"/>
        </w:rPr>
        <w:t xml:space="preserve">Folder &amp; File Structure</w:t>
      </w:r>
    </w:p>
    <w:p>
      <w:pPr>
        <w:spacing w:after="110" w:line="280"/>
      </w:pPr>
      <w:r>
        <w:rPr>
          <w:sz w:val="21"/>
          <w:szCs w:val="21"/>
        </w:rPr>
        <w:t xml:space="preserve">Every month gets its own folder. Raw input files pulled by the automation, and the reports generated from them, are kept in separate sub-folders so nothing gets mixed up:</w:t>
      </w:r>
    </w:p>
    <w:p>
      <w:pPr>
        <w:shd w:fill="F2F2F2" w:val="clear"/>
        <w:spacing w:after="30"/>
      </w:pPr>
      <w:r>
        <w:rPr>
          <w:rFonts w:ascii="Consolas" w:cs="Consolas" w:eastAsia="Consolas" w:hAnsi="Consolas"/>
          <w:color w:val="333333"/>
          <w:sz w:val="18"/>
          <w:szCs w:val="18"/>
        </w:rPr>
        <w:t xml:space="preserve">Pharmacy-MIS/</w:t>
      </w:r>
    </w:p>
    <w:p>
      <w:pPr>
        <w:shd w:fill="F2F2F2" w:val="clear"/>
        <w:spacing w:after="30"/>
      </w:pPr>
      <w:r>
        <w:rPr>
          <w:rFonts w:ascii="Consolas" w:cs="Consolas" w:eastAsia="Consolas" w:hAnsi="Consolas"/>
          <w:color w:val="333333"/>
          <w:sz w:val="18"/>
          <w:szCs w:val="18"/>
        </w:rPr>
        <w:t xml:space="preserve">└── 2026/</w:t>
      </w:r>
    </w:p>
    <w:p>
      <w:pPr>
        <w:shd w:fill="F2F2F2" w:val="clear"/>
        <w:spacing w:after="30"/>
      </w:pPr>
      <w:r>
        <w:rPr>
          <w:rFonts w:ascii="Consolas" w:cs="Consolas" w:eastAsia="Consolas" w:hAnsi="Consolas"/>
          <w:color w:val="333333"/>
          <w:sz w:val="18"/>
          <w:szCs w:val="18"/>
        </w:rPr>
        <w:t xml:space="preserve">    └── 08-August/                    (one folder per month)</w:t>
      </w:r>
    </w:p>
    <w:p>
      <w:pPr>
        <w:shd w:fill="F2F2F2" w:val="clear"/>
        <w:spacing w:after="30"/>
      </w:pPr>
      <w:r>
        <w:rPr>
          <w:rFonts w:ascii="Consolas" w:cs="Consolas" w:eastAsia="Consolas" w:hAnsi="Consolas"/>
          <w:color w:val="333333"/>
          <w:sz w:val="18"/>
          <w:szCs w:val="18"/>
        </w:rPr>
        <w:t xml:space="preserve">        ├── inputs/                    (raw Puppeteer pulls)</w:t>
      </w:r>
    </w:p>
    <w:p>
      <w:pPr>
        <w:shd w:fill="F2F2F2" w:val="clear"/>
        <w:spacing w:after="30"/>
      </w:pPr>
      <w:r>
        <w:rPr>
          <w:rFonts w:ascii="Consolas" w:cs="Consolas" w:eastAsia="Consolas" w:hAnsi="Consolas"/>
          <w:color w:val="333333"/>
          <w:sz w:val="18"/>
          <w:szCs w:val="18"/>
        </w:rPr>
        <w:t xml:space="preserve">        │   ├── 2026-08-01/</w:t>
      </w:r>
    </w:p>
    <w:p>
      <w:pPr>
        <w:shd w:fill="F2F2F2" w:val="clear"/>
        <w:spacing w:after="30"/>
      </w:pPr>
      <w:r>
        <w:rPr>
          <w:rFonts w:ascii="Consolas" w:cs="Consolas" w:eastAsia="Consolas" w:hAnsi="Consolas"/>
          <w:color w:val="333333"/>
          <w:sz w:val="18"/>
          <w:szCs w:val="18"/>
        </w:rPr>
        <w:t xml:space="preserve">        │   │   ├── Pharmacy_PRQ_Details.csv</w:t>
      </w:r>
    </w:p>
    <w:p>
      <w:pPr>
        <w:shd w:fill="F2F2F2" w:val="clear"/>
        <w:spacing w:after="30"/>
      </w:pPr>
      <w:r>
        <w:rPr>
          <w:rFonts w:ascii="Consolas" w:cs="Consolas" w:eastAsia="Consolas" w:hAnsi="Consolas"/>
          <w:color w:val="333333"/>
          <w:sz w:val="18"/>
          <w:szCs w:val="18"/>
        </w:rPr>
        <w:t xml:space="preserve">        │   │   ├── Purchase_Order_Detail_Report.xlsx</w:t>
      </w:r>
    </w:p>
    <w:p>
      <w:pPr>
        <w:shd w:fill="F2F2F2" w:val="clear"/>
        <w:spacing w:after="30"/>
      </w:pPr>
      <w:r>
        <w:rPr>
          <w:rFonts w:ascii="Consolas" w:cs="Consolas" w:eastAsia="Consolas" w:hAnsi="Consolas"/>
          <w:color w:val="333333"/>
          <w:sz w:val="18"/>
          <w:szCs w:val="18"/>
        </w:rPr>
        <w:t xml:space="preserve">        │   │   └── Purchase_Report_Pharmacy_Detail.csv</w:t>
      </w:r>
    </w:p>
    <w:p>
      <w:pPr>
        <w:shd w:fill="F2F2F2" w:val="clear"/>
        <w:spacing w:after="30"/>
      </w:pPr>
      <w:r>
        <w:rPr>
          <w:rFonts w:ascii="Consolas" w:cs="Consolas" w:eastAsia="Consolas" w:hAnsi="Consolas"/>
          <w:color w:val="333333"/>
          <w:sz w:val="18"/>
          <w:szCs w:val="18"/>
        </w:rPr>
        <w:t xml:space="preserve">        │   ├── 2026-08-02/  → same 3 files</w:t>
      </w:r>
    </w:p>
    <w:p>
      <w:pPr>
        <w:shd w:fill="F2F2F2" w:val="clear"/>
        <w:spacing w:after="30"/>
      </w:pPr>
      <w:r>
        <w:rPr>
          <w:rFonts w:ascii="Consolas" w:cs="Consolas" w:eastAsia="Consolas" w:hAnsi="Consolas"/>
          <w:color w:val="333333"/>
          <w:sz w:val="18"/>
          <w:szCs w:val="18"/>
        </w:rPr>
        <w:t xml:space="preserve">        │   └── ...</w:t>
      </w:r>
    </w:p>
    <w:p>
      <w:pPr>
        <w:shd w:fill="F2F2F2" w:val="clear"/>
        <w:spacing w:after="30"/>
      </w:pPr>
      <w:r>
        <w:rPr>
          <w:rFonts w:ascii="Consolas" w:cs="Consolas" w:eastAsia="Consolas" w:hAnsi="Consolas"/>
          <w:color w:val="333333"/>
          <w:sz w:val="18"/>
          <w:szCs w:val="18"/>
        </w:rPr>
        <w:t xml:space="preserve">        └── outputs/                   (generated reports)</w:t>
      </w:r>
    </w:p>
    <w:p>
      <w:pPr>
        <w:shd w:fill="F2F2F2" w:val="clear"/>
        <w:spacing w:after="30"/>
      </w:pPr>
      <w:r>
        <w:rPr>
          <w:rFonts w:ascii="Consolas" w:cs="Consolas" w:eastAsia="Consolas" w:hAnsi="Consolas"/>
          <w:color w:val="333333"/>
          <w:sz w:val="18"/>
          <w:szCs w:val="18"/>
        </w:rPr>
        <w:t xml:space="preserve">            └── Master_Report_August_2026.xlsx</w:t>
      </w:r>
    </w:p>
    <w:p>
      <w:pPr>
        <w:spacing w:before="140"/>
      </w:pPr>
    </w:p>
    <w:p>
      <w:pPr>
        <w:pStyle w:val="ListParagraph"/>
        <w:numPr>
          <w:ilvl w:val="0"/>
          <w:numId w:val="2"/>
        </w:numPr>
        <w:spacing w:after="60" w:line="270"/>
      </w:pPr>
      <w:r>
        <w:rPr>
          <w:sz w:val="20"/>
          <w:szCs w:val="20"/>
        </w:rPr>
        <w:t xml:space="preserve">inputs/ holds only the raw files exactly as pulled that day, in a dated sub-folder — nothing is edited in place here.</w:t>
      </w:r>
    </w:p>
    <w:p>
      <w:pPr>
        <w:pStyle w:val="ListParagraph"/>
        <w:numPr>
          <w:ilvl w:val="0"/>
          <w:numId w:val="2"/>
        </w:numPr>
        <w:spacing w:after="60" w:line="270"/>
      </w:pPr>
      <w:r>
        <w:rPr>
          <w:sz w:val="20"/>
          <w:szCs w:val="20"/>
        </w:rPr>
        <w:t xml:space="preserve">outputs/ sits outside inputs/ but inside the same month folder.</w:t>
      </w:r>
    </w:p>
    <w:p>
      <w:pPr>
        <w:pStyle w:val="ListParagraph"/>
        <w:numPr>
          <w:ilvl w:val="0"/>
          <w:numId w:val="2"/>
        </w:numPr>
        <w:spacing w:after="60" w:line="270"/>
      </w:pPr>
      <w:r>
        <w:rPr>
          <w:sz w:val="20"/>
          <w:szCs w:val="20"/>
        </w:rPr>
        <w:t xml:space="preserve">The Master file auto-appends one new row per date, using "Daily Report for Coding" as the reference format (same columns, same layout).</w:t>
      </w:r>
    </w:p>
    <w:p>
      <w:pPr>
        <w:pStyle w:val="ListParagraph"/>
        <w:numPr>
          <w:ilvl w:val="0"/>
          <w:numId w:val="2"/>
        </w:numPr>
        <w:spacing w:after="60" w:line="270"/>
      </w:pPr>
      <w:r>
        <w:rPr>
          <w:sz w:val="20"/>
          <w:szCs w:val="20"/>
        </w:rPr>
        <w:t xml:space="preserve">At month-end, a new month folder is created and a new Master file starts from row 1.</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2026-08-22T12:41:41.834Z</dcterms:created>
  <dcterms:modified xsi:type="dcterms:W3CDTF">2026-08-22T12:41:41.834Z</dcterms:modified>
</cp:coreProperties>
</file>

<file path=docProps/custom.xml><?xml version="1.0" encoding="utf-8"?>
<Properties xmlns="http://schemas.openxmlformats.org/officeDocument/2006/custom-properties" xmlns:vt="http://schemas.openxmlformats.org/officeDocument/2006/docPropsVTypes"/>
</file>