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Daily HIS Report Automation</w:t>
      </w:r>
    </w:p>
    <w:p>
      <w:pPr>
        <w:spacing w:after="60"/>
      </w:pPr>
      <w:r>
        <w:rPr>
          <w:color w:val="2E74B5"/>
          <w:sz w:val="28"/>
          <w:szCs w:val="28"/>
        </w:rPr>
        <w:t xml:space="preserve">Changes from the original documentation</w:t>
      </w:r>
    </w:p>
    <w:p>
      <w:pPr>
        <w:pBdr>
          <w:bottom w:val="single" w:color="2E74B5" w:sz="6" w:space="4"/>
        </w:pBdr>
        <w:spacing w:after="200"/>
      </w:pPr>
      <w:r>
        <w:rPr>
          <w:color w:val="595959"/>
        </w:rPr>
        <w:t xml:space="preserve">As of 31 October 2026</w:t>
      </w:r>
    </w:p>
    <w:p>
      <w:pPr>
        <w:spacing w:after="120"/>
      </w:pPr>
      <w:r>
        <w:t xml:space="preserve">This document lists every way the automation now differs from </w:t>
      </w:r>
      <w:r>
        <w:rPr>
          <w:b/>
          <w:bCs/>
        </w:rPr>
        <w:t xml:space="preserve">“Daily HIS Report Automation — Documentation”</w:t>
      </w:r>
      <w:r>
        <w:t xml:space="preserve"> (the original step-by-step manual process, marked “Not yet final”). Section numbers (§) refer to that document. Figures were checked against the hospital MIS for 08-Oct and 09-Oct 2026 and the manual sheet for 20-07-2026.</w:t>
      </w:r>
    </w:p>
    <w:p>
      <w:pPr>
        <w:spacing w:after="120"/>
      </w:pPr>
      <w:r>
        <w:t xml:space="preserve">Steps not mentioned here are carried out exactly as the original document describes, including Emergency, Planned and Walk-in admissions (§5), which are read directly from the Admission Analysis report (08-Oct walk-in: 181 = MIS).</w:t>
      </w:r>
    </w:p>
    <w:p>
      <w:pPr>
        <w:pStyle w:val="Heading1"/>
        <w:spacing w:after="120" w:before="320"/>
      </w:pPr>
      <w:r>
        <w:t xml:space="preserve">1. Calculation changes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216"/>
        <w:gridCol w:w="2891"/>
        <w:gridCol w:w="2893"/>
      </w:tblGrid>
      <w:tr>
        <w:trPr>
          <w:tblHeader/>
        </w:trPr>
        <w:tc>
          <w:tcPr>
            <w:tcW w:type="dxa" w:w="1638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221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Original document</w:t>
            </w:r>
          </w:p>
        </w:tc>
        <w:tc>
          <w:tcPr>
            <w:tcW w:type="dxa" w:w="2891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Automation now</w:t>
            </w:r>
          </w:p>
        </w:tc>
        <w:tc>
          <w:tcPr>
            <w:tcW w:type="dxa" w:w="2893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Reason / evidence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§1 OP New Registration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 non-blank rows in the MRD Number column.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Counts only </w:t>
            </w:r>
            <w:r>
              <w:rPr>
                <w:b/>
                <w:bCs/>
              </w:rPr>
              <w:t xml:space="preserve">numeric</w:t>
            </w:r>
            <w:r>
              <w:t xml:space="preserve"> MRD numbers.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Raw exports end with a note in that column (e.g. “a) Take the count of MRD number - 382”), which would add 1. 20-07: 595 = manual.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§2 OP Encounters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4 columns, delete the excluded specialities, count.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Adds up each speciality’s “Total Encounters” subtotal, skipping the same excluded list.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result without the column-shift risk the doc warns about. 20-07: 4,673 = manual.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 Category mapping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Match raw Category against the lists. Unmatched values: leave uncounted and flag.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codes in the list are mapped. Anything else (including year variants like “CPR 26”) is </w:t>
            </w:r>
            <w:r>
              <w:rPr>
                <w:b/>
                <w:bCs/>
              </w:rPr>
              <w:t xml:space="preserve">not counted</w:t>
            </w:r>
            <w:r>
              <w:t xml:space="preserve"> until a user confirms it in the </w:t>
            </w:r>
            <w:r>
              <w:rPr>
                <w:b/>
                <w:bCs/>
              </w:rPr>
              <w:t xml:space="preserve">Category Review</w:t>
            </w:r>
            <w:r>
              <w:t xml:space="preserve"> screen, which suggests a bucket where it can.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Earlier the year was stripped automatically, so new codes were counted without anyone checking them.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 Study faculty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Shown in Category Review with General suggested; counted once confirmed.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20-07 manual sheet counted one Study-faculty patient under ECHS, so the bucket is uncertain.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 labcpr25op.1 / labcpr26op.1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listed (doc has labcprop.1, LABCPROP25, LABCPR 26).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Counted as Corporates (CPR), Domestic.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 lab-CPR code family; seen in OP billing on 20-07, 18-Jun and 12-Oct.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§4 IP Admission, §6 IP Discharges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 every row per bucket (no exclusion).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Rows with </w:t>
            </w:r>
            <w:r>
              <w:rPr>
                <w:b/>
                <w:bCs/>
              </w:rPr>
              <w:t xml:space="preserve">Ward = “Admission Ward”</w:t>
            </w:r>
            <w:r>
              <w:t xml:space="preserve"> (day-care, Bed Type “Day Case A”) are </w:t>
            </w:r>
            <w:r>
              <w:rPr>
                <w:b/>
                <w:bCs/>
              </w:rPr>
              <w:t xml:space="preserve">not counted</w:t>
            </w:r>
            <w:r>
              <w:t xml:space="preserve">. Other day-care wards such as Daycare Lounge (“DL”) are still counted.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Matches the hospital MIS exactly. 08-Oct: 321 / 349 → </w:t>
            </w:r>
            <w:r>
              <w:rPr>
                <w:b/>
                <w:bCs/>
              </w:rPr>
              <w:t xml:space="preserve">190 / 215 = MIS</w:t>
            </w:r>
            <w:r>
              <w:t xml:space="preserve">; 09-Oct: </w:t>
            </w:r>
            <w:r>
              <w:rPr>
                <w:b/>
                <w:bCs/>
              </w:rPr>
              <w:t xml:space="preserve">175 / 186 = MIS</w:t>
            </w:r>
            <w:r>
              <w:t xml:space="preserve">. (The 20-07 manual sheet had included them: 337 / 319.)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 / §8 Billing filter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 the “Bill” column.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Filters the </w:t>
            </w:r>
            <w:r>
              <w:rPr>
                <w:b/>
                <w:bCs/>
              </w:rPr>
              <w:t xml:space="preserve">Bill Type</w:t>
            </w:r>
            <w:r>
              <w:t xml:space="preserve"> column.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files have both “Bill No.” and “Bill Type”; O_B / IP_D / IP_F appear only in Bill Type.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 Cash / Credit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Category = “General” → Cash.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the </w:t>
            </w:r>
            <w:r>
              <w:rPr>
                <w:b/>
                <w:bCs/>
              </w:rPr>
              <w:t xml:space="preserve">mapped bucket</w:t>
            </w:r>
            <w:r>
              <w:t xml:space="preserve"> (CAT) = General → Cash. So DEP, FDM, GNL-Aasandha, Dental PG etc. are Cash.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raw Category is literally “General”. Using the bucket reproduces Cash International exactly (₹4,64,204.98 on 20-07).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 OP billing rows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Some bill-counter blocks (e.g. Cardiology (AFC)) are exported shifted one column to the right; the app moves them back before filtering.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08-Oct OP: ₹1,10,50,188.56 → </w:t>
            </w:r>
            <w:r>
              <w:rPr>
                <w:b/>
                <w:bCs/>
              </w:rPr>
              <w:t xml:space="preserve">₹1,10,53,828.56 = MIS exactly</w:t>
            </w:r>
            <w:r>
              <w:t xml:space="preserve">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§7–§9 Billing totals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billing row is counted only once its category is mapped or reviewed, so OP + IP = Domestic + International = Cash + Credit = Total Billing always. While any billing category is waiting for review, the </w:t>
            </w:r>
            <w:r>
              <w:rPr>
                <w:b/>
                <w:bCs/>
              </w:rPr>
              <w:t xml:space="preserve">download is blocked</w:t>
            </w:r>
            <w:r>
              <w:t xml:space="preserve"> and the day is not added to month-to-date history.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Before, unmapped rows were in OP / IP / Total but missing from Domestic / International / Cash / Credit, so the totals disagreed.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§9 “Total Billing” (row 57)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Grand total of all Credit rows.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Row 57 = </w:t>
            </w:r>
            <w:r>
              <w:rPr>
                <w:b/>
                <w:bCs/>
              </w:rPr>
              <w:t xml:space="preserve">overall</w:t>
            </w:r>
            <w:r>
              <w:t xml:space="preserve"> Total Billing (Cash + Credit) = row 34 = row 39.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Confirmed by the reviewer: every manual sheet has row 57 = row 34.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§10 AEPL Billing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 the “Aims Bill Number” column for NN / NP.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Filters the </w:t>
            </w:r>
            <w:r>
              <w:rPr>
                <w:b/>
                <w:bCs/>
              </w:rPr>
              <w:t xml:space="preserve">“AEPL Bill No”</w:t>
            </w:r>
            <w:r>
              <w:t xml:space="preserve"> column for NN / NP.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NN / NP codes only appear in AEPL Bill No (e.g. “PB/NP/26/11547”; 139 rows on 08-Oct). Aims Bill Number never contains them, so the doc’s filter would remove nothing.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§11 Bed Occupancy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NURSERY, OT, Labour, Day Case A, Daycase Bed, EM Unit; sum Beds Occupied.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Same, and also removes the sheet’s own grand-total row (labelled “Total” or left blank).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Otherwise the total row is added on top of the categories and Beds Occupied doubles.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§12 Row structure</w:t>
            </w:r>
          </w:p>
        </w:tc>
        <w:tc>
          <w:tcPr>
            <w:tcW w:type="dxa" w:w="22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Row numbers to be mapped later.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computed figure is written to a fixed row (rows 4–63) of the Final output template.</w:t>
            </w:r>
          </w:p>
        </w:tc>
        <w:tc>
          <w:tcPr>
            <w:tcW w:type="dxa" w:w="28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320"/>
      </w:pPr>
      <w:r>
        <w:t xml:space="preserve">2. Rows the document left undefined (§13)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5011"/>
        <w:gridCol w:w="1929"/>
      </w:tblGrid>
      <w:tr>
        <w:trPr>
          <w:tblHeader/>
        </w:trPr>
        <w:tc>
          <w:tcPr>
            <w:tcW w:type="dxa" w:w="2698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Final output row</w:t>
            </w:r>
          </w:p>
        </w:tc>
        <w:tc>
          <w:tcPr>
            <w:tcW w:type="dxa" w:w="5011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How it is now calculated</w:t>
            </w:r>
          </w:p>
        </w:tc>
        <w:tc>
          <w:tcPr>
            <w:tcW w:type="dxa" w:w="192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Check</w:t>
            </w:r>
          </w:p>
        </w:tc>
      </w:tr>
      <w:tr>
        <w:tc>
          <w:tcPr>
            <w:tcW w:type="dxa" w:w="2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Long Stay Patients (row 29)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From the IP Discharges file: patients whose </w:t>
            </w:r>
            <w:r>
              <w:rPr>
                <w:b/>
                <w:bCs/>
              </w:rPr>
              <w:t xml:space="preserve">Days</w:t>
            </w:r>
            <w:r>
              <w:t xml:space="preserve"> value is </w:t>
            </w:r>
            <w:r>
              <w:rPr>
                <w:b/>
                <w:bCs/>
              </w:rPr>
              <w:t xml:space="preserve">more than 10</w:t>
            </w:r>
            <w:r>
              <w:t xml:space="preserve"> (exactly 10 is not long stay), counted per bucket. Admission Ward rows are excluded, which changes nothing in practice because those stays are 1–2 days.</w:t>
            </w:r>
          </w:p>
        </w:tc>
        <w:tc>
          <w:tcPr>
            <w:tcW w:type="dxa" w:w="1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08-Oct: 33 = MIS</w:t>
            </w:r>
          </w:p>
        </w:tc>
      </w:tr>
      <w:tr>
        <w:tc>
          <w:tcPr>
            <w:tcW w:type="dxa" w:w="2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Hospital Revenue (Net of AEPL) (row 63)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Written as a live Excel formula: row 57 (Total Billing) − row 60 (AEPL Billing).</w:t>
            </w:r>
          </w:p>
        </w:tc>
        <w:tc>
          <w:tcPr>
            <w:tcW w:type="dxa" w:w="1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 the doc suggested</w:t>
            </w:r>
          </w:p>
        </w:tc>
      </w:tr>
      <w:tr>
        <w:tc>
          <w:tcPr>
            <w:tcW w:type="dxa" w:w="26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Collection (INR) rows: Cash, Credit Card, Bank, Other Income, Refunds, Total Collection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 calculated.</w:t>
            </w:r>
            <w:r>
              <w:t xml:space="preserve"> They are left in the template for manual entry; the app never writes to them.</w:t>
            </w:r>
          </w:p>
        </w:tc>
        <w:tc>
          <w:tcPr>
            <w:tcW w:type="dxa" w:w="1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Still no source defined</w:t>
            </w:r>
          </w:p>
        </w:tc>
      </w:tr>
    </w:tbl>
    <w:p>
      <w:pPr>
        <w:pStyle w:val="Heading1"/>
        <w:spacing w:after="120" w:before="320"/>
      </w:pPr>
      <w:r>
        <w:t xml:space="preserve">3. Document steps not carried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Saving intermediate files</w:t>
      </w:r>
      <w:r>
        <w:t xml:space="preserve"> “Total Bill Wise dd-mm-yyyy” and “Discharge Wise dd-mm-yyyy” (§7, §8): the figures are calculated in memory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Combined billing sheet with a yellow separator row</w:t>
      </w:r>
      <w:r>
        <w:t xml:space="preserve"> (§9): OP and IP rows are combined in memory for the sums. This can be added if auditors need the intermediate files.</w:t>
      </w:r>
    </w:p>
    <w:p>
      <w:pPr>
        <w:pStyle w:val="Heading1"/>
        <w:spacing w:after="120" w:before="320"/>
      </w:pPr>
      <w:r>
        <w:t xml:space="preserve">4. Additions not in the original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file recognition.</w:t>
      </w:r>
      <w:r>
        <w:t xml:space="preserve"> The user drops in all the files (one combined workbook, separate files, or a mix); the app works out which file is which report from the sheet name and columns, and lets the user correct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 date detection</w:t>
      </w:r>
      <w:r>
        <w:t xml:space="preserve"> from the file names, or from the report contents if the names don’t say.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 check before processing.</w:t>
      </w:r>
      <w:r>
        <w:t xml:space="preserve"> If an HIS export is missing an expected column, the run stops and names the report and the missing column. The expected columns can be reset if the HIS format genuinely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Category Review screen.</w:t>
      </w:r>
      <w:r>
        <w:t xml:space="preserve"> Lists every unrecognised category value with how often it appears, and a suggested bucket where possible. Choices are remembered for future days (stored separately from the master category 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Daily Average and MTD (Proj) columns.</w:t>
      </w:r>
      <w:r>
        <w:t xml:space="preserve"> Each processed day is saved, so the workbook shows month-to-date figures. Counts and amounts are averaged and projected over the month; Beds Occupied and Occupancy % are averaged, not projected; Bed Strength stays at 1,000. Completed months are frozen as a Daily Average / MTD column 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Independent cross-check</w:t>
      </w:r>
      <w:r>
        <w:t xml:space="preserve"> of key totals after each run, for diagnostics only. It never stops a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 app.</w:t>
      </w:r>
      <w:r>
        <w:t xml:space="preserve"> The tool now runs in a browser instead of as a Windows .exe. The Final output workbook is delivered as a browser download; the “Output folder” setting has been removed.</w:t>
      </w:r>
    </w:p>
    <w:p>
      <w:pPr>
        <w:pStyle w:val="Heading1"/>
        <w:spacing w:after="120" w:before="320"/>
      </w:pPr>
      <w:r>
        <w:t xml:space="preserve">5. Category codes seen in the data but missing from the document</w:t>
      </w:r>
    </w:p>
    <w:p>
      <w:pPr>
        <w:spacing w:after="120"/>
      </w:pPr>
      <w:r>
        <w:t xml:space="preserve">HIS has started issuing FY-26 codes. These are not in the Category Codes list: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855"/>
        <w:gridCol w:w="3374"/>
      </w:tblGrid>
      <w:tr>
        <w:trPr>
          <w:tblHeader/>
        </w:trPr>
        <w:tc>
          <w:tcPr>
            <w:tcW w:type="dxa" w:w="240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Raw value</w:t>
            </w:r>
          </w:p>
        </w:tc>
        <w:tc>
          <w:tcPr>
            <w:tcW w:type="dxa" w:w="3855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Seen in</w:t>
            </w:r>
          </w:p>
        </w:tc>
        <w:tc>
          <w:tcPr>
            <w:tcW w:type="dxa" w:w="33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Current handling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CPR 26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 billing, IP Discharges</w:t>
            </w:r>
          </w:p>
        </w:tc>
        <w:tc>
          <w:tcPr>
            <w:tcW w:type="dxa" w:w="3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Corporates, Domestic (suggested in review)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TPA 26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 Admission, IP Discharges, OP and IP billing</w:t>
            </w:r>
          </w:p>
        </w:tc>
        <w:tc>
          <w:tcPr>
            <w:tcW w:type="dxa" w:w="3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TPA, Domestic (suggested in review)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CPR-SAARC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 billing</w:t>
            </w:r>
          </w:p>
        </w:tc>
        <w:tc>
          <w:tcPr>
            <w:tcW w:type="dxa" w:w="3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Corporates, International? (review, no suggestion)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DEP-Middle East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IP Admission</w:t>
            </w:r>
          </w:p>
        </w:tc>
        <w:tc>
          <w:tcPr>
            <w:tcW w:type="dxa" w:w="3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General, International? (review, no suggestion)</w:t>
            </w:r>
          </w:p>
        </w:tc>
      </w:tr>
      <w:t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labcpr25op.1, labcpr26op.1</w:t>
            </w:r>
          </w:p>
        </w:tc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 billing</w:t>
            </w:r>
          </w:p>
        </w:tc>
        <w:tc>
          <w:tcPr>
            <w:tcW w:type="dxa" w:w="3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Corporates, Domestic (counted automatically)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t xml:space="preserve">6. Open items for the report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Day-care rule:</w:t>
      </w:r>
      <w:r>
        <w:t xml:space="preserve"> confirm that “Admission Ward” patients should be left out of IP Admission / Discharges (October MIS) rather than included (20-07 manual sheet).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category codes:</w:t>
      </w:r>
      <w:r>
        <w:t xml:space="preserve"> confirm the bucket and Domestic / International for the codes in section 5, and add them to the Category Codes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Study faculty:</w:t>
      </w:r>
      <w:r>
        <w:t xml:space="preserve"> General (doc) or ECHS (20-07 manual sheet)?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09-Oct OP billing:</w:t>
      </w:r>
      <w:r>
        <w:t xml:space="preserve"> still ₹50,461.24 below the MIS, mostly in TPA. Please share the exact Total Bill Wise file the MIS was built from (likely a later re-export). The same applies to 20-07 (OP −₹22,427 / IP +₹25,485 vs the manual sheet).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12-Oct MIS sheet:</w:t>
      </w:r>
      <w:r>
        <w:t xml:space="preserve"> the raw files were received but not the MIS, so that day can’t be checked.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Collection (INR) rows:</w:t>
      </w:r>
      <w:r>
        <w:t xml:space="preserve"> sources are still undefined (doc §13).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Update the documentation</w:t>
      </w:r>
      <w:r>
        <w:t xml:space="preserve"> with the changes in sections 1–3 so it can be marked final.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12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Changes from the Original Documentation</dc:title>
  <dc:creator>Daily HIS Report Automation</dc:creator>
  <cp:lastModifiedBy>Un-named</cp:lastModifiedBy>
  <cp:revision>1</cp:revision>
  <dcterms:created xsi:type="dcterms:W3CDTF">2026-10-31T04:59:04.129Z</dcterms:created>
  <dcterms:modified xsi:type="dcterms:W3CDTF">2026-10-31T04:59:04.130Z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