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0A1B0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color w:val="1F4E79" w:themeColor="accent1" w:themeShade="8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color w:val="1F4E79" w:themeColor="accent1" w:themeShade="80"/>
          <w:sz w:val="20"/>
          <w:szCs w:val="20"/>
          <w:lang w:val="en-US"/>
        </w:rPr>
        <w:t xml:space="preserve">Summary </w:t>
      </w:r>
      <w:r>
        <w:rPr>
          <w:rFonts w:hint="default" w:ascii="Times New Roman" w:hAnsi="Times New Roman" w:cs="Times New Roman"/>
          <w:color w:val="1F4E79" w:themeColor="accent1" w:themeShade="80"/>
          <w:sz w:val="20"/>
          <w:szCs w:val="20"/>
          <w:lang w:val="en-US"/>
        </w:rPr>
        <w:t>Customer Order Details</w:t>
      </w:r>
    </w:p>
    <w:p w14:paraId="78D9873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Interpretation and Key Insights</w:t>
      </w:r>
    </w:p>
    <w:p w14:paraId="0EAD496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Based on the analysis of the customer orders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data set</w:t>
      </w:r>
      <w:r>
        <w:rPr>
          <w:rFonts w:hint="default" w:ascii="Times New Roman" w:hAnsi="Times New Roman" w:cs="Times New Roman"/>
          <w:sz w:val="20"/>
          <w:szCs w:val="20"/>
        </w:rPr>
        <w:t>, the following key business insights were identified:</w:t>
      </w:r>
    </w:p>
    <w:p w14:paraId="011ECC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The </w:t>
      </w:r>
      <w:r>
        <w:rPr>
          <w:rStyle w:val="6"/>
          <w:rFonts w:hint="default" w:ascii="Times New Roman" w:hAnsi="Times New Roman" w:cs="Times New Roman"/>
          <w:sz w:val="18"/>
          <w:szCs w:val="18"/>
        </w:rPr>
        <w:t>Corporate segment</w:t>
      </w:r>
      <w:r>
        <w:rPr>
          <w:rFonts w:hint="default" w:ascii="Times New Roman" w:hAnsi="Times New Roman" w:cs="Times New Roman"/>
          <w:sz w:val="18"/>
          <w:szCs w:val="18"/>
        </w:rPr>
        <w:t xml:space="preserve"> generated the highest revenue among all customer segments, indicating that business customers contribute significantly to overall sales performance. </w:t>
      </w:r>
    </w:p>
    <w:p w14:paraId="06F260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The </w:t>
      </w:r>
      <w:r>
        <w:rPr>
          <w:rStyle w:val="6"/>
          <w:rFonts w:hint="default" w:ascii="Times New Roman" w:hAnsi="Times New Roman" w:cs="Times New Roman"/>
          <w:sz w:val="18"/>
          <w:szCs w:val="18"/>
        </w:rPr>
        <w:t>Furniture category</w:t>
      </w:r>
      <w:r>
        <w:rPr>
          <w:rFonts w:hint="default" w:ascii="Times New Roman" w:hAnsi="Times New Roman" w:cs="Times New Roman"/>
          <w:sz w:val="18"/>
          <w:szCs w:val="18"/>
        </w:rPr>
        <w:t xml:space="preserve"> emerged as the top-performing product category, contributing the largest share of total order value and acting as the primary driver of revenue. </w:t>
      </w:r>
    </w:p>
    <w:p w14:paraId="025D05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From a regional perspective, the </w:t>
      </w:r>
      <w:r>
        <w:rPr>
          <w:rStyle w:val="6"/>
          <w:rFonts w:hint="default" w:ascii="Times New Roman" w:hAnsi="Times New Roman" w:cs="Times New Roman"/>
          <w:sz w:val="18"/>
          <w:szCs w:val="18"/>
        </w:rPr>
        <w:t>East region recorded the highest revenue</w:t>
      </w:r>
      <w:r>
        <w:rPr>
          <w:rFonts w:hint="default" w:ascii="Times New Roman" w:hAnsi="Times New Roman" w:cs="Times New Roman"/>
          <w:sz w:val="18"/>
          <w:szCs w:val="18"/>
        </w:rPr>
        <w:t xml:space="preserve">, followed by the North and South regions, while the West region showed comparatively lower performance, suggesting potential opportunities for growth in that area. </w:t>
      </w:r>
      <w:bookmarkStart w:id="0" w:name="_GoBack"/>
      <w:bookmarkEnd w:id="0"/>
    </w:p>
    <w:p w14:paraId="1FA0FA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Among all products, the </w:t>
      </w:r>
      <w:r>
        <w:rPr>
          <w:rStyle w:val="6"/>
          <w:rFonts w:hint="default" w:ascii="Times New Roman" w:hAnsi="Times New Roman" w:cs="Times New Roman"/>
          <w:sz w:val="18"/>
          <w:szCs w:val="18"/>
        </w:rPr>
        <w:t>Conference Table</w:t>
      </w:r>
      <w:r>
        <w:rPr>
          <w:rFonts w:hint="default" w:ascii="Times New Roman" w:hAnsi="Times New Roman" w:cs="Times New Roman"/>
          <w:sz w:val="18"/>
          <w:szCs w:val="18"/>
        </w:rPr>
        <w:t xml:space="preserve"> generated the highest revenue, followed by Meeting Table and Executive Chair, highlighting strong demand for premium office furniture products. </w:t>
      </w:r>
    </w:p>
    <w:p w14:paraId="207B02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Monthly trend analysis shows that </w:t>
      </w:r>
      <w:r>
        <w:rPr>
          <w:rStyle w:val="6"/>
          <w:rFonts w:hint="default" w:ascii="Times New Roman" w:hAnsi="Times New Roman" w:cs="Times New Roman"/>
          <w:sz w:val="18"/>
          <w:szCs w:val="18"/>
        </w:rPr>
        <w:t>March recorded the highest total revenue</w:t>
      </w:r>
      <w:r>
        <w:rPr>
          <w:rFonts w:hint="default" w:ascii="Times New Roman" w:hAnsi="Times New Roman" w:cs="Times New Roman"/>
          <w:sz w:val="18"/>
          <w:szCs w:val="18"/>
        </w:rPr>
        <w:t>, followed by September and October, indicating noticeable fluctuations in sales performance across different months and suggesting possible seasonal demand patterns.</w:t>
      </w:r>
    </w:p>
    <w:p w14:paraId="47C60F5E">
      <w:pPr>
        <w:rPr>
          <w:rFonts w:hint="default" w:ascii="Times New Roman" w:hAnsi="Times New Roman" w:cs="Times New Roman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Gadugi">
    <w:panose1 w:val="020B0502040204020203"/>
    <w:charset w:val="00"/>
    <w:family w:val="auto"/>
    <w:pitch w:val="default"/>
    <w:sig w:usb0="80000003" w:usb1="02000000" w:usb2="00003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0DC2FD"/>
    <w:multiLevelType w:val="multilevel"/>
    <w:tmpl w:val="E00DC2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21E"/>
    <w:rsid w:val="0085435B"/>
    <w:rsid w:val="009623BF"/>
    <w:rsid w:val="00A3521E"/>
    <w:rsid w:val="7664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2026-04-08T12:38:00Z</dcterms:created>
  <dc:creator>NEW</dc:creator>
  <cp:lastModifiedBy>AMRITHA SELLADURAI</cp:lastModifiedBy>
  <dcterms:modified xsi:type="dcterms:W3CDTF">2026-04-09T11:46:03Z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eyJoZGlkIjoiN2ZiMWU4NjE2ZThjZWFmNTIyNjY1N2Y2MGM4NGU0YzgiLCJ1c2VySWQiOiI1Njc2MjcyNTE0MzgifQ==</vt:lpwstr>
  </property>
  <property fmtid="{D5CDD505-2E9C-101B-9397-08002B2CF9AE}" pid="3" name="KSOProductBuildVer">
    <vt:lpwstr>1033-12.1.0.25242</vt:lpwstr>
  </property>
  <property fmtid="{D5CDD505-2E9C-101B-9397-08002B2CF9AE}" pid="4" name="ICV">
    <vt:lpwstr>75175922BB454D519A19C6A6AB0E54B1_12</vt:lpwstr>
  </property>
</Properties>
</file>