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520"/>
        <w:jc w:val="center"/>
      </w:pPr>
      <w:r>
        <w:rPr>
          <w:b w:val="0"/>
          <w:i/>
          <w:color w:val="5A5852"/>
          <w:sz w:val="22"/>
        </w:rPr>
        <w:t>Literature Survey</w:t>
      </w:r>
    </w:p>
    <w:p>
      <w:pPr>
        <w:spacing w:after="200"/>
        <w:jc w:val="center"/>
      </w:pPr>
      <w:r>
        <w:rPr>
          <w:rFonts w:ascii="Cambria" w:hAnsi="Cambria"/>
          <w:b/>
          <w:sz w:val="42"/>
        </w:rPr>
        <w:t>Disentangling Localization from Editing in Instruction-Guided Image Manipulation</w:t>
      </w:r>
    </w:p>
    <w:p>
      <w:pPr>
        <w:spacing w:after="800"/>
        <w:jc w:val="center"/>
      </w:pPr>
      <w:r>
        <w:rPr>
          <w:b w:val="0"/>
          <w:i/>
          <w:color w:val="5A5852"/>
          <w:sz w:val="25"/>
        </w:rPr>
        <w:t>A survey of forty-five works, 2024–2026, on predicting where an instruction requires an edit</w:t>
      </w:r>
    </w:p>
    <w:p>
      <w:pPr>
        <w:spacing w:after="60"/>
        <w:jc w:val="center"/>
      </w:pPr>
      <w:r>
        <w:rPr>
          <w:b w:val="0"/>
          <w:i w:val="0"/>
          <w:sz w:val="24"/>
        </w:rPr>
        <w:t>Amritha S    23BEC1368</w:t>
      </w:r>
    </w:p>
    <w:p>
      <w:pPr>
        <w:spacing w:after="60"/>
        <w:jc w:val="center"/>
      </w:pPr>
      <w:r>
        <w:rPr>
          <w:b w:val="0"/>
          <w:i w:val="0"/>
          <w:sz w:val="24"/>
        </w:rPr>
        <w:t>Yugeshwaran P    23BEC1404</w:t>
      </w:r>
    </w:p>
    <w:p>
      <w:pPr>
        <w:spacing w:after="60"/>
        <w:jc w:val="center"/>
      </w:pPr>
      <w:r>
        <w:rPr>
          <w:b w:val="0"/>
          <w:i w:val="0"/>
          <w:sz w:val="12"/>
        </w:rPr>
      </w:r>
    </w:p>
    <w:p>
      <w:pPr>
        <w:spacing w:after="60"/>
        <w:jc w:val="center"/>
      </w:pPr>
      <w:r>
        <w:rPr>
          <w:b w:val="0"/>
          <w:i/>
          <w:sz w:val="22"/>
        </w:rPr>
        <w:t>Guide: Dr. Saranya M (54783)</w:t>
      </w:r>
    </w:p>
    <w:p>
      <w:pPr>
        <w:spacing w:after="60"/>
        <w:jc w:val="center"/>
      </w:pPr>
      <w:r>
        <w:rPr>
          <w:b w:val="0"/>
          <w:i/>
          <w:sz w:val="22"/>
        </w:rPr>
        <w:t>School of Electronics Engineering</w:t>
      </w:r>
    </w:p>
    <w:p>
      <w:pPr>
        <w:spacing w:after="60"/>
        <w:jc w:val="center"/>
      </w:pPr>
      <w:r>
        <w:rPr>
          <w:b w:val="0"/>
          <w:i/>
          <w:sz w:val="22"/>
        </w:rPr>
        <w:t>Vellore Institute of Technology, Chennai</w:t>
      </w:r>
    </w:p>
    <w:p>
      <w:pPr>
        <w:spacing w:after="60"/>
        <w:jc w:val="center"/>
      </w:pPr>
      <w:r>
        <w:rPr>
          <w:b w:val="0"/>
          <w:i w:val="0"/>
          <w:sz w:val="12"/>
        </w:rPr>
      </w:r>
    </w:p>
    <w:p>
      <w:pPr>
        <w:spacing w:after="60"/>
        <w:jc w:val="center"/>
      </w:pPr>
      <w:r>
        <w:rPr>
          <w:b w:val="0"/>
          <w:i w:val="0"/>
          <w:sz w:val="22"/>
        </w:rPr>
        <w:t>Foundations of Data Science — Review 1</w:t>
      </w:r>
    </w:p>
    <w:p>
      <w:pPr>
        <w:spacing w:after="60"/>
        <w:jc w:val="center"/>
      </w:pPr>
      <w:r>
        <w:rPr>
          <w:b w:val="0"/>
          <w:i w:val="0"/>
          <w:sz w:val="22"/>
        </w:rPr>
        <w:t>14 September 2026</w:t>
      </w:r>
    </w:p>
    <w:p>
      <w:r>
        <w:br w:type="page"/>
      </w:r>
    </w:p>
    <w:p>
      <w:pPr>
        <w:spacing w:after="200"/>
      </w:pPr>
      <w:r>
        <w:rPr>
          <w:b/>
          <w:sz w:val="24"/>
        </w:rPr>
        <w:t>CONTENTS</w:t>
      </w:r>
    </w:p>
    <w:p>
      <w:pPr>
        <w:spacing w:after="40"/>
        <w:ind w:left="0"/>
      </w:pPr>
      <w:r>
        <w:rPr>
          <w:b/>
          <w:sz w:val="21"/>
        </w:rPr>
        <w:t xml:space="preserve">1   </w:t>
      </w:r>
      <w:r>
        <w:rPr>
          <w:b/>
          <w:sz w:val="21"/>
        </w:rPr>
        <w:t>Scope and Selection Criteria</w:t>
      </w:r>
    </w:p>
    <w:p>
      <w:pPr>
        <w:spacing w:after="40"/>
        <w:ind w:left="0"/>
      </w:pPr>
      <w:r>
        <w:rPr>
          <w:b/>
          <w:sz w:val="21"/>
        </w:rPr>
        <w:t xml:space="preserve">2   </w:t>
      </w:r>
      <w:r>
        <w:rPr>
          <w:b/>
          <w:sz w:val="21"/>
        </w:rPr>
        <w:t>Classification of the Field</w:t>
      </w:r>
    </w:p>
    <w:p>
      <w:pPr>
        <w:spacing w:after="40"/>
        <w:ind w:left="0"/>
      </w:pPr>
      <w:r>
        <w:rPr>
          <w:b/>
          <w:sz w:val="21"/>
        </w:rPr>
        <w:t xml:space="preserve">3   </w:t>
      </w:r>
      <w:r>
        <w:rPr>
          <w:b/>
          <w:sz w:val="21"/>
        </w:rPr>
        <w:t>Edit localization</w:t>
      </w:r>
    </w:p>
    <w:p>
      <w:pPr>
        <w:spacing w:after="40"/>
        <w:ind w:left="0"/>
      </w:pPr>
      <w:r>
        <w:rPr>
          <w:b/>
          <w:sz w:val="21"/>
        </w:rPr>
        <w:t xml:space="preserve">4   </w:t>
      </w:r>
      <w:r>
        <w:rPr>
          <w:b/>
          <w:sz w:val="21"/>
        </w:rPr>
        <w:t>Instruction editors</w:t>
      </w:r>
    </w:p>
    <w:p>
      <w:pPr>
        <w:spacing w:after="40"/>
        <w:ind w:left="0"/>
      </w:pPr>
      <w:r>
        <w:rPr>
          <w:b/>
          <w:sz w:val="21"/>
        </w:rPr>
        <w:t xml:space="preserve">5   </w:t>
      </w:r>
      <w:r>
        <w:rPr>
          <w:b/>
          <w:sz w:val="21"/>
        </w:rPr>
        <w:t>Insertion and affordance</w:t>
      </w:r>
    </w:p>
    <w:p>
      <w:pPr>
        <w:spacing w:after="40"/>
        <w:ind w:left="0"/>
      </w:pPr>
      <w:r>
        <w:rPr>
          <w:b/>
          <w:sz w:val="21"/>
        </w:rPr>
        <w:t xml:space="preserve">6   </w:t>
      </w:r>
      <w:r>
        <w:rPr>
          <w:b/>
          <w:sz w:val="21"/>
        </w:rPr>
        <w:t>Region-aware efficiency</w:t>
      </w:r>
    </w:p>
    <w:p>
      <w:pPr>
        <w:spacing w:after="40"/>
        <w:ind w:left="0"/>
      </w:pPr>
      <w:r>
        <w:rPr>
          <w:b/>
          <w:sz w:val="21"/>
        </w:rPr>
        <w:t xml:space="preserve">7   </w:t>
      </w:r>
      <w:r>
        <w:rPr>
          <w:b/>
          <w:sz w:val="21"/>
        </w:rPr>
        <w:t>Text-guided segmentation</w:t>
      </w:r>
    </w:p>
    <w:p>
      <w:pPr>
        <w:spacing w:after="40"/>
        <w:ind w:left="0"/>
      </w:pPr>
      <w:r>
        <w:rPr>
          <w:b/>
          <w:sz w:val="21"/>
        </w:rPr>
        <w:t xml:space="preserve">8   </w:t>
      </w:r>
      <w:r>
        <w:rPr>
          <w:b/>
          <w:sz w:val="21"/>
        </w:rPr>
        <w:t>Benchmarks and metrics</w:t>
      </w:r>
    </w:p>
    <w:p>
      <w:pPr>
        <w:spacing w:after="40"/>
        <w:ind w:left="0"/>
      </w:pPr>
      <w:r>
        <w:rPr>
          <w:b/>
          <w:sz w:val="21"/>
        </w:rPr>
        <w:t xml:space="preserve">9   </w:t>
      </w:r>
      <w:r>
        <w:rPr>
          <w:b/>
          <w:sz w:val="21"/>
        </w:rPr>
        <w:t>Planning and reasoning</w:t>
      </w:r>
    </w:p>
    <w:p>
      <w:pPr>
        <w:spacing w:after="40"/>
        <w:ind w:left="0"/>
      </w:pPr>
      <w:r>
        <w:rPr>
          <w:b/>
          <w:sz w:val="21"/>
        </w:rPr>
        <w:t xml:space="preserve">10   </w:t>
      </w:r>
      <w:r>
        <w:rPr>
          <w:b/>
          <w:sz w:val="21"/>
        </w:rPr>
        <w:t>Structured scene representations</w:t>
      </w:r>
    </w:p>
    <w:p>
      <w:pPr>
        <w:spacing w:after="40"/>
        <w:ind w:left="0"/>
      </w:pPr>
      <w:r>
        <w:rPr>
          <w:b/>
          <w:sz w:val="21"/>
        </w:rPr>
        <w:t xml:space="preserve">11   </w:t>
      </w:r>
      <w:r>
        <w:rPr>
          <w:b/>
          <w:sz w:val="21"/>
        </w:rPr>
        <w:t>Surveys</w:t>
      </w:r>
    </w:p>
    <w:p>
      <w:pPr>
        <w:spacing w:after="40"/>
        <w:ind w:left="0"/>
      </w:pPr>
      <w:r>
        <w:rPr>
          <w:b/>
          <w:sz w:val="21"/>
        </w:rPr>
        <w:t xml:space="preserve">12   </w:t>
      </w:r>
      <w:r>
        <w:rPr>
          <w:b/>
          <w:sz w:val="21"/>
        </w:rPr>
        <w:t>Identified Research Gaps</w:t>
      </w:r>
    </w:p>
    <w:p>
      <w:pPr>
        <w:spacing w:after="40"/>
        <w:ind w:left="0"/>
      </w:pPr>
      <w:r>
        <w:rPr>
          <w:b/>
          <w:sz w:val="21"/>
        </w:rPr>
        <w:t xml:space="preserve">13   </w:t>
      </w:r>
      <w:r>
        <w:rPr>
          <w:b/>
          <w:sz w:val="21"/>
        </w:rPr>
        <w:t>Proposed Mitigations and Outcomes</w:t>
      </w:r>
    </w:p>
    <w:p>
      <w:pPr>
        <w:spacing w:after="40"/>
        <w:ind w:left="0"/>
      </w:pPr>
      <w:r>
        <w:rPr>
          <w:b/>
          <w:sz w:val="21"/>
        </w:rPr>
        <w:t xml:space="preserve">14   </w:t>
      </w:r>
      <w:r>
        <w:rPr>
          <w:b/>
          <w:sz w:val="21"/>
        </w:rPr>
        <w:t>Quantitative Positioning</w:t>
      </w:r>
    </w:p>
    <w:p>
      <w:pPr>
        <w:spacing w:after="40"/>
        <w:ind w:left="0"/>
      </w:pPr>
      <w:r>
        <w:rPr>
          <w:b/>
          <w:sz w:val="21"/>
        </w:rPr>
        <w:t xml:space="preserve">15   </w:t>
      </w:r>
      <w:r>
        <w:rPr>
          <w:b/>
          <w:sz w:val="21"/>
        </w:rPr>
        <w:t>Where the Cost Actually Falls</w:t>
      </w:r>
    </w:p>
    <w:p>
      <w:pPr>
        <w:spacing w:after="40"/>
        <w:ind w:left="0"/>
      </w:pPr>
      <w:r>
        <w:rPr>
          <w:b/>
          <w:sz w:val="21"/>
        </w:rPr>
        <w:t xml:space="preserve">16   </w:t>
      </w:r>
      <w:r>
        <w:rPr>
          <w:b/>
          <w:sz w:val="21"/>
        </w:rPr>
        <w:t>What Others Optimise</w:t>
      </w:r>
    </w:p>
    <w:p>
      <w:pPr>
        <w:spacing w:after="40"/>
        <w:ind w:left="0"/>
      </w:pPr>
      <w:r>
        <w:rPr>
          <w:b/>
          <w:sz w:val="21"/>
        </w:rPr>
        <w:t xml:space="preserve">17   </w:t>
      </w:r>
      <w:r>
        <w:rPr>
          <w:b/>
          <w:sz w:val="21"/>
        </w:rPr>
        <w:t>Base Paper</w:t>
      </w:r>
    </w:p>
    <w:p>
      <w:pPr>
        <w:spacing w:after="40"/>
        <w:ind w:left="0"/>
      </w:pPr>
      <w:r>
        <w:rPr>
          <w:b/>
          <w:sz w:val="21"/>
        </w:rPr>
        <w:t xml:space="preserve">18   </w:t>
      </w:r>
      <w:r>
        <w:rPr>
          <w:b/>
          <w:sz w:val="21"/>
        </w:rPr>
        <w:t>References</w:t>
      </w:r>
    </w:p>
    <w:p>
      <w:r>
        <w:br w:type="page"/>
      </w:r>
    </w:p>
    <w:p>
      <w:pPr>
        <w:pStyle w:val="Heading1"/>
      </w:pPr>
      <w:r>
        <w:t>1  Scope and Selection Criteria</w:t>
      </w:r>
    </w:p>
    <w:p>
      <w:pPr>
        <w:spacing w:after="120"/>
        <w:jc w:val="both"/>
      </w:pPr>
      <w:r>
        <w:rPr>
          <w:b w:val="0"/>
          <w:i w:val="0"/>
          <w:sz w:val="22"/>
        </w:rPr>
        <w:t>We included work that bears on the question of where an instruction-guided edit should be applied: editors whose localization is implicit, methods that read or consume regions, insertion and affordance work, text-guided segmentation, benchmarks, and surveys framing the area. We also included patents that claim region generation, since the commercial position is material to an argument for novelty.</w:t>
      </w:r>
    </w:p>
    <w:p>
      <w:pPr>
        <w:spacing w:after="120"/>
        <w:jc w:val="both"/>
      </w:pPr>
      <w:r>
        <w:rPr>
          <w:b w:val="0"/>
          <w:i w:val="0"/>
          <w:sz w:val="22"/>
        </w:rPr>
        <w:t>Every work is dated 2024 or later, a three-year window as of September 2026. Two foundational works fall outside this window and are cited as method components rather than as related work: FastSAM (2023), whose prototypes form the basis over which the present head predicts coefficients, and LISA (2023), which established reasoning segmentation. Excluding them from the survey preserves the stated window.</w:t>
      </w:r>
    </w:p>
    <w:p>
      <w:pPr>
        <w:spacing w:after="120"/>
        <w:jc w:val="both"/>
      </w:pPr>
      <w:r>
        <w:rPr>
          <w:b w:val="0"/>
          <w:i w:val="0"/>
          <w:sz w:val="22"/>
        </w:rPr>
        <w:t>We scored each entry from 1 to 5, where 5 means a work that defines the problem, bounds it, or constitutes a direct comparison. Sixteen of the forty-five qualify. All links resolve and 42 PDFs are archived with the matrix.</w:t>
      </w:r>
    </w:p>
    <w:p>
      <w:pPr>
        <w:spacing w:after="60"/>
      </w:pPr>
      <w:r>
        <w:rPr>
          <w:i/>
          <w:color w:val="5A5852"/>
          <w:sz w:val="19"/>
        </w:rPr>
        <w:t>Table 1. Distribution by publication year.</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2016"/>
            <w:tcBorders>
              <w:bottom w:val="single" w:sz="6" w:color="1B1A17"/>
            </w:tcBorders>
          </w:tcPr>
          <w:p>
            <w:pPr>
              <w:spacing w:before="40" w:after="40"/>
              <w:jc w:val="left"/>
            </w:pPr>
            <w:r/>
            <w:r>
              <w:rPr>
                <w:rFonts w:ascii="Cambria" w:hAnsi="Cambria"/>
                <w:b/>
                <w:sz w:val="19"/>
              </w:rPr>
              <w:t>Year</w:t>
            </w:r>
          </w:p>
        </w:tc>
        <w:tc>
          <w:tcPr>
            <w:tcW w:type="dxa" w:w="1440"/>
            <w:tcBorders>
              <w:bottom w:val="single" w:sz="6" w:color="1B1A17"/>
            </w:tcBorders>
          </w:tcPr>
          <w:p>
            <w:pPr>
              <w:spacing w:before="40" w:after="40"/>
              <w:jc w:val="right"/>
            </w:pPr>
            <w:r/>
            <w:r>
              <w:rPr>
                <w:rFonts w:ascii="Cambria" w:hAnsi="Cambria"/>
                <w:b/>
                <w:sz w:val="19"/>
              </w:rPr>
              <w:t>Works</w:t>
            </w:r>
          </w:p>
        </w:tc>
      </w:tr>
      <w:tr>
        <w:tc>
          <w:tcPr>
            <w:tcW w:type="dxa" w:w="2016"/>
          </w:tcPr>
          <w:p>
            <w:pPr>
              <w:spacing w:before="40" w:after="40"/>
              <w:jc w:val="left"/>
            </w:pPr>
            <w:r/>
            <w:r>
              <w:rPr>
                <w:rFonts w:ascii="Cambria" w:hAnsi="Cambria"/>
                <w:b w:val="0"/>
                <w:sz w:val="19"/>
              </w:rPr>
              <w:t>2024</w:t>
            </w:r>
          </w:p>
        </w:tc>
        <w:tc>
          <w:tcPr>
            <w:tcW w:type="dxa" w:w="1440"/>
          </w:tcPr>
          <w:p>
            <w:pPr>
              <w:spacing w:before="40" w:after="40"/>
              <w:jc w:val="right"/>
            </w:pPr>
            <w:r/>
            <w:r>
              <w:rPr>
                <w:rFonts w:ascii="Cambria" w:hAnsi="Cambria"/>
                <w:b w:val="0"/>
                <w:sz w:val="19"/>
              </w:rPr>
              <w:t>6</w:t>
            </w:r>
          </w:p>
        </w:tc>
      </w:tr>
      <w:tr>
        <w:tc>
          <w:tcPr>
            <w:tcW w:type="dxa" w:w="2016"/>
          </w:tcPr>
          <w:p>
            <w:pPr>
              <w:spacing w:before="40" w:after="40"/>
              <w:jc w:val="left"/>
            </w:pPr>
            <w:r/>
            <w:r>
              <w:rPr>
                <w:rFonts w:ascii="Cambria" w:hAnsi="Cambria"/>
                <w:b w:val="0"/>
                <w:sz w:val="19"/>
              </w:rPr>
              <w:t>2025</w:t>
            </w:r>
          </w:p>
        </w:tc>
        <w:tc>
          <w:tcPr>
            <w:tcW w:type="dxa" w:w="1440"/>
          </w:tcPr>
          <w:p>
            <w:pPr>
              <w:spacing w:before="40" w:after="40"/>
              <w:jc w:val="right"/>
            </w:pPr>
            <w:r/>
            <w:r>
              <w:rPr>
                <w:rFonts w:ascii="Cambria" w:hAnsi="Cambria"/>
                <w:b w:val="0"/>
                <w:sz w:val="19"/>
              </w:rPr>
              <w:t>20</w:t>
            </w:r>
          </w:p>
        </w:tc>
      </w:tr>
      <w:tr>
        <w:tc>
          <w:tcPr>
            <w:tcW w:type="dxa" w:w="2016"/>
          </w:tcPr>
          <w:p>
            <w:pPr>
              <w:spacing w:before="40" w:after="40"/>
              <w:jc w:val="left"/>
            </w:pPr>
            <w:r/>
            <w:r>
              <w:rPr>
                <w:rFonts w:ascii="Cambria" w:hAnsi="Cambria"/>
                <w:b w:val="0"/>
                <w:sz w:val="19"/>
              </w:rPr>
              <w:t>2026</w:t>
            </w:r>
          </w:p>
        </w:tc>
        <w:tc>
          <w:tcPr>
            <w:tcW w:type="dxa" w:w="1440"/>
          </w:tcPr>
          <w:p>
            <w:pPr>
              <w:spacing w:before="40" w:after="40"/>
              <w:jc w:val="right"/>
            </w:pPr>
            <w:r/>
            <w:r>
              <w:rPr>
                <w:rFonts w:ascii="Cambria" w:hAnsi="Cambria"/>
                <w:b w:val="0"/>
                <w:sz w:val="19"/>
              </w:rPr>
              <w:t>19</w:t>
            </w:r>
          </w:p>
        </w:tc>
      </w:tr>
    </w:tbl>
    <w:p>
      <w:pPr>
        <w:spacing w:after="80"/>
      </w:pPr>
    </w:p>
    <w:p>
      <w:pPr>
        <w:spacing w:after="120"/>
        <w:jc w:val="both"/>
      </w:pPr>
      <w:r>
        <w:rPr>
          <w:b w:val="0"/>
          <w:i w:val="0"/>
          <w:sz w:val="22"/>
        </w:rPr>
        <w:t>Thirty-nine of forty-five works date from 2025 or 2026, indicating an actively worked area. This is simultaneously an argument for the relevance of the project and a constraint on any claim of novelty.</w:t>
      </w:r>
    </w:p>
    <w:p>
      <w:pPr>
        <w:pStyle w:val="Heading1"/>
      </w:pPr>
      <w:r>
        <w:t>2  Classification of the Field</w:t>
      </w:r>
    </w:p>
    <w:p>
      <w:pPr>
        <w:spacing w:after="120"/>
        <w:jc w:val="both"/>
      </w:pPr>
      <w:r>
        <w:rPr>
          <w:b w:val="0"/>
          <w:i w:val="0"/>
          <w:sz w:val="22"/>
        </w:rPr>
        <w:t>Classifying the works by what each does with the edit region, not by venue or method, gives a clearer account than a chronological reading. Three positions account for almost all of them.</w:t>
      </w:r>
    </w:p>
    <w:p>
      <w:pPr>
        <w:spacing w:after="60"/>
      </w:pPr>
      <w:r>
        <w:rPr>
          <w:i/>
          <w:color w:val="5A5852"/>
          <w:sz w:val="19"/>
        </w:rPr>
        <w:t>Table 2. The forty-five works classified by treatment of the edit region.</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3312"/>
            <w:tcBorders>
              <w:bottom w:val="single" w:sz="6" w:color="1B1A17"/>
            </w:tcBorders>
          </w:tcPr>
          <w:p>
            <w:pPr>
              <w:spacing w:before="40" w:after="40"/>
              <w:jc w:val="left"/>
            </w:pPr>
            <w:r/>
            <w:r>
              <w:rPr>
                <w:rFonts w:ascii="Cambria" w:hAnsi="Cambria"/>
                <w:b/>
                <w:sz w:val="19"/>
              </w:rPr>
              <w:t>Position</w:t>
            </w:r>
          </w:p>
        </w:tc>
        <w:tc>
          <w:tcPr>
            <w:tcW w:type="dxa" w:w="1008"/>
            <w:tcBorders>
              <w:bottom w:val="single" w:sz="6" w:color="1B1A17"/>
            </w:tcBorders>
          </w:tcPr>
          <w:p>
            <w:pPr>
              <w:spacing w:before="40" w:after="40"/>
              <w:jc w:val="right"/>
            </w:pPr>
            <w:r/>
            <w:r>
              <w:rPr>
                <w:rFonts w:ascii="Cambria" w:hAnsi="Cambria"/>
                <w:b/>
                <w:sz w:val="19"/>
              </w:rPr>
              <w:t>Works</w:t>
            </w:r>
          </w:p>
        </w:tc>
        <w:tc>
          <w:tcPr>
            <w:tcW w:type="dxa" w:w="2592"/>
            <w:tcBorders>
              <w:bottom w:val="single" w:sz="6" w:color="1B1A17"/>
            </w:tcBorders>
          </w:tcPr>
          <w:p>
            <w:pPr>
              <w:spacing w:before="40" w:after="40"/>
              <w:jc w:val="right"/>
            </w:pPr>
            <w:r/>
            <w:r>
              <w:rPr>
                <w:rFonts w:ascii="Cambria" w:hAnsi="Cambria"/>
                <w:b/>
                <w:sz w:val="19"/>
              </w:rPr>
              <w:t>Representative</w:t>
            </w:r>
          </w:p>
        </w:tc>
        <w:tc>
          <w:tcPr>
            <w:tcW w:type="dxa" w:w="2880"/>
            <w:tcBorders>
              <w:bottom w:val="single" w:sz="6" w:color="1B1A17"/>
            </w:tcBorders>
          </w:tcPr>
          <w:p>
            <w:pPr>
              <w:spacing w:before="40" w:after="40"/>
              <w:jc w:val="right"/>
            </w:pPr>
            <w:r/>
            <w:r>
              <w:rPr>
                <w:rFonts w:ascii="Cambria" w:hAnsi="Cambria"/>
                <w:b/>
                <w:sz w:val="19"/>
              </w:rPr>
              <w:t>Implication</w:t>
            </w:r>
          </w:p>
        </w:tc>
      </w:tr>
      <w:tr>
        <w:tc>
          <w:tcPr>
            <w:tcW w:type="dxa" w:w="3312"/>
          </w:tcPr>
          <w:p>
            <w:pPr>
              <w:spacing w:before="40" w:after="40"/>
              <w:jc w:val="left"/>
            </w:pPr>
            <w:r/>
            <w:r>
              <w:rPr>
                <w:rFonts w:ascii="Cambria" w:hAnsi="Cambria"/>
                <w:b w:val="0"/>
                <w:sz w:val="19"/>
              </w:rPr>
              <w:t>Consumes a region supplied to it</w:t>
            </w:r>
          </w:p>
        </w:tc>
        <w:tc>
          <w:tcPr>
            <w:tcW w:type="dxa" w:w="1008"/>
          </w:tcPr>
          <w:p>
            <w:pPr>
              <w:spacing w:before="40" w:after="40"/>
              <w:jc w:val="right"/>
            </w:pPr>
            <w:r/>
            <w:r>
              <w:rPr>
                <w:rFonts w:ascii="Cambria" w:hAnsi="Cambria"/>
                <w:b w:val="0"/>
                <w:sz w:val="19"/>
              </w:rPr>
              <w:t>17</w:t>
            </w:r>
          </w:p>
        </w:tc>
        <w:tc>
          <w:tcPr>
            <w:tcW w:type="dxa" w:w="2592"/>
          </w:tcPr>
          <w:p>
            <w:pPr>
              <w:spacing w:before="40" w:after="40"/>
              <w:jc w:val="right"/>
            </w:pPr>
            <w:r/>
            <w:r>
              <w:rPr>
                <w:rFonts w:ascii="Cambria" w:hAnsi="Cambria"/>
                <w:b w:val="0"/>
                <w:sz w:val="19"/>
              </w:rPr>
              <w:t>NEP, MaskFlow, LazyDiffusion</w:t>
            </w:r>
          </w:p>
        </w:tc>
        <w:tc>
          <w:tcPr>
            <w:tcW w:type="dxa" w:w="2880"/>
          </w:tcPr>
          <w:p>
            <w:pPr>
              <w:spacing w:before="40" w:after="40"/>
              <w:jc w:val="right"/>
            </w:pPr>
            <w:r/>
            <w:r>
              <w:rPr>
                <w:rFonts w:ascii="Cambria" w:hAnsi="Cambria"/>
                <w:b w:val="0"/>
                <w:sz w:val="19"/>
              </w:rPr>
              <w:t>Demand established; supply assumed</w:t>
            </w:r>
          </w:p>
        </w:tc>
      </w:tr>
      <w:tr>
        <w:tc>
          <w:tcPr>
            <w:tcW w:type="dxa" w:w="3312"/>
          </w:tcPr>
          <w:p>
            <w:pPr>
              <w:spacing w:before="40" w:after="40"/>
              <w:jc w:val="left"/>
            </w:pPr>
            <w:r/>
            <w:r>
              <w:rPr>
                <w:rFonts w:ascii="Cambria" w:hAnsi="Cambria"/>
                <w:b w:val="0"/>
                <w:sz w:val="19"/>
              </w:rPr>
              <w:t>Reads a region from model internals</w:t>
            </w:r>
          </w:p>
        </w:tc>
        <w:tc>
          <w:tcPr>
            <w:tcW w:type="dxa" w:w="1008"/>
          </w:tcPr>
          <w:p>
            <w:pPr>
              <w:spacing w:before="40" w:after="40"/>
              <w:jc w:val="right"/>
            </w:pPr>
            <w:r/>
            <w:r>
              <w:rPr>
                <w:rFonts w:ascii="Cambria" w:hAnsi="Cambria"/>
                <w:b w:val="0"/>
                <w:sz w:val="19"/>
              </w:rPr>
              <w:t>11</w:t>
            </w:r>
          </w:p>
        </w:tc>
        <w:tc>
          <w:tcPr>
            <w:tcW w:type="dxa" w:w="2592"/>
          </w:tcPr>
          <w:p>
            <w:pPr>
              <w:spacing w:before="40" w:after="40"/>
              <w:jc w:val="right"/>
            </w:pPr>
            <w:r/>
            <w:r>
              <w:rPr>
                <w:rFonts w:ascii="Cambria" w:hAnsi="Cambria"/>
                <w:b w:val="0"/>
                <w:sz w:val="19"/>
              </w:rPr>
              <w:t>WhereEdit, RegionE</w:t>
            </w:r>
          </w:p>
        </w:tc>
        <w:tc>
          <w:tcPr>
            <w:tcW w:type="dxa" w:w="2880"/>
          </w:tcPr>
          <w:p>
            <w:pPr>
              <w:spacing w:before="40" w:after="40"/>
              <w:jc w:val="right"/>
            </w:pPr>
            <w:r/>
            <w:r>
              <w:rPr>
                <w:rFonts w:ascii="Cambria" w:hAnsi="Cambria"/>
                <w:b w:val="0"/>
                <w:sz w:val="19"/>
              </w:rPr>
              <w:t>Unsupervised; blind to empty space</w:t>
            </w:r>
          </w:p>
        </w:tc>
      </w:tr>
      <w:tr>
        <w:tc>
          <w:tcPr>
            <w:tcW w:type="dxa" w:w="3312"/>
          </w:tcPr>
          <w:p>
            <w:pPr>
              <w:spacing w:before="40" w:after="40"/>
              <w:jc w:val="left"/>
            </w:pPr>
            <w:r/>
            <w:r>
              <w:rPr>
                <w:rFonts w:ascii="Cambria" w:hAnsi="Cambria"/>
                <w:b/>
                <w:sz w:val="19"/>
              </w:rPr>
              <w:t>Predicts a region from the instruction</w:t>
            </w:r>
          </w:p>
        </w:tc>
        <w:tc>
          <w:tcPr>
            <w:tcW w:type="dxa" w:w="1008"/>
          </w:tcPr>
          <w:p>
            <w:pPr>
              <w:spacing w:before="40" w:after="40"/>
              <w:jc w:val="right"/>
            </w:pPr>
            <w:r/>
            <w:r>
              <w:rPr>
                <w:rFonts w:ascii="Cambria" w:hAnsi="Cambria"/>
                <w:b/>
                <w:sz w:val="19"/>
              </w:rPr>
              <w:t>2</w:t>
            </w:r>
          </w:p>
        </w:tc>
        <w:tc>
          <w:tcPr>
            <w:tcW w:type="dxa" w:w="2592"/>
          </w:tcPr>
          <w:p>
            <w:pPr>
              <w:spacing w:before="40" w:after="40"/>
              <w:jc w:val="right"/>
            </w:pPr>
            <w:r/>
            <w:r>
              <w:rPr>
                <w:rFonts w:ascii="Cambria" w:hAnsi="Cambria"/>
                <w:b/>
                <w:sz w:val="19"/>
              </w:rPr>
              <w:t>AdaptEdit, MADiff</w:t>
            </w:r>
          </w:p>
        </w:tc>
        <w:tc>
          <w:tcPr>
            <w:tcW w:type="dxa" w:w="2880"/>
          </w:tcPr>
          <w:p>
            <w:pPr>
              <w:spacing w:before="40" w:after="40"/>
              <w:jc w:val="right"/>
            </w:pPr>
            <w:r/>
            <w:r>
              <w:rPr>
                <w:rFonts w:ascii="Cambria" w:hAnsi="Cambria"/>
                <w:b/>
                <w:sz w:val="19"/>
              </w:rPr>
              <w:t>The formulation adopted here</w:t>
            </w:r>
          </w:p>
        </w:tc>
      </w:tr>
      <w:tr>
        <w:tc>
          <w:tcPr>
            <w:tcW w:type="dxa" w:w="3312"/>
          </w:tcPr>
          <w:p>
            <w:pPr>
              <w:spacing w:before="40" w:after="40"/>
              <w:jc w:val="left"/>
            </w:pPr>
            <w:r/>
            <w:r>
              <w:rPr>
                <w:rFonts w:ascii="Cambria" w:hAnsi="Cambria"/>
                <w:b w:val="0"/>
                <w:sz w:val="19"/>
              </w:rPr>
              <w:t>Scores or frames the problem</w:t>
            </w:r>
          </w:p>
        </w:tc>
        <w:tc>
          <w:tcPr>
            <w:tcW w:type="dxa" w:w="1008"/>
          </w:tcPr>
          <w:p>
            <w:pPr>
              <w:spacing w:before="40" w:after="40"/>
              <w:jc w:val="right"/>
            </w:pPr>
            <w:r/>
            <w:r>
              <w:rPr>
                <w:rFonts w:ascii="Cambria" w:hAnsi="Cambria"/>
                <w:b w:val="0"/>
                <w:sz w:val="19"/>
              </w:rPr>
              <w:t>15</w:t>
            </w:r>
          </w:p>
        </w:tc>
        <w:tc>
          <w:tcPr>
            <w:tcW w:type="dxa" w:w="2592"/>
          </w:tcPr>
          <w:p>
            <w:pPr>
              <w:spacing w:before="40" w:after="40"/>
              <w:jc w:val="right"/>
            </w:pPr>
            <w:r/>
            <w:r>
              <w:rPr>
                <w:rFonts w:ascii="Cambria" w:hAnsi="Cambria"/>
                <w:b w:val="0"/>
                <w:sz w:val="19"/>
              </w:rPr>
              <w:t>LocateEdit-Bench, surveys</w:t>
            </w:r>
          </w:p>
        </w:tc>
        <w:tc>
          <w:tcPr>
            <w:tcW w:type="dxa" w:w="2880"/>
          </w:tcPr>
          <w:p>
            <w:pPr>
              <w:spacing w:before="40" w:after="40"/>
              <w:jc w:val="right"/>
            </w:pPr>
            <w:r/>
            <w:r>
              <w:rPr>
                <w:rFonts w:ascii="Cambria" w:hAnsi="Cambria"/>
                <w:b w:val="0"/>
                <w:sz w:val="19"/>
              </w:rPr>
              <w:t>None scores a predicted region</w:t>
            </w:r>
          </w:p>
        </w:tc>
      </w:tr>
    </w:tbl>
    <w:p>
      <w:pPr>
        <w:spacing w:after="80"/>
      </w:pPr>
    </w:p>
    <w:p>
      <w:pPr>
        <w:spacing w:after="120"/>
        <w:jc w:val="both"/>
      </w:pPr>
      <w:r>
        <w:rPr>
          <w:b w:val="0"/>
          <w:i w:val="0"/>
          <w:sz w:val="22"/>
        </w:rPr>
        <w:t>Of forty-five recent works on instruction-guided editing and its localization, two train a model to produce the edit region from language, and one of those is restricted to a single domain.</w:t>
      </w:r>
    </w:p>
    <w:p>
      <w:pPr>
        <w:pStyle w:val="Heading1"/>
      </w:pPr>
      <w:r>
        <w:t>3  Edit localization</w:t>
      </w:r>
    </w:p>
    <w:p>
      <w:pPr>
        <w:spacing w:after="120"/>
        <w:jc w:val="both"/>
      </w:pPr>
      <w:r>
        <w:rPr>
          <w:b w:val="0"/>
          <w:i w:val="0"/>
          <w:sz w:val="22"/>
        </w:rPr>
        <w:t>This is the cluster in which the present work sits, and it divides in two. One group reads a region out of a generator that is already running: Rethinking Where to Edit takes attention cues from the source and target streams, and WhereEdit matches changed prompt tokens and aggregates cross-attention. Both are training-free, and both inherit the limits of what attention happens to emphasise; WhereEdit states that it does not address addition into empty regions. The second group consumes a region produced elsewhere: MaskFlow incorporates the mask into the probability path of a flow-matching objective, and MADiff predicts a mask and then edits through it, though restricted to fashion and to garments already present. AdaptEdit is the only work that trains a predictor to ground the region from the instruction itself, which is the formulation adopted here. The opening it leaves is its supervision, not its architecture.</w:t>
      </w:r>
    </w:p>
    <w:p>
      <w:pPr>
        <w:spacing w:after="60"/>
      </w:pPr>
      <w:r>
        <w:rPr>
          <w:i/>
          <w:color w:val="5A5852"/>
          <w:sz w:val="19"/>
        </w:rPr>
        <w:t>Table 3. Edit localization — 7 works. Titles are links.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2736"/>
            <w:tcBorders>
              <w:bottom w:val="single" w:sz="6" w:color="1B1A17"/>
            </w:tcBorders>
          </w:tcPr>
          <w:p>
            <w:pPr>
              <w:spacing w:before="40" w:after="40"/>
              <w:jc w:val="left"/>
            </w:pPr>
            <w:r/>
            <w:r>
              <w:rPr>
                <w:rFonts w:ascii="Cambria" w:hAnsi="Cambria"/>
                <w:b/>
                <w:sz w:val="19"/>
              </w:rPr>
              <w:t>Work</w:t>
            </w:r>
          </w:p>
        </w:tc>
        <w:tc>
          <w:tcPr>
            <w:tcW w:type="dxa" w:w="576"/>
            <w:tcBorders>
              <w:bottom w:val="single" w:sz="6" w:color="1B1A17"/>
            </w:tcBorders>
          </w:tcPr>
          <w:p>
            <w:pPr>
              <w:spacing w:before="40" w:after="40"/>
              <w:jc w:val="center"/>
            </w:pPr>
            <w:r/>
            <w:r>
              <w:rPr>
                <w:rFonts w:ascii="Cambria" w:hAnsi="Cambria"/>
                <w:b/>
                <w:sz w:val="19"/>
              </w:rPr>
              <w:t>Yr</w:t>
            </w:r>
          </w:p>
        </w:tc>
        <w:tc>
          <w:tcPr>
            <w:tcW w:type="dxa" w:w="3168"/>
            <w:tcBorders>
              <w:bottom w:val="single" w:sz="6" w:color="1B1A17"/>
            </w:tcBorders>
          </w:tcPr>
          <w:p>
            <w:pPr>
              <w:spacing w:before="40" w:after="40"/>
              <w:jc w:val="left"/>
            </w:pPr>
            <w:r/>
            <w:r>
              <w:rPr>
                <w:rFonts w:ascii="Cambria" w:hAnsi="Cambria"/>
                <w:b/>
                <w:sz w:val="19"/>
              </w:rPr>
              <w:t>What it improves</w:t>
            </w:r>
          </w:p>
        </w:tc>
        <w:tc>
          <w:tcPr>
            <w:tcW w:type="dxa" w:w="3312"/>
            <w:tcBorders>
              <w:bottom w:val="single" w:sz="6" w:color="1B1A17"/>
            </w:tcBorders>
          </w:tcPr>
          <w:p>
            <w:pPr>
              <w:spacing w:before="40" w:after="40"/>
              <w:jc w:val="left"/>
            </w:pPr>
            <w:r/>
            <w:r>
              <w:rPr>
                <w:rFonts w:ascii="Cambria" w:hAnsi="Cambria"/>
                <w:b/>
                <w:sz w:val="19"/>
              </w:rPr>
              <w:t>What is missing</w:t>
            </w:r>
          </w:p>
        </w:tc>
      </w:tr>
      <w:tr>
        <w:tc>
          <w:tcPr>
            <w:tcW w:type="dxa" w:w="2736"/>
          </w:tcPr>
          <w:p>
            <w:pPr>
              <w:spacing w:before="40" w:after="40"/>
              <w:jc w:val="left"/>
            </w:pPr>
            <w:r/>
            <w:hyperlink r:id="rId9">
              <w:r>
                <w:rPr>
                  <w:color w:val="1155CC"/>
                  <w:u w:val="single"/>
                  <w:sz w:val="18"/>
                  <w:rFonts w:ascii="Cambria" w:hAnsi="Cambria"/>
                </w:rPr>
                <w:t xml:space="preserve">*** AdaptEdit / Edit Where You Mean *** [BASE PAPER]</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GEdit-Bench per-category (subject-add 8.28, text_change 8.53, color_alter 7.93); background pre</w:t>
            </w:r>
          </w:p>
        </w:tc>
        <w:tc>
          <w:tcPr>
            <w:tcW w:type="dxa" w:w="3312"/>
          </w:tcPr>
          <w:p>
            <w:pPr>
              <w:spacing w:before="40" w:after="40"/>
              <w:jc w:val="left"/>
            </w:pPr>
            <w:r/>
            <w:r>
              <w:rPr>
                <w:rFonts w:ascii="Cambria" w:hAnsi="Cambria"/>
                <w:b w:val="0"/>
                <w:sz w:val="19"/>
              </w:rPr>
              <w:t>Masks from MagicBrush human annotation + rendered text boxes ONLY - explicitly not pixel-differ</w:t>
            </w:r>
          </w:p>
        </w:tc>
      </w:tr>
      <w:tr>
        <w:tc>
          <w:tcPr>
            <w:tcW w:type="dxa" w:w="2736"/>
          </w:tcPr>
          <w:p>
            <w:pPr>
              <w:spacing w:before="40" w:after="40"/>
              <w:jc w:val="left"/>
            </w:pPr>
            <w:r/>
            <w:hyperlink r:id="rId10">
              <w:r>
                <w:rPr>
                  <w:color w:val="1155CC"/>
                  <w:u w:val="single"/>
                  <w:sz w:val="18"/>
                  <w:rFonts w:ascii="Cambria" w:hAnsi="Cambria"/>
                </w:rPr>
                <w:t xml:space="preserve">Rethinking Where to Edit: Task-Aware Localization</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Over-editing reduction, background preservation, per-operation localization</w:t>
            </w:r>
          </w:p>
        </w:tc>
        <w:tc>
          <w:tcPr>
            <w:tcW w:type="dxa" w:w="3312"/>
          </w:tcPr>
          <w:p>
            <w:pPr>
              <w:spacing w:before="40" w:after="40"/>
              <w:jc w:val="left"/>
            </w:pPr>
            <w:r/>
            <w:r>
              <w:rPr>
                <w:rFonts w:ascii="Cambria" w:hAnsi="Cambria"/>
                <w:b w:val="0"/>
                <w:sz w:val="19"/>
              </w:rPr>
              <w:t>Unsupervised; keeps largest connected component so repeated instances break; no empty space</w:t>
            </w:r>
          </w:p>
        </w:tc>
      </w:tr>
      <w:tr>
        <w:tc>
          <w:tcPr>
            <w:tcW w:type="dxa" w:w="2736"/>
          </w:tcPr>
          <w:p>
            <w:pPr>
              <w:spacing w:before="40" w:after="40"/>
              <w:jc w:val="left"/>
            </w:pPr>
            <w:r/>
            <w:hyperlink r:id="rId11">
              <w:r>
                <w:rPr>
                  <w:color w:val="1155CC"/>
                  <w:u w:val="single"/>
                  <w:sz w:val="18"/>
                  <w:rFonts w:ascii="Cambria" w:hAnsi="Cambria"/>
                </w:rPr>
                <w:t xml:space="preserve">WhereEdit: Mask-aware Local Latent Editing for One-Step Editing</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One-step editing quality, CLIP-Edited 22.66 to 23.63 with GT masks</w:t>
            </w:r>
          </w:p>
        </w:tc>
        <w:tc>
          <w:tcPr>
            <w:tcW w:type="dxa" w:w="3312"/>
          </w:tcPr>
          <w:p>
            <w:pPr>
              <w:spacing w:before="40" w:after="40"/>
              <w:jc w:val="left"/>
            </w:pPr>
            <w:r/>
            <w:r>
              <w:rPr>
                <w:rFonts w:ascii="Cambria" w:hAnsi="Cambria"/>
                <w:b w:val="0"/>
                <w:sz w:val="19"/>
              </w:rPr>
              <w:t>Mask derived during inference, not predicted from instruction; explicitly does not handle addin</w:t>
            </w:r>
          </w:p>
        </w:tc>
      </w:tr>
      <w:tr>
        <w:tc>
          <w:tcPr>
            <w:tcW w:type="dxa" w:w="2736"/>
          </w:tcPr>
          <w:p>
            <w:pPr>
              <w:spacing w:before="40" w:after="40"/>
              <w:jc w:val="left"/>
            </w:pPr>
            <w:r/>
            <w:hyperlink r:id="rId12">
              <w:r>
                <w:rPr>
                  <w:color w:val="1155CC"/>
                  <w:u w:val="single"/>
                  <w:sz w:val="18"/>
                  <w:rFonts w:ascii="Cambria" w:hAnsi="Cambria"/>
                </w:rPr>
                <w:t xml:space="preserve">MaskFlow: Precise, Consistent and Seamless Regional Editing</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Boundary seamlessness, regional consistency</w:t>
            </w:r>
          </w:p>
        </w:tc>
        <w:tc>
          <w:tcPr>
            <w:tcW w:type="dxa" w:w="3312"/>
          </w:tcPr>
          <w:p>
            <w:pPr>
              <w:spacing w:before="40" w:after="40"/>
              <w:jc w:val="left"/>
            </w:pPr>
            <w:r/>
            <w:r>
              <w:rPr>
                <w:rFonts w:ascii="Cambria" w:hAnsi="Cambria"/>
                <w:b w:val="0"/>
                <w:sz w:val="19"/>
              </w:rPr>
              <w:t>Assumes the mask already exists - it is a consumer of a region</w:t>
            </w:r>
          </w:p>
        </w:tc>
      </w:tr>
      <w:tr>
        <w:tc>
          <w:tcPr>
            <w:tcW w:type="dxa" w:w="2736"/>
          </w:tcPr>
          <w:p>
            <w:pPr>
              <w:spacing w:before="40" w:after="40"/>
              <w:jc w:val="left"/>
            </w:pPr>
            <w:r/>
            <w:hyperlink r:id="rId13">
              <w:r>
                <w:rPr>
                  <w:color w:val="1155CC"/>
                  <w:u w:val="single"/>
                  <w:sz w:val="18"/>
                  <w:rFonts w:ascii="Cambria" w:hAnsi="Cambria"/>
                </w:rPr>
                <w:t xml:space="preserve">Region in Context: Text-Conditioned Editing with Semantic Reasoning</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Context-consistent local edits</w:t>
            </w:r>
          </w:p>
        </w:tc>
        <w:tc>
          <w:tcPr>
            <w:tcW w:type="dxa" w:w="3312"/>
          </w:tcPr>
          <w:p>
            <w:pPr>
              <w:spacing w:before="40" w:after="40"/>
              <w:jc w:val="left"/>
            </w:pPr>
            <w:r/>
            <w:r>
              <w:rPr>
                <w:rFonts w:ascii="Cambria" w:hAnsi="Cambria"/>
                <w:b w:val="0"/>
                <w:sz w:val="19"/>
              </w:rPr>
              <w:t>Region still tied to existing content</w:t>
            </w:r>
          </w:p>
        </w:tc>
      </w:tr>
      <w:tr>
        <w:tc>
          <w:tcPr>
            <w:tcW w:type="dxa" w:w="2736"/>
          </w:tcPr>
          <w:p>
            <w:pPr>
              <w:spacing w:before="40" w:after="40"/>
              <w:jc w:val="left"/>
            </w:pPr>
            <w:r/>
            <w:hyperlink r:id="rId14">
              <w:r>
                <w:rPr>
                  <w:color w:val="1155CC"/>
                  <w:u w:val="single"/>
                  <w:sz w:val="18"/>
                  <w:rFonts w:ascii="Cambria" w:hAnsi="Cambria"/>
                </w:rPr>
                <w:t xml:space="preserve">MADiff: Text-Guided Fashion Editing with Mask Prediction</w:t>
              </w:r>
            </w:hyperlink>
          </w:p>
        </w:tc>
        <w:tc>
          <w:tcPr>
            <w:tcW w:type="dxa" w:w="576"/>
          </w:tcPr>
          <w:p>
            <w:pPr>
              <w:spacing w:before="40" w:after="40"/>
              <w:jc w:val="center"/>
            </w:pPr>
            <w:r/>
            <w:r>
              <w:rPr>
                <w:rFonts w:ascii="Cambria" w:hAnsi="Cambria"/>
                <w:b w:val="0"/>
                <w:sz w:val="19"/>
              </w:rPr>
              <w:t>2024</w:t>
            </w:r>
          </w:p>
        </w:tc>
        <w:tc>
          <w:tcPr>
            <w:tcW w:type="dxa" w:w="3168"/>
          </w:tcPr>
          <w:p>
            <w:pPr>
              <w:spacing w:before="40" w:after="40"/>
              <w:jc w:val="left"/>
            </w:pPr>
            <w:r/>
            <w:r>
              <w:rPr>
                <w:rFonts w:ascii="Cambria" w:hAnsi="Cambria"/>
                <w:b w:val="0"/>
                <w:sz w:val="19"/>
              </w:rPr>
              <w:t>Fashion edit precision</w:t>
            </w:r>
          </w:p>
        </w:tc>
        <w:tc>
          <w:tcPr>
            <w:tcW w:type="dxa" w:w="3312"/>
          </w:tcPr>
          <w:p>
            <w:pPr>
              <w:spacing w:before="40" w:after="40"/>
              <w:jc w:val="left"/>
            </w:pPr>
            <w:r/>
            <w:r>
              <w:rPr>
                <w:rFonts w:ascii="Cambria" w:hAnsi="Cambria"/>
                <w:b w:val="0"/>
                <w:sz w:val="19"/>
              </w:rPr>
              <w:t>Domain-limited (fashion); predicts over existing garments only</w:t>
            </w:r>
          </w:p>
        </w:tc>
      </w:tr>
      <w:tr>
        <w:tc>
          <w:tcPr>
            <w:tcW w:type="dxa" w:w="2736"/>
          </w:tcPr>
          <w:p>
            <w:pPr>
              <w:spacing w:before="40" w:after="40"/>
              <w:jc w:val="left"/>
            </w:pPr>
            <w:r/>
            <w:hyperlink r:id="rId15">
              <w:r>
                <w:rPr>
                  <w:color w:val="1155CC"/>
                  <w:u w:val="single"/>
                  <w:sz w:val="18"/>
                  <w:rFonts w:ascii="Cambria" w:hAnsi="Cambria"/>
                </w:rPr>
                <w:t xml:space="preserve">Training-free Geometric Image Editing</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Geometric manipulation fidelity</w:t>
            </w:r>
          </w:p>
        </w:tc>
        <w:tc>
          <w:tcPr>
            <w:tcW w:type="dxa" w:w="3312"/>
          </w:tcPr>
          <w:p>
            <w:pPr>
              <w:spacing w:before="40" w:after="40"/>
              <w:jc w:val="left"/>
            </w:pPr>
            <w:r/>
            <w:r>
              <w:rPr>
                <w:rFonts w:ascii="Cambria" w:hAnsi="Cambria"/>
                <w:b w:val="0"/>
                <w:sz w:val="19"/>
              </w:rPr>
              <w:t>Geometry is given by the user, not inferred from language</w:t>
            </w:r>
          </w:p>
        </w:tc>
      </w:tr>
    </w:tbl>
    <w:p>
      <w:pPr>
        <w:spacing w:after="80"/>
      </w:pPr>
    </w:p>
    <w:p>
      <w:pPr>
        <w:pStyle w:val="Heading1"/>
      </w:pPr>
      <w:r>
        <w:t>4  Instruction editors</w:t>
      </w:r>
    </w:p>
    <w:p>
      <w:pPr>
        <w:spacing w:after="120"/>
        <w:jc w:val="both"/>
      </w:pPr>
      <w:r>
        <w:rPr>
          <w:b w:val="0"/>
          <w:i w:val="0"/>
          <w:sz w:val="22"/>
        </w:rPr>
        <w:t>Nine works, with a uniform pattern: strong editing performance and no treatment of localization. Step1X-Edit parses the instruction into editing tokens and decodes with a diffusion transformer; Qwen-Image-Edit and FLUX.1 Kontext provide 12 to 32 billion parameter open-weight editors. In each, the decision of which pixels to change is internal and unscored. NEP makes the asymmetry explicit by conditioning on edit-region mask tokens as an input: it consumes a region and does not produce one.</w:t>
      </w:r>
    </w:p>
    <w:p>
      <w:pPr>
        <w:spacing w:after="60"/>
      </w:pPr>
      <w:r>
        <w:rPr>
          <w:i/>
          <w:color w:val="5A5852"/>
          <w:sz w:val="19"/>
        </w:rPr>
        <w:t>Table 4. Instruction editors — 9 works. Titles are links.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2736"/>
            <w:tcBorders>
              <w:bottom w:val="single" w:sz="6" w:color="1B1A17"/>
            </w:tcBorders>
          </w:tcPr>
          <w:p>
            <w:pPr>
              <w:spacing w:before="40" w:after="40"/>
              <w:jc w:val="left"/>
            </w:pPr>
            <w:r/>
            <w:r>
              <w:rPr>
                <w:rFonts w:ascii="Cambria" w:hAnsi="Cambria"/>
                <w:b/>
                <w:sz w:val="19"/>
              </w:rPr>
              <w:t>Work</w:t>
            </w:r>
          </w:p>
        </w:tc>
        <w:tc>
          <w:tcPr>
            <w:tcW w:type="dxa" w:w="576"/>
            <w:tcBorders>
              <w:bottom w:val="single" w:sz="6" w:color="1B1A17"/>
            </w:tcBorders>
          </w:tcPr>
          <w:p>
            <w:pPr>
              <w:spacing w:before="40" w:after="40"/>
              <w:jc w:val="center"/>
            </w:pPr>
            <w:r/>
            <w:r>
              <w:rPr>
                <w:rFonts w:ascii="Cambria" w:hAnsi="Cambria"/>
                <w:b/>
                <w:sz w:val="19"/>
              </w:rPr>
              <w:t>Yr</w:t>
            </w:r>
          </w:p>
        </w:tc>
        <w:tc>
          <w:tcPr>
            <w:tcW w:type="dxa" w:w="3168"/>
            <w:tcBorders>
              <w:bottom w:val="single" w:sz="6" w:color="1B1A17"/>
            </w:tcBorders>
          </w:tcPr>
          <w:p>
            <w:pPr>
              <w:spacing w:before="40" w:after="40"/>
              <w:jc w:val="left"/>
            </w:pPr>
            <w:r/>
            <w:r>
              <w:rPr>
                <w:rFonts w:ascii="Cambria" w:hAnsi="Cambria"/>
                <w:b/>
                <w:sz w:val="19"/>
              </w:rPr>
              <w:t>What it improves</w:t>
            </w:r>
          </w:p>
        </w:tc>
        <w:tc>
          <w:tcPr>
            <w:tcW w:type="dxa" w:w="3312"/>
            <w:tcBorders>
              <w:bottom w:val="single" w:sz="6" w:color="1B1A17"/>
            </w:tcBorders>
          </w:tcPr>
          <w:p>
            <w:pPr>
              <w:spacing w:before="40" w:after="40"/>
              <w:jc w:val="left"/>
            </w:pPr>
            <w:r/>
            <w:r>
              <w:rPr>
                <w:rFonts w:ascii="Cambria" w:hAnsi="Cambria"/>
                <w:b/>
                <w:sz w:val="19"/>
              </w:rPr>
              <w:t>What is missing</w:t>
            </w:r>
          </w:p>
        </w:tc>
      </w:tr>
      <w:tr>
        <w:tc>
          <w:tcPr>
            <w:tcW w:type="dxa" w:w="2736"/>
          </w:tcPr>
          <w:p>
            <w:pPr>
              <w:spacing w:before="40" w:after="40"/>
              <w:jc w:val="left"/>
            </w:pPr>
            <w:r/>
            <w:hyperlink r:id="rId16">
              <w:r>
                <w:rPr>
                  <w:color w:val="1155CC"/>
                  <w:u w:val="single"/>
                  <w:sz w:val="18"/>
                  <w:rFonts w:ascii="Cambria" w:hAnsi="Cambria"/>
                </w:rPr>
                <w:t xml:space="preserve">NEP: Autoregressive Image Editing via Next Editing Token Prediction</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Region-based editing precision</w:t>
            </w:r>
          </w:p>
        </w:tc>
        <w:tc>
          <w:tcPr>
            <w:tcW w:type="dxa" w:w="3312"/>
          </w:tcPr>
          <w:p>
            <w:pPr>
              <w:spacing w:before="40" w:after="40"/>
              <w:jc w:val="left"/>
            </w:pPr>
            <w:r/>
            <w:r>
              <w:rPr>
                <w:rFonts w:ascii="Cambria" w:hAnsi="Cambria"/>
                <w:b w:val="0"/>
                <w:sz w:val="19"/>
              </w:rPr>
              <w:t>CRITICAL: the edit-region mask is an INPUT. It consumes a region, never produces one</w:t>
            </w:r>
          </w:p>
        </w:tc>
      </w:tr>
      <w:tr>
        <w:tc>
          <w:tcPr>
            <w:tcW w:type="dxa" w:w="2736"/>
          </w:tcPr>
          <w:p>
            <w:pPr>
              <w:spacing w:before="40" w:after="40"/>
              <w:jc w:val="left"/>
            </w:pPr>
            <w:r/>
            <w:hyperlink r:id="rId17">
              <w:r>
                <w:rPr>
                  <w:color w:val="1155CC"/>
                  <w:u w:val="single"/>
                  <w:sz w:val="18"/>
                  <w:rFonts w:ascii="Cambria" w:hAnsi="Cambria"/>
                </w:rPr>
                <w:t xml:space="preserve">EditMGT: Masked Generative Transformer Is What You Need</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Localization sharpness, edit fidelity</w:t>
            </w:r>
          </w:p>
        </w:tc>
        <w:tc>
          <w:tcPr>
            <w:tcW w:type="dxa" w:w="3312"/>
          </w:tcPr>
          <w:p>
            <w:pPr>
              <w:spacing w:before="40" w:after="40"/>
              <w:jc w:val="left"/>
            </w:pPr>
            <w:r/>
            <w:r>
              <w:rPr>
                <w:rFonts w:ascii="Cambria" w:hAnsi="Cambria"/>
                <w:b w:val="0"/>
                <w:sz w:val="19"/>
              </w:rPr>
              <w:t>Localization read from attention only; unsupervised</w:t>
            </w:r>
          </w:p>
        </w:tc>
      </w:tr>
      <w:tr>
        <w:tc>
          <w:tcPr>
            <w:tcW w:type="dxa" w:w="2736"/>
          </w:tcPr>
          <w:p>
            <w:pPr>
              <w:spacing w:before="40" w:after="40"/>
              <w:jc w:val="left"/>
            </w:pPr>
            <w:r/>
            <w:hyperlink r:id="rId18">
              <w:r>
                <w:rPr>
                  <w:color w:val="1155CC"/>
                  <w:u w:val="single"/>
                  <w:sz w:val="18"/>
                  <w:rFonts w:ascii="Cambria" w:hAnsi="Cambria"/>
                </w:rPr>
                <w:t xml:space="preserve">Step1X-Edit: A Practical Framework for General Image Editing</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GEdit-Bench score, instruction following, open-source parity with GPT-4o</w:t>
            </w:r>
          </w:p>
        </w:tc>
        <w:tc>
          <w:tcPr>
            <w:tcW w:type="dxa" w:w="3312"/>
          </w:tcPr>
          <w:p>
            <w:pPr>
              <w:spacing w:before="40" w:after="40"/>
              <w:jc w:val="left"/>
            </w:pPr>
            <w:r/>
            <w:r>
              <w:rPr>
                <w:rFonts w:ascii="Cambria" w:hAnsi="Cambria"/>
                <w:b w:val="0"/>
                <w:sz w:val="19"/>
              </w:rPr>
              <w:t>Localization is internal and implicit; region never exposed or scored</w:t>
            </w:r>
          </w:p>
        </w:tc>
      </w:tr>
      <w:tr>
        <w:tc>
          <w:tcPr>
            <w:tcW w:type="dxa" w:w="2736"/>
          </w:tcPr>
          <w:p>
            <w:pPr>
              <w:spacing w:before="40" w:after="40"/>
              <w:jc w:val="left"/>
            </w:pPr>
            <w:r/>
            <w:hyperlink r:id="rId19">
              <w:r>
                <w:rPr>
                  <w:color w:val="1155CC"/>
                  <w:u w:val="single"/>
                  <w:sz w:val="18"/>
                  <w:rFonts w:ascii="Cambria" w:hAnsi="Cambria"/>
                </w:rPr>
                <w:t xml:space="preserve">Qwen-Image-Edit (2509 / 2511 / 2.0)</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Semantic adherence, 2K native output, text rendering</w:t>
            </w:r>
          </w:p>
        </w:tc>
        <w:tc>
          <w:tcPr>
            <w:tcW w:type="dxa" w:w="3312"/>
          </w:tcPr>
          <w:p>
            <w:pPr>
              <w:spacing w:before="40" w:after="40"/>
              <w:jc w:val="left"/>
            </w:pPr>
            <w:r/>
            <w:r>
              <w:rPr>
                <w:rFonts w:ascii="Cambria" w:hAnsi="Cambria"/>
                <w:b w:val="0"/>
                <w:sz w:val="19"/>
              </w:rPr>
              <w:t>No explicit region; 20B is far beyond consumer hardware</w:t>
            </w:r>
          </w:p>
        </w:tc>
      </w:tr>
      <w:tr>
        <w:tc>
          <w:tcPr>
            <w:tcW w:type="dxa" w:w="2736"/>
          </w:tcPr>
          <w:p>
            <w:pPr>
              <w:spacing w:before="40" w:after="40"/>
              <w:jc w:val="left"/>
            </w:pPr>
            <w:r/>
            <w:hyperlink r:id="rId20">
              <w:r>
                <w:rPr>
                  <w:color w:val="1155CC"/>
                  <w:u w:val="single"/>
                  <w:sz w:val="18"/>
                  <w:rFonts w:ascii="Cambria" w:hAnsi="Cambria"/>
                </w:rPr>
                <w:t xml:space="preserve">GIDE: Unlocking Diffusion LLMs for Precise Training-Free Editing</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Precision without training</w:t>
            </w:r>
          </w:p>
        </w:tc>
        <w:tc>
          <w:tcPr>
            <w:tcW w:type="dxa" w:w="3312"/>
          </w:tcPr>
          <w:p>
            <w:pPr>
              <w:spacing w:before="40" w:after="40"/>
              <w:jc w:val="left"/>
            </w:pPr>
            <w:r/>
            <w:r>
              <w:rPr>
                <w:rFonts w:ascii="Cambria" w:hAnsi="Cambria"/>
                <w:b w:val="0"/>
                <w:sz w:val="19"/>
              </w:rPr>
              <w:t>No supervised region; relies on model internals</w:t>
            </w:r>
          </w:p>
        </w:tc>
      </w:tr>
      <w:tr>
        <w:tc>
          <w:tcPr>
            <w:tcW w:type="dxa" w:w="2736"/>
          </w:tcPr>
          <w:p>
            <w:pPr>
              <w:spacing w:before="40" w:after="40"/>
              <w:jc w:val="left"/>
            </w:pPr>
            <w:r/>
            <w:hyperlink r:id="rId21">
              <w:r>
                <w:rPr>
                  <w:color w:val="1155CC"/>
                  <w:u w:val="single"/>
                  <w:sz w:val="18"/>
                  <w:rFonts w:ascii="Cambria" w:hAnsi="Cambria"/>
                </w:rPr>
                <w:t xml:space="preserve">FLUX.1 Kontext [dev] / FLUX.2</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In-context editing quality, multi-reference composition</w:t>
            </w:r>
          </w:p>
        </w:tc>
        <w:tc>
          <w:tcPr>
            <w:tcW w:type="dxa" w:w="3312"/>
          </w:tcPr>
          <w:p>
            <w:pPr>
              <w:spacing w:before="40" w:after="40"/>
              <w:jc w:val="left"/>
            </w:pPr>
            <w:r/>
            <w:r>
              <w:rPr>
                <w:rFonts w:ascii="Cambria" w:hAnsi="Cambria"/>
                <w:b w:val="0"/>
                <w:sz w:val="19"/>
              </w:rPr>
              <w:t>Region never exposed; cannot run on a laptop</w:t>
            </w:r>
          </w:p>
        </w:tc>
      </w:tr>
      <w:tr>
        <w:tc>
          <w:tcPr>
            <w:tcW w:type="dxa" w:w="2736"/>
          </w:tcPr>
          <w:p>
            <w:pPr>
              <w:spacing w:before="40" w:after="40"/>
              <w:jc w:val="left"/>
            </w:pPr>
            <w:r/>
            <w:hyperlink r:id="rId22">
              <w:r>
                <w:rPr>
                  <w:color w:val="1155CC"/>
                  <w:u w:val="single"/>
                  <w:sz w:val="18"/>
                  <w:rFonts w:ascii="Cambria" w:hAnsi="Cambria"/>
                </w:rPr>
                <w:t xml:space="preserve">Visual Autoregressive Modeling for Instruction-Guided Editing</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Inference efficiency vs diffusion, instruction adherence</w:t>
            </w:r>
          </w:p>
        </w:tc>
        <w:tc>
          <w:tcPr>
            <w:tcW w:type="dxa" w:w="3312"/>
          </w:tcPr>
          <w:p>
            <w:pPr>
              <w:spacing w:before="40" w:after="40"/>
              <w:jc w:val="left"/>
            </w:pPr>
            <w:r/>
            <w:r>
              <w:rPr>
                <w:rFonts w:ascii="Cambria" w:hAnsi="Cambria"/>
                <w:b w:val="0"/>
                <w:sz w:val="19"/>
              </w:rPr>
              <w:t>Same implicit localization problem</w:t>
            </w:r>
          </w:p>
        </w:tc>
      </w:tr>
      <w:tr>
        <w:tc>
          <w:tcPr>
            <w:tcW w:type="dxa" w:w="2736"/>
          </w:tcPr>
          <w:p>
            <w:pPr>
              <w:spacing w:before="40" w:after="40"/>
              <w:jc w:val="left"/>
            </w:pPr>
            <w:r/>
            <w:hyperlink r:id="rId23">
              <w:r>
                <w:rPr>
                  <w:color w:val="1155CC"/>
                  <w:u w:val="single"/>
                  <w:sz w:val="18"/>
                  <w:rFonts w:ascii="Cambria" w:hAnsi="Cambria"/>
                </w:rPr>
                <w:t xml:space="preserve">Image Editing As Programs</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Compositional/multi-step instruction handling</w:t>
            </w:r>
          </w:p>
        </w:tc>
        <w:tc>
          <w:tcPr>
            <w:tcW w:type="dxa" w:w="3312"/>
          </w:tcPr>
          <w:p>
            <w:pPr>
              <w:spacing w:before="40" w:after="40"/>
              <w:jc w:val="left"/>
            </w:pPr>
            <w:r/>
            <w:r>
              <w:rPr>
                <w:rFonts w:ascii="Cambria" w:hAnsi="Cambria"/>
                <w:b w:val="0"/>
                <w:sz w:val="19"/>
              </w:rPr>
              <w:t>Program is semantic, not spatial; no region output</w:t>
            </w:r>
          </w:p>
        </w:tc>
      </w:tr>
      <w:tr>
        <w:tc>
          <w:tcPr>
            <w:tcW w:type="dxa" w:w="2736"/>
          </w:tcPr>
          <w:p>
            <w:pPr>
              <w:spacing w:before="40" w:after="40"/>
              <w:jc w:val="left"/>
            </w:pPr>
            <w:r/>
            <w:hyperlink r:id="rId24">
              <w:r>
                <w:rPr>
                  <w:color w:val="1155CC"/>
                  <w:u w:val="single"/>
                  <w:sz w:val="18"/>
                  <w:rFonts w:ascii="Cambria" w:hAnsi="Cambria"/>
                </w:rPr>
                <w:t xml:space="preserve">CannyEdit: Selective Canny Control and Dual-Prompt Guidance</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Structure preservation, training-free</w:t>
            </w:r>
          </w:p>
        </w:tc>
        <w:tc>
          <w:tcPr>
            <w:tcW w:type="dxa" w:w="3312"/>
          </w:tcPr>
          <w:p>
            <w:pPr>
              <w:spacing w:before="40" w:after="40"/>
              <w:jc w:val="left"/>
            </w:pPr>
            <w:r/>
            <w:r>
              <w:rPr>
                <w:rFonts w:ascii="Cambria" w:hAnsi="Cambria"/>
                <w:b w:val="0"/>
                <w:sz w:val="19"/>
              </w:rPr>
              <w:t>Requires an external control signal (edges)</w:t>
            </w:r>
          </w:p>
        </w:tc>
      </w:tr>
    </w:tbl>
    <w:p>
      <w:pPr>
        <w:spacing w:after="80"/>
      </w:pPr>
    </w:p>
    <w:p>
      <w:pPr>
        <w:pStyle w:val="Heading1"/>
      </w:pPr>
      <w:r>
        <w:t>5  Insertion and affordance</w:t>
      </w:r>
    </w:p>
    <w:p>
      <w:pPr>
        <w:spacing w:after="120"/>
        <w:jc w:val="both"/>
      </w:pPr>
      <w:r>
        <w:rPr>
          <w:b w:val="0"/>
          <w:i w:val="0"/>
          <w:sz w:val="22"/>
        </w:rPr>
        <w:t>Insertion is the case this project addresses, and the cluster shows the field has converged on solving it given a location. MADD denoises the image and the insertion mask jointly but requires a position prompt. Add-it places objects through weighted extended attention without training, so placement emerges instead of being predicted. The patent literature states the same requirement in legal terms: US12561956 requires an original image with a marked region, and US12462449B2 generates per-layer blending masks within a generator. Across research and patents, the location is an input.</w:t>
      </w:r>
    </w:p>
    <w:p>
      <w:pPr>
        <w:spacing w:after="60"/>
      </w:pPr>
      <w:r>
        <w:rPr>
          <w:i/>
          <w:color w:val="5A5852"/>
          <w:sz w:val="19"/>
        </w:rPr>
        <w:t>Table 5. Insertion and affordance — 4 works. Titles are links.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2736"/>
            <w:tcBorders>
              <w:bottom w:val="single" w:sz="6" w:color="1B1A17"/>
            </w:tcBorders>
          </w:tcPr>
          <w:p>
            <w:pPr>
              <w:spacing w:before="40" w:after="40"/>
              <w:jc w:val="left"/>
            </w:pPr>
            <w:r/>
            <w:r>
              <w:rPr>
                <w:rFonts w:ascii="Cambria" w:hAnsi="Cambria"/>
                <w:b/>
                <w:sz w:val="19"/>
              </w:rPr>
              <w:t>Work</w:t>
            </w:r>
          </w:p>
        </w:tc>
        <w:tc>
          <w:tcPr>
            <w:tcW w:type="dxa" w:w="576"/>
            <w:tcBorders>
              <w:bottom w:val="single" w:sz="6" w:color="1B1A17"/>
            </w:tcBorders>
          </w:tcPr>
          <w:p>
            <w:pPr>
              <w:spacing w:before="40" w:after="40"/>
              <w:jc w:val="center"/>
            </w:pPr>
            <w:r/>
            <w:r>
              <w:rPr>
                <w:rFonts w:ascii="Cambria" w:hAnsi="Cambria"/>
                <w:b/>
                <w:sz w:val="19"/>
              </w:rPr>
              <w:t>Yr</w:t>
            </w:r>
          </w:p>
        </w:tc>
        <w:tc>
          <w:tcPr>
            <w:tcW w:type="dxa" w:w="3168"/>
            <w:tcBorders>
              <w:bottom w:val="single" w:sz="6" w:color="1B1A17"/>
            </w:tcBorders>
          </w:tcPr>
          <w:p>
            <w:pPr>
              <w:spacing w:before="40" w:after="40"/>
              <w:jc w:val="left"/>
            </w:pPr>
            <w:r/>
            <w:r>
              <w:rPr>
                <w:rFonts w:ascii="Cambria" w:hAnsi="Cambria"/>
                <w:b/>
                <w:sz w:val="19"/>
              </w:rPr>
              <w:t>What it improves</w:t>
            </w:r>
          </w:p>
        </w:tc>
        <w:tc>
          <w:tcPr>
            <w:tcW w:type="dxa" w:w="3312"/>
            <w:tcBorders>
              <w:bottom w:val="single" w:sz="6" w:color="1B1A17"/>
            </w:tcBorders>
          </w:tcPr>
          <w:p>
            <w:pPr>
              <w:spacing w:before="40" w:after="40"/>
              <w:jc w:val="left"/>
            </w:pPr>
            <w:r/>
            <w:r>
              <w:rPr>
                <w:rFonts w:ascii="Cambria" w:hAnsi="Cambria"/>
                <w:b/>
                <w:sz w:val="19"/>
              </w:rPr>
              <w:t>What is missing</w:t>
            </w:r>
          </w:p>
        </w:tc>
      </w:tr>
      <w:tr>
        <w:tc>
          <w:tcPr>
            <w:tcW w:type="dxa" w:w="2736"/>
          </w:tcPr>
          <w:p>
            <w:pPr>
              <w:spacing w:before="40" w:after="40"/>
              <w:jc w:val="left"/>
            </w:pPr>
            <w:r/>
            <w:hyperlink r:id="rId25">
              <w:r>
                <w:rPr>
                  <w:color w:val="1155CC"/>
                  <w:u w:val="single"/>
                  <w:sz w:val="18"/>
                  <w:rFonts w:ascii="Cambria" w:hAnsi="Cambria"/>
                </w:rPr>
                <w:t xml:space="preserve">US12462449B2 - Mask conditioned image transformation (patent, Adobe)</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Text-conditioned local edit blending</w:t>
            </w:r>
          </w:p>
        </w:tc>
        <w:tc>
          <w:tcPr>
            <w:tcW w:type="dxa" w:w="3312"/>
          </w:tcPr>
          <w:p>
            <w:pPr>
              <w:spacing w:before="40" w:after="40"/>
              <w:jc w:val="left"/>
            </w:pPr>
            <w:r/>
            <w:r>
              <w:rPr>
                <w:rFonts w:ascii="Cambria" w:hAnsi="Cambria"/>
                <w:b w:val="0"/>
                <w:sz w:val="19"/>
              </w:rPr>
              <w:t>Per-layer blending masks inside a generator; does NOT cover insertion into empty regions</w:t>
            </w:r>
          </w:p>
        </w:tc>
      </w:tr>
      <w:tr>
        <w:tc>
          <w:tcPr>
            <w:tcW w:type="dxa" w:w="2736"/>
          </w:tcPr>
          <w:p>
            <w:pPr>
              <w:spacing w:before="40" w:after="40"/>
              <w:jc w:val="left"/>
            </w:pPr>
            <w:r/>
            <w:hyperlink r:id="rId26">
              <w:r>
                <w:rPr>
                  <w:color w:val="1155CC"/>
                  <w:u w:val="single"/>
                  <w:sz w:val="18"/>
                  <w:rFonts w:ascii="Cambria" w:hAnsi="Cambria"/>
                </w:rPr>
                <w:t xml:space="preserve">MADD: Affordance-Aware Object Insertion (Dual Diffusion)</w:t>
              </w:r>
            </w:hyperlink>
          </w:p>
        </w:tc>
        <w:tc>
          <w:tcPr>
            <w:tcW w:type="dxa" w:w="576"/>
          </w:tcPr>
          <w:p>
            <w:pPr>
              <w:spacing w:before="40" w:after="40"/>
              <w:jc w:val="center"/>
            </w:pPr>
            <w:r/>
            <w:r>
              <w:rPr>
                <w:rFonts w:ascii="Cambria" w:hAnsi="Cambria"/>
                <w:b w:val="0"/>
                <w:sz w:val="19"/>
              </w:rPr>
              <w:t>2024</w:t>
            </w:r>
          </w:p>
        </w:tc>
        <w:tc>
          <w:tcPr>
            <w:tcW w:type="dxa" w:w="3168"/>
          </w:tcPr>
          <w:p>
            <w:pPr>
              <w:spacing w:before="40" w:after="40"/>
              <w:jc w:val="left"/>
            </w:pPr>
            <w:r/>
            <w:r>
              <w:rPr>
                <w:rFonts w:ascii="Cambria" w:hAnsi="Cambria"/>
                <w:b w:val="0"/>
                <w:sz w:val="19"/>
              </w:rPr>
              <w:t>Affordance-consistent insertion across position prompt types</w:t>
            </w:r>
          </w:p>
        </w:tc>
        <w:tc>
          <w:tcPr>
            <w:tcW w:type="dxa" w:w="3312"/>
          </w:tcPr>
          <w:p>
            <w:pPr>
              <w:spacing w:before="40" w:after="40"/>
              <w:jc w:val="left"/>
            </w:pPr>
            <w:r/>
            <w:r>
              <w:rPr>
                <w:rFonts w:ascii="Cambria" w:hAnsi="Cambria"/>
                <w:b w:val="0"/>
                <w:sz w:val="19"/>
              </w:rPr>
              <w:t>CRITICAL: requires a POSITION PROMPT. You tell it where. It does not infer location from langua</w:t>
            </w:r>
          </w:p>
        </w:tc>
      </w:tr>
      <w:tr>
        <w:tc>
          <w:tcPr>
            <w:tcW w:type="dxa" w:w="2736"/>
          </w:tcPr>
          <w:p>
            <w:pPr>
              <w:spacing w:before="40" w:after="40"/>
              <w:jc w:val="left"/>
            </w:pPr>
            <w:r/>
            <w:hyperlink r:id="rId27">
              <w:r>
                <w:rPr>
                  <w:color w:val="1155CC"/>
                  <w:u w:val="single"/>
                  <w:sz w:val="18"/>
                  <w:rFonts w:ascii="Cambria" w:hAnsi="Cambria"/>
                </w:rPr>
                <w:t xml:space="preserve">Add-it: Training-Free Object Insertion</w:t>
              </w:r>
            </w:hyperlink>
          </w:p>
        </w:tc>
        <w:tc>
          <w:tcPr>
            <w:tcW w:type="dxa" w:w="576"/>
          </w:tcPr>
          <w:p>
            <w:pPr>
              <w:spacing w:before="40" w:after="40"/>
              <w:jc w:val="center"/>
            </w:pPr>
            <w:r/>
            <w:r>
              <w:rPr>
                <w:rFonts w:ascii="Cambria" w:hAnsi="Cambria"/>
                <w:b w:val="0"/>
                <w:sz w:val="19"/>
              </w:rPr>
              <w:t>2024</w:t>
            </w:r>
          </w:p>
        </w:tc>
        <w:tc>
          <w:tcPr>
            <w:tcW w:type="dxa" w:w="3168"/>
          </w:tcPr>
          <w:p>
            <w:pPr>
              <w:spacing w:before="40" w:after="40"/>
              <w:jc w:val="left"/>
            </w:pPr>
            <w:r/>
            <w:r>
              <w:rPr>
                <w:rFonts w:ascii="Cambria" w:hAnsi="Cambria"/>
                <w:b w:val="0"/>
                <w:sz w:val="19"/>
              </w:rPr>
              <w:t>Affordance 47% to 83%; structural consistency</w:t>
            </w:r>
          </w:p>
        </w:tc>
        <w:tc>
          <w:tcPr>
            <w:tcW w:type="dxa" w:w="3312"/>
          </w:tcPr>
          <w:p>
            <w:pPr>
              <w:spacing w:before="40" w:after="40"/>
              <w:jc w:val="left"/>
            </w:pPr>
            <w:r/>
            <w:r>
              <w:rPr>
                <w:rFonts w:ascii="Cambria" w:hAnsi="Cambria"/>
                <w:b w:val="0"/>
                <w:sz w:val="19"/>
              </w:rPr>
              <w:t>Training-free and unsupervised; placement emerges from attention, not a predicted region</w:t>
            </w:r>
          </w:p>
        </w:tc>
      </w:tr>
      <w:tr>
        <w:tc>
          <w:tcPr>
            <w:tcW w:type="dxa" w:w="2736"/>
          </w:tcPr>
          <w:p>
            <w:pPr>
              <w:spacing w:before="40" w:after="40"/>
              <w:jc w:val="left"/>
            </w:pPr>
            <w:r/>
            <w:hyperlink r:id="rId28">
              <w:r>
                <w:rPr>
                  <w:color w:val="1155CC"/>
                  <w:u w:val="single"/>
                  <w:sz w:val="18"/>
                  <w:rFonts w:ascii="Cambria" w:hAnsi="Cambria"/>
                </w:rPr>
                <w:t xml:space="preserve">US12561956 - Affordance-based reposing of an object (patent)</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Insertion realism</w:t>
            </w:r>
          </w:p>
        </w:tc>
        <w:tc>
          <w:tcPr>
            <w:tcW w:type="dxa" w:w="3312"/>
          </w:tcPr>
          <w:p>
            <w:pPr>
              <w:spacing w:before="40" w:after="40"/>
              <w:jc w:val="left"/>
            </w:pPr>
            <w:r/>
            <w:r>
              <w:rPr>
                <w:rFonts w:ascii="Cambria" w:hAnsi="Cambria"/>
                <w:b w:val="0"/>
                <w:sz w:val="19"/>
              </w:rPr>
              <w:t>Requires 'an original image with A MARKED REGION' - location is given</w:t>
            </w:r>
          </w:p>
        </w:tc>
      </w:tr>
    </w:tbl>
    <w:p>
      <w:pPr>
        <w:spacing w:after="80"/>
      </w:pPr>
    </w:p>
    <w:p>
      <w:pPr>
        <w:pStyle w:val="Heading1"/>
      </w:pPr>
      <w:r>
        <w:t>6  Region-aware efficiency</w:t>
      </w:r>
    </w:p>
    <w:p>
      <w:pPr>
        <w:spacing w:after="120"/>
        <w:jc w:val="both"/>
      </w:pPr>
      <w:r>
        <w:rPr>
          <w:b w:val="0"/>
          <w:i w:val="0"/>
          <w:sz w:val="22"/>
        </w:rPr>
        <w:t>Three works exploit regions to reduce computation, and each assumes the region originates elsewhere. RegionE skips denoising in unchanged areas but infers the region from an initial denoising pass. SpotEdit skips stable regions by perceptual similarity. LazyDiffusion synthesises only the masked region from a compact global context and requires a user-drawn mask. The cluster establishes that a reusable per-image representation with an inexpensive per-instruction query is a recognised structure, which is the structure of the present architecture.</w:t>
      </w:r>
    </w:p>
    <w:p>
      <w:pPr>
        <w:spacing w:after="60"/>
      </w:pPr>
      <w:r>
        <w:rPr>
          <w:i/>
          <w:color w:val="5A5852"/>
          <w:sz w:val="19"/>
        </w:rPr>
        <w:t>Table 6. Region-aware efficiency — 3 works. Titles are links.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2736"/>
            <w:tcBorders>
              <w:bottom w:val="single" w:sz="6" w:color="1B1A17"/>
            </w:tcBorders>
          </w:tcPr>
          <w:p>
            <w:pPr>
              <w:spacing w:before="40" w:after="40"/>
              <w:jc w:val="left"/>
            </w:pPr>
            <w:r/>
            <w:r>
              <w:rPr>
                <w:rFonts w:ascii="Cambria" w:hAnsi="Cambria"/>
                <w:b/>
                <w:sz w:val="19"/>
              </w:rPr>
              <w:t>Work</w:t>
            </w:r>
          </w:p>
        </w:tc>
        <w:tc>
          <w:tcPr>
            <w:tcW w:type="dxa" w:w="576"/>
            <w:tcBorders>
              <w:bottom w:val="single" w:sz="6" w:color="1B1A17"/>
            </w:tcBorders>
          </w:tcPr>
          <w:p>
            <w:pPr>
              <w:spacing w:before="40" w:after="40"/>
              <w:jc w:val="center"/>
            </w:pPr>
            <w:r/>
            <w:r>
              <w:rPr>
                <w:rFonts w:ascii="Cambria" w:hAnsi="Cambria"/>
                <w:b/>
                <w:sz w:val="19"/>
              </w:rPr>
              <w:t>Yr</w:t>
            </w:r>
          </w:p>
        </w:tc>
        <w:tc>
          <w:tcPr>
            <w:tcW w:type="dxa" w:w="3168"/>
            <w:tcBorders>
              <w:bottom w:val="single" w:sz="6" w:color="1B1A17"/>
            </w:tcBorders>
          </w:tcPr>
          <w:p>
            <w:pPr>
              <w:spacing w:before="40" w:after="40"/>
              <w:jc w:val="left"/>
            </w:pPr>
            <w:r/>
            <w:r>
              <w:rPr>
                <w:rFonts w:ascii="Cambria" w:hAnsi="Cambria"/>
                <w:b/>
                <w:sz w:val="19"/>
              </w:rPr>
              <w:t>What it improves</w:t>
            </w:r>
          </w:p>
        </w:tc>
        <w:tc>
          <w:tcPr>
            <w:tcW w:type="dxa" w:w="3312"/>
            <w:tcBorders>
              <w:bottom w:val="single" w:sz="6" w:color="1B1A17"/>
            </w:tcBorders>
          </w:tcPr>
          <w:p>
            <w:pPr>
              <w:spacing w:before="40" w:after="40"/>
              <w:jc w:val="left"/>
            </w:pPr>
            <w:r/>
            <w:r>
              <w:rPr>
                <w:rFonts w:ascii="Cambria" w:hAnsi="Cambria"/>
                <w:b/>
                <w:sz w:val="19"/>
              </w:rPr>
              <w:t>What is missing</w:t>
            </w:r>
          </w:p>
        </w:tc>
      </w:tr>
      <w:tr>
        <w:tc>
          <w:tcPr>
            <w:tcW w:type="dxa" w:w="2736"/>
          </w:tcPr>
          <w:p>
            <w:pPr>
              <w:spacing w:before="40" w:after="40"/>
              <w:jc w:val="left"/>
            </w:pPr>
            <w:r/>
            <w:hyperlink r:id="rId29">
              <w:r>
                <w:rPr>
                  <w:color w:val="1155CC"/>
                  <w:u w:val="single"/>
                  <w:sz w:val="18"/>
                  <w:rFonts w:ascii="Cambria" w:hAnsi="Cambria"/>
                </w:rPr>
                <w:t xml:space="preserve">RegionE: Adaptive Region-Aware Generation</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2.57x / 2.41x / 2.06x on Step1X-Edit, FLUX.1 Kontext, Qwen-Image-Edit; PSNR 30.5-32.1</w:t>
            </w:r>
          </w:p>
        </w:tc>
        <w:tc>
          <w:tcPr>
            <w:tcW w:type="dxa" w:w="3312"/>
          </w:tcPr>
          <w:p>
            <w:pPr>
              <w:spacing w:before="40" w:after="40"/>
              <w:jc w:val="left"/>
            </w:pPr>
            <w:r/>
            <w:r>
              <w:rPr>
                <w:rFonts w:ascii="Cambria" w:hAnsi="Cambria"/>
                <w:b w:val="0"/>
                <w:sz w:val="19"/>
              </w:rPr>
              <w:t>Infers the region from an initial denoising pass - i.e. AFTER generation begins, not from the i</w:t>
            </w:r>
          </w:p>
        </w:tc>
      </w:tr>
      <w:tr>
        <w:tc>
          <w:tcPr>
            <w:tcW w:type="dxa" w:w="2736"/>
          </w:tcPr>
          <w:p>
            <w:pPr>
              <w:spacing w:before="40" w:after="40"/>
              <w:jc w:val="left"/>
            </w:pPr>
            <w:r/>
            <w:hyperlink r:id="rId30">
              <w:r>
                <w:rPr>
                  <w:color w:val="1155CC"/>
                  <w:u w:val="single"/>
                  <w:sz w:val="18"/>
                  <w:rFonts w:ascii="Cambria" w:hAnsi="Cambria"/>
                </w:rPr>
                <w:t xml:space="preserve">SpotEdit: Selective Region Editing in Diffusion Transformers</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1.95x speedup, fidelity preserved; orthogonal to other DiT accelerations</w:t>
            </w:r>
          </w:p>
        </w:tc>
        <w:tc>
          <w:tcPr>
            <w:tcW w:type="dxa" w:w="3312"/>
          </w:tcPr>
          <w:p>
            <w:pPr>
              <w:spacing w:before="40" w:after="40"/>
              <w:jc w:val="left"/>
            </w:pPr>
            <w:r/>
            <w:r>
              <w:rPr>
                <w:rFonts w:ascii="Cambria" w:hAnsi="Cambria"/>
                <w:b w:val="0"/>
                <w:sz w:val="19"/>
              </w:rPr>
              <w:t>Consumes a region; does not produce one from language</w:t>
            </w:r>
          </w:p>
        </w:tc>
      </w:tr>
      <w:tr>
        <w:tc>
          <w:tcPr>
            <w:tcW w:type="dxa" w:w="2736"/>
          </w:tcPr>
          <w:p>
            <w:pPr>
              <w:spacing w:before="40" w:after="40"/>
              <w:jc w:val="left"/>
            </w:pPr>
            <w:r/>
            <w:hyperlink r:id="rId31">
              <w:r>
                <w:rPr>
                  <w:color w:val="1155CC"/>
                  <w:u w:val="single"/>
                  <w:sz w:val="18"/>
                  <w:rFonts w:ascii="Cambria" w:hAnsi="Cambria"/>
                </w:rPr>
                <w:t xml:space="preserve">LazyDiffusion: Lazy Diffusion Transformer</w:t>
              </w:r>
            </w:hyperlink>
          </w:p>
        </w:tc>
        <w:tc>
          <w:tcPr>
            <w:tcW w:type="dxa" w:w="576"/>
          </w:tcPr>
          <w:p>
            <w:pPr>
              <w:spacing w:before="40" w:after="40"/>
              <w:jc w:val="center"/>
            </w:pPr>
            <w:r/>
            <w:r>
              <w:rPr>
                <w:rFonts w:ascii="Cambria" w:hAnsi="Cambria"/>
                <w:b w:val="0"/>
                <w:sz w:val="19"/>
              </w:rPr>
              <w:t>2024</w:t>
            </w:r>
          </w:p>
        </w:tc>
        <w:tc>
          <w:tcPr>
            <w:tcW w:type="dxa" w:w="3168"/>
          </w:tcPr>
          <w:p>
            <w:pPr>
              <w:spacing w:before="40" w:after="40"/>
              <w:jc w:val="left"/>
            </w:pPr>
            <w:r/>
            <w:r>
              <w:rPr>
                <w:rFonts w:ascii="Cambria" w:hAnsi="Cambria"/>
                <w:b w:val="0"/>
                <w:sz w:val="19"/>
              </w:rPr>
              <w:t>~10x speedup at 10% mask; global context retained vs tight crop</w:t>
            </w:r>
          </w:p>
        </w:tc>
        <w:tc>
          <w:tcPr>
            <w:tcW w:type="dxa" w:w="3312"/>
          </w:tcPr>
          <w:p>
            <w:pPr>
              <w:spacing w:before="40" w:after="40"/>
              <w:jc w:val="left"/>
            </w:pPr>
            <w:r/>
            <w:r>
              <w:rPr>
                <w:rFonts w:ascii="Cambria" w:hAnsi="Cambria"/>
                <w:b w:val="0"/>
                <w:sz w:val="19"/>
              </w:rPr>
              <w:t>REQUIRES A USER-DRAWN MASK. Frames the crop-vs-full-context tradeoff but never predicts the reg</w:t>
            </w:r>
          </w:p>
        </w:tc>
      </w:tr>
    </w:tbl>
    <w:p>
      <w:pPr>
        <w:spacing w:after="80"/>
      </w:pPr>
    </w:p>
    <w:p>
      <w:pPr>
        <w:pStyle w:val="Heading1"/>
      </w:pPr>
      <w:r>
        <w:t>7  Text-guided segmentation</w:t>
      </w:r>
    </w:p>
    <w:p>
      <w:pPr>
        <w:spacing w:after="120"/>
        <w:jc w:val="both"/>
      </w:pPr>
      <w:r>
        <w:rPr>
          <w:b w:val="0"/>
          <w:i w:val="0"/>
          <w:sz w:val="22"/>
        </w:rPr>
        <w:t>Referring segmentation returns the region a phrase denotes. For an instruction such as “put a hat on the man” the phrase denotes the man, whereas the region requiring change is the space above him. The referring-segmentation survey makes this distinction explicit. We measured the consequence instead of assuming it: CLIPSeg attains 0.1849 IoU overall on this task but 0.054 on insertions. VespaSeg is a precedent in the opposite direction, demonstrating that lightweight text-conditioned segmentation is viable.</w:t>
      </w:r>
    </w:p>
    <w:p>
      <w:pPr>
        <w:spacing w:after="60"/>
      </w:pPr>
      <w:r>
        <w:rPr>
          <w:i/>
          <w:color w:val="5A5852"/>
          <w:sz w:val="19"/>
        </w:rPr>
        <w:t>Table 7. Text-guided segmentation — 5 works. Titles are links.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2736"/>
            <w:tcBorders>
              <w:bottom w:val="single" w:sz="6" w:color="1B1A17"/>
            </w:tcBorders>
          </w:tcPr>
          <w:p>
            <w:pPr>
              <w:spacing w:before="40" w:after="40"/>
              <w:jc w:val="left"/>
            </w:pPr>
            <w:r/>
            <w:r>
              <w:rPr>
                <w:rFonts w:ascii="Cambria" w:hAnsi="Cambria"/>
                <w:b/>
                <w:sz w:val="19"/>
              </w:rPr>
              <w:t>Work</w:t>
            </w:r>
          </w:p>
        </w:tc>
        <w:tc>
          <w:tcPr>
            <w:tcW w:type="dxa" w:w="576"/>
            <w:tcBorders>
              <w:bottom w:val="single" w:sz="6" w:color="1B1A17"/>
            </w:tcBorders>
          </w:tcPr>
          <w:p>
            <w:pPr>
              <w:spacing w:before="40" w:after="40"/>
              <w:jc w:val="center"/>
            </w:pPr>
            <w:r/>
            <w:r>
              <w:rPr>
                <w:rFonts w:ascii="Cambria" w:hAnsi="Cambria"/>
                <w:b/>
                <w:sz w:val="19"/>
              </w:rPr>
              <w:t>Yr</w:t>
            </w:r>
          </w:p>
        </w:tc>
        <w:tc>
          <w:tcPr>
            <w:tcW w:type="dxa" w:w="3168"/>
            <w:tcBorders>
              <w:bottom w:val="single" w:sz="6" w:color="1B1A17"/>
            </w:tcBorders>
          </w:tcPr>
          <w:p>
            <w:pPr>
              <w:spacing w:before="40" w:after="40"/>
              <w:jc w:val="left"/>
            </w:pPr>
            <w:r/>
            <w:r>
              <w:rPr>
                <w:rFonts w:ascii="Cambria" w:hAnsi="Cambria"/>
                <w:b/>
                <w:sz w:val="19"/>
              </w:rPr>
              <w:t>What it improves</w:t>
            </w:r>
          </w:p>
        </w:tc>
        <w:tc>
          <w:tcPr>
            <w:tcW w:type="dxa" w:w="3312"/>
            <w:tcBorders>
              <w:bottom w:val="single" w:sz="6" w:color="1B1A17"/>
            </w:tcBorders>
          </w:tcPr>
          <w:p>
            <w:pPr>
              <w:spacing w:before="40" w:after="40"/>
              <w:jc w:val="left"/>
            </w:pPr>
            <w:r/>
            <w:r>
              <w:rPr>
                <w:rFonts w:ascii="Cambria" w:hAnsi="Cambria"/>
                <w:b/>
                <w:sz w:val="19"/>
              </w:rPr>
              <w:t>What is missing</w:t>
            </w:r>
          </w:p>
        </w:tc>
      </w:tr>
      <w:tr>
        <w:tc>
          <w:tcPr>
            <w:tcW w:type="dxa" w:w="2736"/>
          </w:tcPr>
          <w:p>
            <w:pPr>
              <w:spacing w:before="40" w:after="40"/>
              <w:jc w:val="left"/>
            </w:pPr>
            <w:r/>
            <w:hyperlink r:id="rId32">
              <w:r>
                <w:rPr>
                  <w:color w:val="1155CC"/>
                  <w:u w:val="single"/>
                  <w:sz w:val="18"/>
                  <w:rFonts w:ascii="Cambria" w:hAnsi="Cambria"/>
                </w:rPr>
                <w:t xml:space="preserve">VespaSeg: Resource-Aware Ground-then-Segment RES</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Resource-aware referring segmentation; strong accuracy at low cost</w:t>
            </w:r>
          </w:p>
        </w:tc>
        <w:tc>
          <w:tcPr>
            <w:tcW w:type="dxa" w:w="3312"/>
          </w:tcPr>
          <w:p>
            <w:pPr>
              <w:spacing w:before="40" w:after="40"/>
              <w:jc w:val="left"/>
            </w:pPr>
            <w:r/>
            <w:r>
              <w:rPr>
                <w:rFonts w:ascii="Cambria" w:hAnsi="Cambria"/>
                <w:b w:val="0"/>
                <w:sz w:val="19"/>
              </w:rPr>
              <w:t>Referring semantics. IMPORTANT PRECEDENT: proves lightweight text-conditioned segmentation is v</w:t>
            </w:r>
          </w:p>
        </w:tc>
      </w:tr>
      <w:tr>
        <w:tc>
          <w:tcPr>
            <w:tcW w:type="dxa" w:w="2736"/>
          </w:tcPr>
          <w:p>
            <w:pPr>
              <w:spacing w:before="40" w:after="40"/>
              <w:jc w:val="left"/>
            </w:pPr>
            <w:r/>
            <w:hyperlink r:id="rId33">
              <w:r>
                <w:rPr>
                  <w:color w:val="1155CC"/>
                  <w:u w:val="single"/>
                  <w:sz w:val="18"/>
                  <w:rFonts w:ascii="Cambria" w:hAnsi="Cambria"/>
                </w:rPr>
                <w:t xml:space="preserve">AnchorSeg: Language Grounded Query Banks</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Reasoning segmentation accuracy</w:t>
            </w:r>
          </w:p>
        </w:tc>
        <w:tc>
          <w:tcPr>
            <w:tcW w:type="dxa" w:w="3312"/>
          </w:tcPr>
          <w:p>
            <w:pPr>
              <w:spacing w:before="40" w:after="40"/>
              <w:jc w:val="left"/>
            </w:pPr>
            <w:r/>
            <w:r>
              <w:rPr>
                <w:rFonts w:ascii="Cambria" w:hAnsi="Cambria"/>
                <w:b w:val="0"/>
                <w:sz w:val="19"/>
              </w:rPr>
              <w:t>Referring semantics</w:t>
            </w:r>
          </w:p>
        </w:tc>
      </w:tr>
      <w:tr>
        <w:tc>
          <w:tcPr>
            <w:tcW w:type="dxa" w:w="2736"/>
          </w:tcPr>
          <w:p>
            <w:pPr>
              <w:spacing w:before="40" w:after="40"/>
              <w:jc w:val="left"/>
            </w:pPr>
            <w:r/>
            <w:hyperlink r:id="rId34">
              <w:r>
                <w:rPr>
                  <w:color w:val="1155CC"/>
                  <w:u w:val="single"/>
                  <w:sz w:val="18"/>
                  <w:rFonts w:ascii="Cambria" w:hAnsi="Cambria"/>
                </w:rPr>
                <w:t xml:space="preserve">SetCon: Open-Ended Referring Segmentation</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Open-vocabulary referring segmentation</w:t>
            </w:r>
          </w:p>
        </w:tc>
        <w:tc>
          <w:tcPr>
            <w:tcW w:type="dxa" w:w="3312"/>
          </w:tcPr>
          <w:p>
            <w:pPr>
              <w:spacing w:before="40" w:after="40"/>
              <w:jc w:val="left"/>
            </w:pPr>
            <w:r/>
            <w:r>
              <w:rPr>
                <w:rFonts w:ascii="Cambria" w:hAnsi="Cambria"/>
                <w:b w:val="0"/>
                <w:sz w:val="19"/>
              </w:rPr>
              <w:t>Referring semantics</w:t>
            </w:r>
          </w:p>
        </w:tc>
      </w:tr>
      <w:tr>
        <w:tc>
          <w:tcPr>
            <w:tcW w:type="dxa" w:w="2736"/>
          </w:tcPr>
          <w:p>
            <w:pPr>
              <w:spacing w:before="40" w:after="40"/>
              <w:jc w:val="left"/>
            </w:pPr>
            <w:r/>
            <w:hyperlink r:id="rId35">
              <w:r>
                <w:rPr>
                  <w:color w:val="1155CC"/>
                  <w:u w:val="single"/>
                  <w:sz w:val="18"/>
                  <w:rFonts w:ascii="Cambria" w:hAnsi="Cambria"/>
                </w:rPr>
                <w:t xml:space="preserve">DGSeg: Dynamic Gating of Semantic-Spatial Predictions</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Reasoning segmentation robustness</w:t>
            </w:r>
          </w:p>
        </w:tc>
        <w:tc>
          <w:tcPr>
            <w:tcW w:type="dxa" w:w="3312"/>
          </w:tcPr>
          <w:p>
            <w:pPr>
              <w:spacing w:before="40" w:after="40"/>
              <w:jc w:val="left"/>
            </w:pPr>
            <w:r/>
            <w:r>
              <w:rPr>
                <w:rFonts w:ascii="Cambria" w:hAnsi="Cambria"/>
                <w:b w:val="0"/>
                <w:sz w:val="19"/>
              </w:rPr>
              <w:t>Referring semantics</w:t>
            </w:r>
          </w:p>
        </w:tc>
      </w:tr>
      <w:tr>
        <w:tc>
          <w:tcPr>
            <w:tcW w:type="dxa" w:w="2736"/>
          </w:tcPr>
          <w:p>
            <w:pPr>
              <w:spacing w:before="40" w:after="40"/>
              <w:jc w:val="left"/>
            </w:pPr>
            <w:r/>
            <w:hyperlink r:id="rId36">
              <w:r>
                <w:rPr>
                  <w:color w:val="1155CC"/>
                  <w:u w:val="single"/>
                  <w:sz w:val="18"/>
                  <w:rFonts w:ascii="Cambria" w:hAnsi="Cambria"/>
                </w:rPr>
                <w:t xml:space="preserve">RSAgent: Reason and Act for Text-Guided Segmentation</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Complex query segmentation via tool use</w:t>
            </w:r>
          </w:p>
        </w:tc>
        <w:tc>
          <w:tcPr>
            <w:tcW w:type="dxa" w:w="3312"/>
          </w:tcPr>
          <w:p>
            <w:pPr>
              <w:spacing w:before="40" w:after="40"/>
              <w:jc w:val="left"/>
            </w:pPr>
            <w:r/>
            <w:r>
              <w:rPr>
                <w:rFonts w:ascii="Cambria" w:hAnsi="Cambria"/>
                <w:b w:val="0"/>
                <w:sz w:val="19"/>
              </w:rPr>
              <w:t>Agentic overhead; referring semantics</w:t>
            </w:r>
          </w:p>
        </w:tc>
      </w:tr>
    </w:tbl>
    <w:p>
      <w:pPr>
        <w:spacing w:after="80"/>
      </w:pPr>
    </w:p>
    <w:p>
      <w:pPr>
        <w:pStyle w:val="Heading1"/>
      </w:pPr>
      <w:r>
        <w:t>8  Benchmarks and metrics</w:t>
      </w:r>
    </w:p>
    <w:p>
      <w:pPr>
        <w:spacing w:after="120"/>
        <w:jc w:val="both"/>
      </w:pPr>
      <w:r>
        <w:rPr>
          <w:b w:val="0"/>
          <w:i w:val="0"/>
          <w:sz w:val="22"/>
        </w:rPr>
        <w:t>Four works, none of which scores a predicted region. LocateEdit-Bench scores localization of edits that have already occurred, which is post-hoc analysis of a finished edit, not an evaluation of a region predicted beforehand. GEdit-Bench and the region-and-semantics metric score the output image. The affordance benchmark measures plausibility, not predicted-region IoU. This absence explains how a 2026 paper built around a MaskPredictor reports no mask IoU.</w:t>
      </w:r>
    </w:p>
    <w:p>
      <w:pPr>
        <w:spacing w:after="60"/>
      </w:pPr>
      <w:r>
        <w:rPr>
          <w:i/>
          <w:color w:val="5A5852"/>
          <w:sz w:val="19"/>
        </w:rPr>
        <w:t>Table 8. Benchmarks and metrics — 4 works. Titles are links.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2736"/>
            <w:tcBorders>
              <w:bottom w:val="single" w:sz="6" w:color="1B1A17"/>
            </w:tcBorders>
          </w:tcPr>
          <w:p>
            <w:pPr>
              <w:spacing w:before="40" w:after="40"/>
              <w:jc w:val="left"/>
            </w:pPr>
            <w:r/>
            <w:r>
              <w:rPr>
                <w:rFonts w:ascii="Cambria" w:hAnsi="Cambria"/>
                <w:b/>
                <w:sz w:val="19"/>
              </w:rPr>
              <w:t>Work</w:t>
            </w:r>
          </w:p>
        </w:tc>
        <w:tc>
          <w:tcPr>
            <w:tcW w:type="dxa" w:w="576"/>
            <w:tcBorders>
              <w:bottom w:val="single" w:sz="6" w:color="1B1A17"/>
            </w:tcBorders>
          </w:tcPr>
          <w:p>
            <w:pPr>
              <w:spacing w:before="40" w:after="40"/>
              <w:jc w:val="center"/>
            </w:pPr>
            <w:r/>
            <w:r>
              <w:rPr>
                <w:rFonts w:ascii="Cambria" w:hAnsi="Cambria"/>
                <w:b/>
                <w:sz w:val="19"/>
              </w:rPr>
              <w:t>Yr</w:t>
            </w:r>
          </w:p>
        </w:tc>
        <w:tc>
          <w:tcPr>
            <w:tcW w:type="dxa" w:w="3168"/>
            <w:tcBorders>
              <w:bottom w:val="single" w:sz="6" w:color="1B1A17"/>
            </w:tcBorders>
          </w:tcPr>
          <w:p>
            <w:pPr>
              <w:spacing w:before="40" w:after="40"/>
              <w:jc w:val="left"/>
            </w:pPr>
            <w:r/>
            <w:r>
              <w:rPr>
                <w:rFonts w:ascii="Cambria" w:hAnsi="Cambria"/>
                <w:b/>
                <w:sz w:val="19"/>
              </w:rPr>
              <w:t>What it improves</w:t>
            </w:r>
          </w:p>
        </w:tc>
        <w:tc>
          <w:tcPr>
            <w:tcW w:type="dxa" w:w="3312"/>
            <w:tcBorders>
              <w:bottom w:val="single" w:sz="6" w:color="1B1A17"/>
            </w:tcBorders>
          </w:tcPr>
          <w:p>
            <w:pPr>
              <w:spacing w:before="40" w:after="40"/>
              <w:jc w:val="left"/>
            </w:pPr>
            <w:r/>
            <w:r>
              <w:rPr>
                <w:rFonts w:ascii="Cambria" w:hAnsi="Cambria"/>
                <w:b/>
                <w:sz w:val="19"/>
              </w:rPr>
              <w:t>What is missing</w:t>
            </w:r>
          </w:p>
        </w:tc>
      </w:tr>
      <w:tr>
        <w:tc>
          <w:tcPr>
            <w:tcW w:type="dxa" w:w="2736"/>
          </w:tcPr>
          <w:p>
            <w:pPr>
              <w:spacing w:before="40" w:after="40"/>
              <w:jc w:val="left"/>
            </w:pPr>
            <w:r/>
            <w:hyperlink r:id="rId37">
              <w:r>
                <w:rPr>
                  <w:color w:val="1155CC"/>
                  <w:u w:val="single"/>
                  <w:sz w:val="18"/>
                  <w:rFonts w:ascii="Cambria" w:hAnsi="Cambria"/>
                </w:rPr>
                <w:t xml:space="preserve">LocateEdit-Bench: Benchmark for Editing Localization</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Standardises evaluation of edit localization methods</w:t>
            </w:r>
          </w:p>
        </w:tc>
        <w:tc>
          <w:tcPr>
            <w:tcW w:type="dxa" w:w="3312"/>
          </w:tcPr>
          <w:p>
            <w:pPr>
              <w:spacing w:before="40" w:after="40"/>
              <w:jc w:val="left"/>
            </w:pPr>
            <w:r/>
            <w:r>
              <w:rPr>
                <w:rFonts w:ascii="Cambria" w:hAnsi="Cambria"/>
                <w:b w:val="0"/>
                <w:sz w:val="19"/>
              </w:rPr>
              <w:t>Scores localization of edits that ALREADY OCCURRED (post-hoc forensics). Does not score a regio</w:t>
            </w:r>
          </w:p>
        </w:tc>
      </w:tr>
      <w:tr>
        <w:tc>
          <w:tcPr>
            <w:tcW w:type="dxa" w:w="2736"/>
          </w:tcPr>
          <w:p>
            <w:pPr>
              <w:spacing w:before="40" w:after="40"/>
              <w:jc w:val="left"/>
            </w:pPr>
            <w:r/>
            <w:hyperlink r:id="rId38">
              <w:r>
                <w:rPr>
                  <w:color w:val="1155CC"/>
                  <w:u w:val="single"/>
                  <w:sz w:val="18"/>
                  <w:rFonts w:ascii="Cambria" w:hAnsi="Cambria"/>
                </w:rPr>
                <w:t xml:space="preserve">Balancing Preservation and Modification: Region+Semantic Metric</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Better correlation with human judgement than CLIP-only</w:t>
            </w:r>
          </w:p>
        </w:tc>
        <w:tc>
          <w:tcPr>
            <w:tcW w:type="dxa" w:w="3312"/>
          </w:tcPr>
          <w:p>
            <w:pPr>
              <w:spacing w:before="40" w:after="40"/>
              <w:jc w:val="left"/>
            </w:pPr>
            <w:r/>
            <w:r>
              <w:rPr>
                <w:rFonts w:ascii="Cambria" w:hAnsi="Cambria"/>
                <w:b w:val="0"/>
                <w:sz w:val="19"/>
              </w:rPr>
              <w:t>Scores the output image, not the predicted region</w:t>
            </w:r>
          </w:p>
        </w:tc>
      </w:tr>
      <w:tr>
        <w:tc>
          <w:tcPr>
            <w:tcW w:type="dxa" w:w="2736"/>
          </w:tcPr>
          <w:p>
            <w:pPr>
              <w:spacing w:before="40" w:after="40"/>
              <w:jc w:val="left"/>
            </w:pPr>
            <w:r/>
            <w:hyperlink r:id="rId18">
              <w:r>
                <w:rPr>
                  <w:color w:val="1155CC"/>
                  <w:u w:val="single"/>
                  <w:sz w:val="18"/>
                  <w:rFonts w:ascii="Cambria" w:hAnsi="Cambria"/>
                </w:rPr>
                <w:t xml:space="preserve">GEdit-Bench (via Step1X-Edit)</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subject-add 8.28, text_change 8.53, color_alter 7.93, motion_change 3.63</w:t>
            </w:r>
          </w:p>
        </w:tc>
        <w:tc>
          <w:tcPr>
            <w:tcW w:type="dxa" w:w="3312"/>
          </w:tcPr>
          <w:p>
            <w:pPr>
              <w:spacing w:before="40" w:after="40"/>
              <w:jc w:val="left"/>
            </w:pPr>
            <w:r/>
            <w:r>
              <w:rPr>
                <w:rFonts w:ascii="Cambria" w:hAnsi="Cambria"/>
                <w:b w:val="0"/>
                <w:sz w:val="19"/>
              </w:rPr>
              <w:t>Scores the edited image only; edit region never evaluated</w:t>
            </w:r>
          </w:p>
        </w:tc>
      </w:tr>
      <w:tr>
        <w:tc>
          <w:tcPr>
            <w:tcW w:type="dxa" w:w="2736"/>
          </w:tcPr>
          <w:p>
            <w:pPr>
              <w:spacing w:before="40" w:after="40"/>
              <w:jc w:val="left"/>
            </w:pPr>
            <w:r/>
            <w:hyperlink r:id="rId27">
              <w:r>
                <w:rPr>
                  <w:color w:val="1155CC"/>
                  <w:u w:val="single"/>
                  <w:sz w:val="18"/>
                  <w:rFonts w:ascii="Cambria" w:hAnsi="Cambria"/>
                </w:rPr>
                <w:t xml:space="preserve">Adding Affordance Benchmark (via Add-it)</w:t>
              </w:r>
            </w:hyperlink>
          </w:p>
        </w:tc>
        <w:tc>
          <w:tcPr>
            <w:tcW w:type="dxa" w:w="576"/>
          </w:tcPr>
          <w:p>
            <w:pPr>
              <w:spacing w:before="40" w:after="40"/>
              <w:jc w:val="center"/>
            </w:pPr>
            <w:r/>
            <w:r>
              <w:rPr>
                <w:rFonts w:ascii="Cambria" w:hAnsi="Cambria"/>
                <w:b w:val="0"/>
                <w:sz w:val="19"/>
              </w:rPr>
              <w:t>2024</w:t>
            </w:r>
          </w:p>
        </w:tc>
        <w:tc>
          <w:tcPr>
            <w:tcW w:type="dxa" w:w="3168"/>
          </w:tcPr>
          <w:p>
            <w:pPr>
              <w:spacing w:before="40" w:after="40"/>
              <w:jc w:val="left"/>
            </w:pPr>
            <w:r/>
            <w:r>
              <w:rPr>
                <w:rFonts w:ascii="Cambria" w:hAnsi="Cambria"/>
                <w:b w:val="0"/>
                <w:sz w:val="19"/>
              </w:rPr>
              <w:t>Affordance plausibility 47% to 83%</w:t>
            </w:r>
          </w:p>
        </w:tc>
        <w:tc>
          <w:tcPr>
            <w:tcW w:type="dxa" w:w="3312"/>
          </w:tcPr>
          <w:p>
            <w:pPr>
              <w:spacing w:before="40" w:after="40"/>
              <w:jc w:val="left"/>
            </w:pPr>
            <w:r/>
            <w:r>
              <w:rPr>
                <w:rFonts w:ascii="Cambria" w:hAnsi="Cambria"/>
                <w:b w:val="0"/>
                <w:sz w:val="19"/>
              </w:rPr>
              <w:t>Human-annotated; small; measures plausibility not predicted region IoU</w:t>
            </w:r>
          </w:p>
        </w:tc>
      </w:tr>
    </w:tbl>
    <w:p>
      <w:pPr>
        <w:spacing w:after="80"/>
      </w:pPr>
    </w:p>
    <w:p>
      <w:pPr>
        <w:pStyle w:val="Heading1"/>
      </w:pPr>
      <w:r>
        <w:t>9  Planning and reasoning</w:t>
      </w:r>
    </w:p>
    <w:p>
      <w:pPr>
        <w:spacing w:after="120"/>
        <w:jc w:val="both"/>
      </w:pPr>
      <w:r>
        <w:rPr>
          <w:b w:val="0"/>
          <w:i w:val="0"/>
          <w:sz w:val="22"/>
        </w:rPr>
        <w:t>These works decompose complex instructions prior to editing. X-Planner divides instructions into steps and RePlan adds region-aligned guidance through a multimodal planner. That planning is semantic: what to do, and in what order. It stops short of where, in pixels. Each also places a multi-billion parameter model in the loop for a decision the present head performs in 5.30 milliseconds.</w:t>
      </w:r>
    </w:p>
    <w:p>
      <w:pPr>
        <w:spacing w:after="60"/>
      </w:pPr>
      <w:r>
        <w:rPr>
          <w:i/>
          <w:color w:val="5A5852"/>
          <w:sz w:val="19"/>
        </w:rPr>
        <w:t>Table 9. Planning and reasoning — 4 works. Titles are links.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2736"/>
            <w:tcBorders>
              <w:bottom w:val="single" w:sz="6" w:color="1B1A17"/>
            </w:tcBorders>
          </w:tcPr>
          <w:p>
            <w:pPr>
              <w:spacing w:before="40" w:after="40"/>
              <w:jc w:val="left"/>
            </w:pPr>
            <w:r/>
            <w:r>
              <w:rPr>
                <w:rFonts w:ascii="Cambria" w:hAnsi="Cambria"/>
                <w:b/>
                <w:sz w:val="19"/>
              </w:rPr>
              <w:t>Work</w:t>
            </w:r>
          </w:p>
        </w:tc>
        <w:tc>
          <w:tcPr>
            <w:tcW w:type="dxa" w:w="576"/>
            <w:tcBorders>
              <w:bottom w:val="single" w:sz="6" w:color="1B1A17"/>
            </w:tcBorders>
          </w:tcPr>
          <w:p>
            <w:pPr>
              <w:spacing w:before="40" w:after="40"/>
              <w:jc w:val="center"/>
            </w:pPr>
            <w:r/>
            <w:r>
              <w:rPr>
                <w:rFonts w:ascii="Cambria" w:hAnsi="Cambria"/>
                <w:b/>
                <w:sz w:val="19"/>
              </w:rPr>
              <w:t>Yr</w:t>
            </w:r>
          </w:p>
        </w:tc>
        <w:tc>
          <w:tcPr>
            <w:tcW w:type="dxa" w:w="3168"/>
            <w:tcBorders>
              <w:bottom w:val="single" w:sz="6" w:color="1B1A17"/>
            </w:tcBorders>
          </w:tcPr>
          <w:p>
            <w:pPr>
              <w:spacing w:before="40" w:after="40"/>
              <w:jc w:val="left"/>
            </w:pPr>
            <w:r/>
            <w:r>
              <w:rPr>
                <w:rFonts w:ascii="Cambria" w:hAnsi="Cambria"/>
                <w:b/>
                <w:sz w:val="19"/>
              </w:rPr>
              <w:t>What it improves</w:t>
            </w:r>
          </w:p>
        </w:tc>
        <w:tc>
          <w:tcPr>
            <w:tcW w:type="dxa" w:w="3312"/>
            <w:tcBorders>
              <w:bottom w:val="single" w:sz="6" w:color="1B1A17"/>
            </w:tcBorders>
          </w:tcPr>
          <w:p>
            <w:pPr>
              <w:spacing w:before="40" w:after="40"/>
              <w:jc w:val="left"/>
            </w:pPr>
            <w:r/>
            <w:r>
              <w:rPr>
                <w:rFonts w:ascii="Cambria" w:hAnsi="Cambria"/>
                <w:b/>
                <w:sz w:val="19"/>
              </w:rPr>
              <w:t>What is missing</w:t>
            </w:r>
          </w:p>
        </w:tc>
      </w:tr>
      <w:tr>
        <w:tc>
          <w:tcPr>
            <w:tcW w:type="dxa" w:w="2736"/>
          </w:tcPr>
          <w:p>
            <w:pPr>
              <w:spacing w:before="40" w:after="40"/>
              <w:jc w:val="left"/>
            </w:pPr>
            <w:r/>
            <w:r>
              <w:rPr>
                <w:rFonts w:ascii="Cambria" w:hAnsi="Cambria"/>
                <w:sz w:val="18"/>
              </w:rPr>
              <w:t>RePlan: Reasoning-Guided Region Planning</w:t>
            </w:r>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Fine-grained visual reasoning, background consistency without massive paired data</w:t>
            </w:r>
          </w:p>
        </w:tc>
        <w:tc>
          <w:tcPr>
            <w:tcW w:type="dxa" w:w="3312"/>
          </w:tcPr>
          <w:p>
            <w:pPr>
              <w:spacing w:before="40" w:after="40"/>
              <w:jc w:val="left"/>
            </w:pPr>
            <w:r/>
            <w:r>
              <w:rPr>
                <w:rFonts w:ascii="Cambria" w:hAnsi="Cambria"/>
                <w:b w:val="0"/>
                <w:sz w:val="19"/>
              </w:rPr>
              <w:t>Needs an MLLM in the loop; heavy</w:t>
            </w:r>
          </w:p>
        </w:tc>
      </w:tr>
      <w:tr>
        <w:tc>
          <w:tcPr>
            <w:tcW w:type="dxa" w:w="2736"/>
          </w:tcPr>
          <w:p>
            <w:pPr>
              <w:spacing w:before="40" w:after="40"/>
              <w:jc w:val="left"/>
            </w:pPr>
            <w:r/>
            <w:hyperlink r:id="rId39">
              <w:r>
                <w:rPr>
                  <w:color w:val="1155CC"/>
                  <w:u w:val="single"/>
                  <w:sz w:val="18"/>
                  <w:rFonts w:ascii="Cambria" w:hAnsi="Cambria"/>
                </w:rPr>
                <w:t xml:space="preserve">X-Planner: Complex Instruction-Based Editing</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Complex/multi-step instruction success</w:t>
            </w:r>
          </w:p>
        </w:tc>
        <w:tc>
          <w:tcPr>
            <w:tcW w:type="dxa" w:w="3312"/>
          </w:tcPr>
          <w:p>
            <w:pPr>
              <w:spacing w:before="40" w:after="40"/>
              <w:jc w:val="left"/>
            </w:pPr>
            <w:r/>
            <w:r>
              <w:rPr>
                <w:rFonts w:ascii="Cambria" w:hAnsi="Cambria"/>
                <w:b w:val="0"/>
                <w:sz w:val="19"/>
              </w:rPr>
              <w:t>Planning is semantic, not spatial; still no region</w:t>
            </w:r>
          </w:p>
        </w:tc>
      </w:tr>
      <w:tr>
        <w:tc>
          <w:tcPr>
            <w:tcW w:type="dxa" w:w="2736"/>
          </w:tcPr>
          <w:p>
            <w:pPr>
              <w:spacing w:before="40" w:after="40"/>
              <w:jc w:val="left"/>
            </w:pPr>
            <w:r/>
            <w:hyperlink r:id="rId40">
              <w:r>
                <w:rPr>
                  <w:color w:val="1155CC"/>
                  <w:u w:val="single"/>
                  <w:sz w:val="18"/>
                  <w:rFonts w:ascii="Cambria" w:hAnsi="Cambria"/>
                </w:rPr>
                <w:t xml:space="preserve">Counterfactual Segmentation Reasoning</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Grounding reliability</w:t>
            </w:r>
          </w:p>
        </w:tc>
        <w:tc>
          <w:tcPr>
            <w:tcW w:type="dxa" w:w="3312"/>
          </w:tcPr>
          <w:p>
            <w:pPr>
              <w:spacing w:before="40" w:after="40"/>
              <w:jc w:val="left"/>
            </w:pPr>
            <w:r/>
            <w:r>
              <w:rPr>
                <w:rFonts w:ascii="Cambria" w:hAnsi="Cambria"/>
                <w:b w:val="0"/>
                <w:sz w:val="19"/>
              </w:rPr>
              <w:t>Diagnostic; not an editing localizer</w:t>
            </w:r>
          </w:p>
        </w:tc>
      </w:tr>
      <w:tr>
        <w:tc>
          <w:tcPr>
            <w:tcW w:type="dxa" w:w="2736"/>
          </w:tcPr>
          <w:p>
            <w:pPr>
              <w:spacing w:before="40" w:after="40"/>
              <w:jc w:val="left"/>
            </w:pPr>
            <w:r/>
            <w:hyperlink r:id="rId41">
              <w:r>
                <w:rPr>
                  <w:color w:val="1155CC"/>
                  <w:u w:val="single"/>
                  <w:sz w:val="18"/>
                  <w:rFonts w:ascii="Cambria" w:hAnsi="Cambria"/>
                </w:rPr>
                <w:t xml:space="preserve">SegLLM: Multi-round Reasoning Segmentation</w:t>
              </w:r>
            </w:hyperlink>
          </w:p>
        </w:tc>
        <w:tc>
          <w:tcPr>
            <w:tcW w:type="dxa" w:w="576"/>
          </w:tcPr>
          <w:p>
            <w:pPr>
              <w:spacing w:before="40" w:after="40"/>
              <w:jc w:val="center"/>
            </w:pPr>
            <w:r/>
            <w:r>
              <w:rPr>
                <w:rFonts w:ascii="Cambria" w:hAnsi="Cambria"/>
                <w:b w:val="0"/>
                <w:sz w:val="19"/>
              </w:rPr>
              <w:t>2024</w:t>
            </w:r>
          </w:p>
        </w:tc>
        <w:tc>
          <w:tcPr>
            <w:tcW w:type="dxa" w:w="3168"/>
          </w:tcPr>
          <w:p>
            <w:pPr>
              <w:spacing w:before="40" w:after="40"/>
              <w:jc w:val="left"/>
            </w:pPr>
            <w:r/>
            <w:r>
              <w:rPr>
                <w:rFonts w:ascii="Cambria" w:hAnsi="Cambria"/>
                <w:b w:val="0"/>
                <w:sz w:val="19"/>
              </w:rPr>
              <w:t>Multi-turn segmentation consistency</w:t>
            </w:r>
          </w:p>
        </w:tc>
        <w:tc>
          <w:tcPr>
            <w:tcW w:type="dxa" w:w="3312"/>
          </w:tcPr>
          <w:p>
            <w:pPr>
              <w:spacing w:before="40" w:after="40"/>
              <w:jc w:val="left"/>
            </w:pPr>
            <w:r/>
            <w:r>
              <w:rPr>
                <w:rFonts w:ascii="Cambria" w:hAnsi="Cambria"/>
                <w:b w:val="0"/>
                <w:sz w:val="19"/>
              </w:rPr>
              <w:t>Referring semantics; segments existing objects</w:t>
            </w:r>
          </w:p>
        </w:tc>
      </w:tr>
    </w:tbl>
    <w:p>
      <w:pPr>
        <w:spacing w:after="80"/>
      </w:pPr>
    </w:p>
    <w:p>
      <w:pPr>
        <w:pStyle w:val="Heading1"/>
      </w:pPr>
      <w:r>
        <w:t>10  Structured scene representations</w:t>
      </w:r>
    </w:p>
    <w:p>
      <w:pPr>
        <w:spacing w:after="120"/>
        <w:jc w:val="both"/>
      </w:pPr>
      <w:r>
        <w:rPr>
          <w:b w:val="0"/>
          <w:i w:val="0"/>
          <w:sz w:val="22"/>
        </w:rPr>
        <w:t>Six works construct persistent structure over a scene. I2E performs instance-level amodal decomposition with depth-aware ordering, and layer-wise memory stores latents across sequential edits. The common limitation is that they represent entities that exist; none renders empty space addressable, and none measures reuse across multiple instructions on a single image.</w:t>
      </w:r>
    </w:p>
    <w:p>
      <w:pPr>
        <w:spacing w:after="60"/>
      </w:pPr>
      <w:r>
        <w:rPr>
          <w:i/>
          <w:color w:val="5A5852"/>
          <w:sz w:val="19"/>
        </w:rPr>
        <w:t>Table 10. Structured scene representations — 6 works. Titles are links.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2736"/>
            <w:tcBorders>
              <w:bottom w:val="single" w:sz="6" w:color="1B1A17"/>
            </w:tcBorders>
          </w:tcPr>
          <w:p>
            <w:pPr>
              <w:spacing w:before="40" w:after="40"/>
              <w:jc w:val="left"/>
            </w:pPr>
            <w:r/>
            <w:r>
              <w:rPr>
                <w:rFonts w:ascii="Cambria" w:hAnsi="Cambria"/>
                <w:b/>
                <w:sz w:val="19"/>
              </w:rPr>
              <w:t>Work</w:t>
            </w:r>
          </w:p>
        </w:tc>
        <w:tc>
          <w:tcPr>
            <w:tcW w:type="dxa" w:w="576"/>
            <w:tcBorders>
              <w:bottom w:val="single" w:sz="6" w:color="1B1A17"/>
            </w:tcBorders>
          </w:tcPr>
          <w:p>
            <w:pPr>
              <w:spacing w:before="40" w:after="40"/>
              <w:jc w:val="center"/>
            </w:pPr>
            <w:r/>
            <w:r>
              <w:rPr>
                <w:rFonts w:ascii="Cambria" w:hAnsi="Cambria"/>
                <w:b/>
                <w:sz w:val="19"/>
              </w:rPr>
              <w:t>Yr</w:t>
            </w:r>
          </w:p>
        </w:tc>
        <w:tc>
          <w:tcPr>
            <w:tcW w:type="dxa" w:w="3168"/>
            <w:tcBorders>
              <w:bottom w:val="single" w:sz="6" w:color="1B1A17"/>
            </w:tcBorders>
          </w:tcPr>
          <w:p>
            <w:pPr>
              <w:spacing w:before="40" w:after="40"/>
              <w:jc w:val="left"/>
            </w:pPr>
            <w:r/>
            <w:r>
              <w:rPr>
                <w:rFonts w:ascii="Cambria" w:hAnsi="Cambria"/>
                <w:b/>
                <w:sz w:val="19"/>
              </w:rPr>
              <w:t>What it improves</w:t>
            </w:r>
          </w:p>
        </w:tc>
        <w:tc>
          <w:tcPr>
            <w:tcW w:type="dxa" w:w="3312"/>
            <w:tcBorders>
              <w:bottom w:val="single" w:sz="6" w:color="1B1A17"/>
            </w:tcBorders>
          </w:tcPr>
          <w:p>
            <w:pPr>
              <w:spacing w:before="40" w:after="40"/>
              <w:jc w:val="left"/>
            </w:pPr>
            <w:r/>
            <w:r>
              <w:rPr>
                <w:rFonts w:ascii="Cambria" w:hAnsi="Cambria"/>
                <w:b/>
                <w:sz w:val="19"/>
              </w:rPr>
              <w:t>What is missing</w:t>
            </w:r>
          </w:p>
        </w:tc>
      </w:tr>
      <w:tr>
        <w:tc>
          <w:tcPr>
            <w:tcW w:type="dxa" w:w="2736"/>
          </w:tcPr>
          <w:p>
            <w:pPr>
              <w:spacing w:before="40" w:after="40"/>
              <w:jc w:val="left"/>
            </w:pPr>
            <w:r/>
            <w:hyperlink r:id="rId42">
              <w:r>
                <w:rPr>
                  <w:color w:val="1155CC"/>
                  <w:u w:val="single"/>
                  <w:sz w:val="18"/>
                  <w:rFonts w:ascii="Cambria" w:hAnsi="Cambria"/>
                </w:rPr>
                <w:t xml:space="preserve">I2E: From Image Pixels to Interactive Environments</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Structured manipulable scene for text-guided editing</w:t>
            </w:r>
          </w:p>
        </w:tc>
        <w:tc>
          <w:tcPr>
            <w:tcW w:type="dxa" w:w="3312"/>
          </w:tcPr>
          <w:p>
            <w:pPr>
              <w:spacing w:before="40" w:after="40"/>
              <w:jc w:val="left"/>
            </w:pPr>
            <w:r/>
            <w:r>
              <w:rPr>
                <w:rFonts w:ascii="Cambria" w:hAnsi="Cambria"/>
                <w:b w:val="0"/>
                <w:sz w:val="19"/>
              </w:rPr>
              <w:t xml:space="preserve">Represents existing objects and layers; no actionable empty space; no reuse-across-instruction </w:t>
            </w:r>
          </w:p>
        </w:tc>
      </w:tr>
      <w:tr>
        <w:tc>
          <w:tcPr>
            <w:tcW w:type="dxa" w:w="2736"/>
          </w:tcPr>
          <w:p>
            <w:pPr>
              <w:spacing w:before="40" w:after="40"/>
              <w:jc w:val="left"/>
            </w:pPr>
            <w:r/>
            <w:r>
              <w:rPr>
                <w:rFonts w:ascii="Cambria" w:hAnsi="Cambria"/>
                <w:sz w:val="18"/>
              </w:rPr>
              <w:t>Follow-Your-Shape: Trajectory-Guided Region Control</w:t>
            </w:r>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Shape edit precision while preserving non-target content</w:t>
            </w:r>
          </w:p>
        </w:tc>
        <w:tc>
          <w:tcPr>
            <w:tcW w:type="dxa" w:w="3312"/>
          </w:tcPr>
          <w:p>
            <w:pPr>
              <w:spacing w:before="40" w:after="40"/>
              <w:jc w:val="left"/>
            </w:pPr>
            <w:r/>
            <w:r>
              <w:rPr>
                <w:rFonts w:ascii="Cambria" w:hAnsi="Cambria"/>
                <w:b w:val="0"/>
                <w:sz w:val="19"/>
              </w:rPr>
              <w:t>Shape-change focused; region emerges from trajectories not language</w:t>
            </w:r>
          </w:p>
        </w:tc>
      </w:tr>
      <w:tr>
        <w:tc>
          <w:tcPr>
            <w:tcW w:type="dxa" w:w="2736"/>
          </w:tcPr>
          <w:p>
            <w:pPr>
              <w:spacing w:before="40" w:after="40"/>
              <w:jc w:val="left"/>
            </w:pPr>
            <w:r/>
            <w:hyperlink r:id="rId43">
              <w:r>
                <w:rPr>
                  <w:color w:val="1155CC"/>
                  <w:u w:val="single"/>
                  <w:sz w:val="18"/>
                  <w:rFonts w:ascii="Cambria" w:hAnsi="Cambria"/>
                </w:rPr>
                <w:t xml:space="preserve">Layer-wise Memory for Sequential Editing</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Consistency across sequential edits</w:t>
            </w:r>
          </w:p>
        </w:tc>
        <w:tc>
          <w:tcPr>
            <w:tcW w:type="dxa" w:w="3312"/>
          </w:tcPr>
          <w:p>
            <w:pPr>
              <w:spacing w:before="40" w:after="40"/>
              <w:jc w:val="left"/>
            </w:pPr>
            <w:r/>
            <w:r>
              <w:rPr>
                <w:rFonts w:ascii="Cambria" w:hAnsi="Cambria"/>
                <w:b w:val="0"/>
                <w:sz w:val="19"/>
              </w:rPr>
              <w:t>Memory is for consistency, not a queryable spatial substrate</w:t>
            </w:r>
          </w:p>
        </w:tc>
      </w:tr>
      <w:tr>
        <w:tc>
          <w:tcPr>
            <w:tcW w:type="dxa" w:w="2736"/>
          </w:tcPr>
          <w:p>
            <w:pPr>
              <w:spacing w:before="40" w:after="40"/>
              <w:jc w:val="left"/>
            </w:pPr>
            <w:r/>
            <w:hyperlink r:id="rId44">
              <w:r>
                <w:rPr>
                  <w:color w:val="1155CC"/>
                  <w:u w:val="single"/>
                  <w:sz w:val="18"/>
                  <w:rFonts w:ascii="Cambria" w:hAnsi="Cambria"/>
                </w:rPr>
                <w:t xml:space="preserve">MUSE: Agentic 3D Scene Authoring via Memory</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Incremental 3D authoring, non-target preservation</w:t>
            </w:r>
          </w:p>
        </w:tc>
        <w:tc>
          <w:tcPr>
            <w:tcW w:type="dxa" w:w="3312"/>
          </w:tcPr>
          <w:p>
            <w:pPr>
              <w:spacing w:before="40" w:after="40"/>
              <w:jc w:val="left"/>
            </w:pPr>
            <w:r/>
            <w:r>
              <w:rPr>
                <w:rFonts w:ascii="Cambria" w:hAnsi="Cambria"/>
                <w:b w:val="0"/>
                <w:sz w:val="19"/>
              </w:rPr>
              <w:t>3D scene authoring, not 2D image editing</w:t>
            </w:r>
          </w:p>
        </w:tc>
      </w:tr>
      <w:tr>
        <w:tc>
          <w:tcPr>
            <w:tcW w:type="dxa" w:w="2736"/>
          </w:tcPr>
          <w:p>
            <w:pPr>
              <w:spacing w:before="40" w:after="40"/>
              <w:jc w:val="left"/>
            </w:pPr>
            <w:r/>
            <w:hyperlink r:id="rId45">
              <w:r>
                <w:rPr>
                  <w:color w:val="1155CC"/>
                  <w:u w:val="single"/>
                  <w:sz w:val="18"/>
                  <w:rFonts w:ascii="Cambria" w:hAnsi="Cambria"/>
                </w:rPr>
                <w:t xml:space="preserve">Free-Form Scene Editor: Multi-Round Object Manipulation</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Multi-round object manipulation consistency</w:t>
            </w:r>
          </w:p>
        </w:tc>
        <w:tc>
          <w:tcPr>
            <w:tcW w:type="dxa" w:w="3312"/>
          </w:tcPr>
          <w:p>
            <w:pPr>
              <w:spacing w:before="40" w:after="40"/>
              <w:jc w:val="left"/>
            </w:pPr>
            <w:r/>
            <w:r>
              <w:rPr>
                <w:rFonts w:ascii="Cambria" w:hAnsi="Cambria"/>
                <w:b w:val="0"/>
                <w:sz w:val="19"/>
              </w:rPr>
              <w:t>Object-centric; assumes objects exist</w:t>
            </w:r>
          </w:p>
        </w:tc>
      </w:tr>
      <w:tr>
        <w:tc>
          <w:tcPr>
            <w:tcW w:type="dxa" w:w="2736"/>
          </w:tcPr>
          <w:p>
            <w:pPr>
              <w:spacing w:before="40" w:after="40"/>
              <w:jc w:val="left"/>
            </w:pPr>
            <w:r/>
            <w:hyperlink r:id="rId46">
              <w:r>
                <w:rPr>
                  <w:color w:val="1155CC"/>
                  <w:u w:val="single"/>
                  <w:sz w:val="18"/>
                  <w:rFonts w:ascii="Cambria" w:hAnsi="Cambria"/>
                </w:rPr>
                <w:t xml:space="preserve">EditSSC: Editable Semantic Occupancy</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Sketch/inpaint/outpaint guided occupancy editing</w:t>
            </w:r>
          </w:p>
        </w:tc>
        <w:tc>
          <w:tcPr>
            <w:tcW w:type="dxa" w:w="3312"/>
          </w:tcPr>
          <w:p>
            <w:pPr>
              <w:spacing w:before="40" w:after="40"/>
              <w:jc w:val="left"/>
            </w:pPr>
            <w:r/>
            <w:r>
              <w:rPr>
                <w:rFonts w:ascii="Cambria" w:hAnsi="Cambria"/>
                <w:b w:val="0"/>
                <w:sz w:val="19"/>
              </w:rPr>
              <w:t>3D occupancy domain</w:t>
            </w:r>
          </w:p>
        </w:tc>
      </w:tr>
    </w:tbl>
    <w:p>
      <w:pPr>
        <w:spacing w:after="80"/>
      </w:pPr>
    </w:p>
    <w:p>
      <w:pPr>
        <w:pStyle w:val="Heading1"/>
      </w:pPr>
      <w:r>
        <w:t>11  Surveys</w:t>
      </w:r>
    </w:p>
    <w:p>
      <w:pPr>
        <w:spacing w:after="120"/>
        <w:jc w:val="both"/>
      </w:pPr>
      <w:r>
        <w:rPr>
          <w:b w:val="0"/>
          <w:i w:val="0"/>
          <w:sz w:val="22"/>
        </w:rPr>
        <w:t>Three surveys frame the area. The 2026 instruction-editing survey confirms that localization is treated as a sub-component of editing, never as a first-class output with its own metric. The referring-segmentation survey supplies the semantic distinction relied upon here, and the affordance survey shows that affordance prediction grew out of robotics, not edit localization.</w:t>
      </w:r>
    </w:p>
    <w:p>
      <w:pPr>
        <w:spacing w:after="60"/>
      </w:pPr>
      <w:r>
        <w:rPr>
          <w:i/>
          <w:color w:val="5A5852"/>
          <w:sz w:val="19"/>
        </w:rPr>
        <w:t>Table 11. Surveys — 3 works. Titles are links.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2736"/>
            <w:tcBorders>
              <w:bottom w:val="single" w:sz="6" w:color="1B1A17"/>
            </w:tcBorders>
          </w:tcPr>
          <w:p>
            <w:pPr>
              <w:spacing w:before="40" w:after="40"/>
              <w:jc w:val="left"/>
            </w:pPr>
            <w:r/>
            <w:r>
              <w:rPr>
                <w:rFonts w:ascii="Cambria" w:hAnsi="Cambria"/>
                <w:b/>
                <w:sz w:val="19"/>
              </w:rPr>
              <w:t>Work</w:t>
            </w:r>
          </w:p>
        </w:tc>
        <w:tc>
          <w:tcPr>
            <w:tcW w:type="dxa" w:w="576"/>
            <w:tcBorders>
              <w:bottom w:val="single" w:sz="6" w:color="1B1A17"/>
            </w:tcBorders>
          </w:tcPr>
          <w:p>
            <w:pPr>
              <w:spacing w:before="40" w:after="40"/>
              <w:jc w:val="center"/>
            </w:pPr>
            <w:r/>
            <w:r>
              <w:rPr>
                <w:rFonts w:ascii="Cambria" w:hAnsi="Cambria"/>
                <w:b/>
                <w:sz w:val="19"/>
              </w:rPr>
              <w:t>Yr</w:t>
            </w:r>
          </w:p>
        </w:tc>
        <w:tc>
          <w:tcPr>
            <w:tcW w:type="dxa" w:w="3168"/>
            <w:tcBorders>
              <w:bottom w:val="single" w:sz="6" w:color="1B1A17"/>
            </w:tcBorders>
          </w:tcPr>
          <w:p>
            <w:pPr>
              <w:spacing w:before="40" w:after="40"/>
              <w:jc w:val="left"/>
            </w:pPr>
            <w:r/>
            <w:r>
              <w:rPr>
                <w:rFonts w:ascii="Cambria" w:hAnsi="Cambria"/>
                <w:b/>
                <w:sz w:val="19"/>
              </w:rPr>
              <w:t>What it improves</w:t>
            </w:r>
          </w:p>
        </w:tc>
        <w:tc>
          <w:tcPr>
            <w:tcW w:type="dxa" w:w="3312"/>
            <w:tcBorders>
              <w:bottom w:val="single" w:sz="6" w:color="1B1A17"/>
            </w:tcBorders>
          </w:tcPr>
          <w:p>
            <w:pPr>
              <w:spacing w:before="40" w:after="40"/>
              <w:jc w:val="left"/>
            </w:pPr>
            <w:r/>
            <w:r>
              <w:rPr>
                <w:rFonts w:ascii="Cambria" w:hAnsi="Cambria"/>
                <w:b/>
                <w:sz w:val="19"/>
              </w:rPr>
              <w:t>What is missing</w:t>
            </w:r>
          </w:p>
        </w:tc>
      </w:tr>
      <w:tr>
        <w:tc>
          <w:tcPr>
            <w:tcW w:type="dxa" w:w="2736"/>
          </w:tcPr>
          <w:p>
            <w:pPr>
              <w:spacing w:before="40" w:after="40"/>
              <w:jc w:val="left"/>
            </w:pPr>
            <w:r/>
            <w:hyperlink r:id="rId47">
              <w:r>
                <w:rPr>
                  <w:color w:val="1155CC"/>
                  <w:u w:val="single"/>
                  <w:sz w:val="18"/>
                  <w:rFonts w:ascii="Cambria" w:hAnsi="Cambria"/>
                </w:rPr>
                <w:t xml:space="preserve">Instruction-based Image Editing: A Survey</w:t>
              </w:r>
            </w:hyperlink>
          </w:p>
        </w:tc>
        <w:tc>
          <w:tcPr>
            <w:tcW w:type="dxa" w:w="576"/>
          </w:tcPr>
          <w:p>
            <w:pPr>
              <w:spacing w:before="40" w:after="40"/>
              <w:jc w:val="center"/>
            </w:pPr>
            <w:r/>
            <w:r>
              <w:rPr>
                <w:rFonts w:ascii="Cambria" w:hAnsi="Cambria"/>
                <w:b w:val="0"/>
                <w:sz w:val="19"/>
              </w:rPr>
              <w:t>2026</w:t>
            </w:r>
          </w:p>
        </w:tc>
        <w:tc>
          <w:tcPr>
            <w:tcW w:type="dxa" w:w="3168"/>
          </w:tcPr>
          <w:p>
            <w:pPr>
              <w:spacing w:before="40" w:after="40"/>
              <w:jc w:val="left"/>
            </w:pPr>
            <w:r/>
            <w:r>
              <w:rPr>
                <w:rFonts w:ascii="Cambria" w:hAnsi="Cambria"/>
                <w:b w:val="0"/>
                <w:sz w:val="19"/>
              </w:rPr>
              <w:t>Comprehensive taxonomy of the field</w:t>
            </w:r>
          </w:p>
        </w:tc>
        <w:tc>
          <w:tcPr>
            <w:tcW w:type="dxa" w:w="3312"/>
          </w:tcPr>
          <w:p>
            <w:pPr>
              <w:spacing w:before="40" w:after="40"/>
              <w:jc w:val="left"/>
            </w:pPr>
            <w:r/>
            <w:r>
              <w:rPr>
                <w:rFonts w:ascii="Cambria" w:hAnsi="Cambria"/>
                <w:b w:val="0"/>
                <w:sz w:val="19"/>
              </w:rPr>
              <w:t>Confirms localization is treated as a sub-component, not a first-class output</w:t>
            </w:r>
          </w:p>
        </w:tc>
      </w:tr>
      <w:tr>
        <w:tc>
          <w:tcPr>
            <w:tcW w:type="dxa" w:w="2736"/>
          </w:tcPr>
          <w:p>
            <w:pPr>
              <w:spacing w:before="40" w:after="40"/>
              <w:jc w:val="left"/>
            </w:pPr>
            <w:r/>
            <w:hyperlink r:id="rId48">
              <w:r>
                <w:rPr>
                  <w:color w:val="1155CC"/>
                  <w:u w:val="single"/>
                  <w:sz w:val="18"/>
                  <w:rFonts w:ascii="Cambria" w:hAnsi="Cambria"/>
                </w:rPr>
                <w:t xml:space="preserve">Multimodal Referring Segmentation: A Survey</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Taxonomy of referring segmentation</w:t>
            </w:r>
          </w:p>
        </w:tc>
        <w:tc>
          <w:tcPr>
            <w:tcW w:type="dxa" w:w="3312"/>
          </w:tcPr>
          <w:p>
            <w:pPr>
              <w:spacing w:before="40" w:after="40"/>
              <w:jc w:val="left"/>
            </w:pPr>
            <w:r/>
            <w:r>
              <w:rPr>
                <w:rFonts w:ascii="Cambria" w:hAnsi="Cambria"/>
                <w:b w:val="0"/>
                <w:sz w:val="19"/>
              </w:rPr>
              <w:t>Establishes the referring-vs-edit-region distinction we rely on</w:t>
            </w:r>
          </w:p>
        </w:tc>
      </w:tr>
      <w:tr>
        <w:tc>
          <w:tcPr>
            <w:tcW w:type="dxa" w:w="2736"/>
          </w:tcPr>
          <w:p>
            <w:pPr>
              <w:spacing w:before="40" w:after="40"/>
              <w:jc w:val="left"/>
            </w:pPr>
            <w:r/>
            <w:hyperlink r:id="rId49">
              <w:r>
                <w:rPr>
                  <w:color w:val="1155CC"/>
                  <w:u w:val="single"/>
                  <w:sz w:val="18"/>
                  <w:rFonts w:ascii="Cambria" w:hAnsi="Cambria"/>
                </w:rPr>
                <w:t xml:space="preserve">Visual Affordance Prediction: Survey and Reproducibility</w:t>
              </w:r>
            </w:hyperlink>
          </w:p>
        </w:tc>
        <w:tc>
          <w:tcPr>
            <w:tcW w:type="dxa" w:w="576"/>
          </w:tcPr>
          <w:p>
            <w:pPr>
              <w:spacing w:before="40" w:after="40"/>
              <w:jc w:val="center"/>
            </w:pPr>
            <w:r/>
            <w:r>
              <w:rPr>
                <w:rFonts w:ascii="Cambria" w:hAnsi="Cambria"/>
                <w:b w:val="0"/>
                <w:sz w:val="19"/>
              </w:rPr>
              <w:t>2025</w:t>
            </w:r>
          </w:p>
        </w:tc>
        <w:tc>
          <w:tcPr>
            <w:tcW w:type="dxa" w:w="3168"/>
          </w:tcPr>
          <w:p>
            <w:pPr>
              <w:spacing w:before="40" w:after="40"/>
              <w:jc w:val="left"/>
            </w:pPr>
            <w:r/>
            <w:r>
              <w:rPr>
                <w:rFonts w:ascii="Cambria" w:hAnsi="Cambria"/>
                <w:b w:val="0"/>
                <w:sz w:val="19"/>
              </w:rPr>
              <w:t>Affordance as prediction target</w:t>
            </w:r>
          </w:p>
        </w:tc>
        <w:tc>
          <w:tcPr>
            <w:tcW w:type="dxa" w:w="3312"/>
          </w:tcPr>
          <w:p>
            <w:pPr>
              <w:spacing w:before="40" w:after="40"/>
              <w:jc w:val="left"/>
            </w:pPr>
            <w:r/>
            <w:r>
              <w:rPr>
                <w:rFonts w:ascii="Cambria" w:hAnsi="Cambria"/>
                <w:b w:val="0"/>
                <w:sz w:val="19"/>
              </w:rPr>
              <w:t>Affordance studied for robotics/interaction, not for image-edit localization</w:t>
            </w:r>
          </w:p>
        </w:tc>
      </w:tr>
    </w:tbl>
    <w:p>
      <w:pPr>
        <w:spacing w:after="80"/>
      </w:pPr>
    </w:p>
    <w:p>
      <w:pPr>
        <w:pStyle w:val="Heading1"/>
      </w:pPr>
      <w:r>
        <w:t>12  Identified Research Gaps</w:t>
      </w:r>
    </w:p>
    <w:p>
      <w:pPr>
        <w:spacing w:after="120"/>
        <w:jc w:val="both"/>
      </w:pPr>
      <w:r>
        <w:rPr>
          <w:b w:val="0"/>
          <w:i w:val="0"/>
          <w:sz w:val="22"/>
        </w:rPr>
        <w:t>The clusters converge on four openings. Each is stated with the evidence from the literature and with the corresponding measurement made in this project, since a gap asserted from reading alone is a weaker claim than one that has been reproduced.</w:t>
      </w:r>
    </w:p>
    <w:p>
      <w:pPr>
        <w:pStyle w:val="Heading2"/>
      </w:pPr>
      <w:r>
        <w:t>12.1  Editing is solved given a region; producing one is not</w:t>
      </w:r>
    </w:p>
    <w:p>
      <w:pPr>
        <w:spacing w:after="120"/>
        <w:jc w:val="both"/>
      </w:pPr>
      <w:r>
        <w:rPr>
          <w:b w:val="0"/>
          <w:i w:val="0"/>
          <w:sz w:val="22"/>
        </w:rPr>
        <w:t>Works on editing, efficiency and flow matching perform well when supplied with a region. NEP accepts the mask as an input, MaskFlow incorporates it into its objective, and LazyDiffusion requires a user-drawn mask. We tested the obvious substitute and it failed: selecting a FastSAM mask by CLIP similarity scores zero of seven across modification, removal and insertion, failing on granularity, on spatial language, and on insertion in principle.</w:t>
      </w:r>
    </w:p>
    <w:p>
      <w:pPr>
        <w:pStyle w:val="Heading2"/>
      </w:pPr>
      <w:r>
        <w:t>12.2  The edit region is frequently not an object</w:t>
      </w:r>
    </w:p>
    <w:p>
      <w:pPr>
        <w:spacing w:after="120"/>
        <w:jc w:val="both"/>
      </w:pPr>
      <w:r>
        <w:rPr>
          <w:b w:val="0"/>
          <w:i w:val="0"/>
          <w:sz w:val="22"/>
        </w:rPr>
        <w:t>The base paper states this against itself, citing geometry-changing edits with no localized source region. WhereEdit states that it does not address addition into empty regions. Referring segmentation cannot assist, since it returns the region a phrase denotes. Measured: CLIPSeg attains 0.1849 overall and 0.054 on insertion.</w:t>
      </w:r>
    </w:p>
    <w:p>
      <w:pPr>
        <w:pStyle w:val="Heading2"/>
      </w:pPr>
      <w:r>
        <w:t>12.3  Supervision rather than architecture is the binding constraint</w:t>
      </w:r>
    </w:p>
    <w:p>
      <w:pPr>
        <w:spacing w:after="120"/>
        <w:jc w:val="both"/>
      </w:pPr>
      <w:r>
        <w:rPr>
          <w:b w:val="0"/>
          <w:i w:val="0"/>
          <w:sz w:val="22"/>
        </w:rPr>
        <w:t>AdaptEdit supervises its MaskPredictor with MagicBrush human annotation and rendered text regions, explicitly not with pixel differences. We measured what that costs: across all 528 development turns the human masks cover 62.4 percent of the frame against a true changed area of 10.3 percent, a factor of 9.1, with precision 15.8 percent and a factor of 11.9 for insertions.</w:t>
      </w:r>
    </w:p>
    <w:p>
      <w:pPr>
        <w:pStyle w:val="Heading2"/>
      </w:pPr>
      <w:r>
        <w:t>12.4  No benchmark scores a predicted edit region</w:t>
      </w:r>
    </w:p>
    <w:p>
      <w:pPr>
        <w:spacing w:after="120"/>
        <w:jc w:val="both"/>
      </w:pPr>
      <w:r>
        <w:rPr>
          <w:b w:val="0"/>
          <w:i w:val="0"/>
          <w:sz w:val="22"/>
        </w:rPr>
        <w:t>LocateEdit-Bench scores edits that have already occurred. GEdit-Bench and the region-and-semantics metric score the output image. The affordance benchmark measures plausibility. There exists no evaluation on which an absent mask IoU would have been identified.</w:t>
      </w:r>
    </w:p>
    <w:p>
      <w:pPr>
        <w:pStyle w:val="Heading1"/>
      </w:pPr>
      <w:r>
        <w:t>13  Proposed Mitigations and Outcomes</w:t>
      </w:r>
    </w:p>
    <w:p>
      <w:pPr>
        <w:spacing w:after="120"/>
        <w:jc w:val="both"/>
      </w:pPr>
      <w:r>
        <w:rPr>
          <w:b w:val="0"/>
          <w:i w:val="0"/>
          <w:sz w:val="22"/>
        </w:rPr>
        <w:t>Each gap has a corresponding response in the implemented system. One of the proposed mitigations did not survive its own control and is reported here rather than omitted.</w:t>
      </w:r>
    </w:p>
    <w:p>
      <w:pPr>
        <w:spacing w:after="60"/>
      </w:pPr>
      <w:r>
        <w:rPr>
          <w:i/>
          <w:color w:val="5A5852"/>
          <w:sz w:val="19"/>
        </w:rPr>
        <w:t>Table 12. Gap, response and measured outcome.</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2160"/>
            <w:tcBorders>
              <w:bottom w:val="single" w:sz="6" w:color="1B1A17"/>
            </w:tcBorders>
          </w:tcPr>
          <w:p>
            <w:pPr>
              <w:spacing w:before="40" w:after="40"/>
              <w:jc w:val="left"/>
            </w:pPr>
            <w:r/>
            <w:r>
              <w:rPr>
                <w:rFonts w:ascii="Cambria" w:hAnsi="Cambria"/>
                <w:b/>
                <w:sz w:val="19"/>
              </w:rPr>
              <w:t>Gap</w:t>
            </w:r>
          </w:p>
        </w:tc>
        <w:tc>
          <w:tcPr>
            <w:tcW w:type="dxa" w:w="4752"/>
            <w:tcBorders>
              <w:bottom w:val="single" w:sz="6" w:color="1B1A17"/>
            </w:tcBorders>
          </w:tcPr>
          <w:p>
            <w:pPr>
              <w:spacing w:before="40" w:after="40"/>
              <w:jc w:val="left"/>
            </w:pPr>
            <w:r/>
            <w:r>
              <w:rPr>
                <w:rFonts w:ascii="Cambria" w:hAnsi="Cambria"/>
                <w:b/>
                <w:sz w:val="19"/>
              </w:rPr>
              <w:t>Response</w:t>
            </w:r>
          </w:p>
        </w:tc>
        <w:tc>
          <w:tcPr>
            <w:tcW w:type="dxa" w:w="2592"/>
            <w:tcBorders>
              <w:bottom w:val="single" w:sz="6" w:color="1B1A17"/>
            </w:tcBorders>
          </w:tcPr>
          <w:p>
            <w:pPr>
              <w:spacing w:before="40" w:after="40"/>
              <w:jc w:val="left"/>
            </w:pPr>
            <w:r/>
            <w:r>
              <w:rPr>
                <w:rFonts w:ascii="Cambria" w:hAnsi="Cambria"/>
                <w:b/>
                <w:sz w:val="19"/>
              </w:rPr>
              <w:t>Outcome</w:t>
            </w:r>
          </w:p>
        </w:tc>
      </w:tr>
      <w:tr>
        <w:tc>
          <w:tcPr>
            <w:tcW w:type="dxa" w:w="2160"/>
          </w:tcPr>
          <w:p>
            <w:pPr>
              <w:spacing w:before="40" w:after="40"/>
              <w:jc w:val="left"/>
            </w:pPr>
            <w:r/>
            <w:r>
              <w:rPr>
                <w:rFonts w:ascii="Cambria" w:hAnsi="Cambria"/>
                <w:b w:val="0"/>
                <w:sz w:val="19"/>
              </w:rPr>
              <w:t>Producing a region</w:t>
            </w:r>
          </w:p>
        </w:tc>
        <w:tc>
          <w:tcPr>
            <w:tcW w:type="dxa" w:w="4752"/>
          </w:tcPr>
          <w:p>
            <w:pPr>
              <w:spacing w:before="40" w:after="40"/>
              <w:jc w:val="left"/>
            </w:pPr>
            <w:r/>
            <w:r>
              <w:rPr>
                <w:rFonts w:ascii="Cambria" w:hAnsi="Cambria"/>
                <w:b w:val="0"/>
                <w:sz w:val="19"/>
              </w:rPr>
              <w:t>Predict prototype coefficients from the instruction rather than selecting a detection, so that the mask is synthesised</w:t>
            </w:r>
          </w:p>
        </w:tc>
        <w:tc>
          <w:tcPr>
            <w:tcW w:type="dxa" w:w="2592"/>
          </w:tcPr>
          <w:p>
            <w:pPr>
              <w:spacing w:before="40" w:after="40"/>
              <w:jc w:val="left"/>
            </w:pPr>
            <w:r/>
            <w:r>
              <w:rPr>
                <w:rFonts w:ascii="Cambria" w:hAnsi="Cambria"/>
                <w:b w:val="0"/>
                <w:sz w:val="19"/>
              </w:rPr>
              <w:t>IoU 0.2065, 12 seeds</w:t>
            </w:r>
          </w:p>
        </w:tc>
      </w:tr>
      <w:tr>
        <w:tc>
          <w:tcPr>
            <w:tcW w:type="dxa" w:w="2160"/>
          </w:tcPr>
          <w:p>
            <w:pPr>
              <w:spacing w:before="40" w:after="40"/>
              <w:jc w:val="left"/>
            </w:pPr>
            <w:r/>
            <w:r>
              <w:rPr>
                <w:rFonts w:ascii="Cambria" w:hAnsi="Cambria"/>
                <w:b w:val="0"/>
                <w:sz w:val="19"/>
              </w:rPr>
              <w:t>Region is not an object</w:t>
            </w:r>
          </w:p>
        </w:tc>
        <w:tc>
          <w:tcPr>
            <w:tcW w:type="dxa" w:w="4752"/>
          </w:tcPr>
          <w:p>
            <w:pPr>
              <w:spacing w:before="40" w:after="40"/>
              <w:jc w:val="left"/>
            </w:pPr>
            <w:r/>
            <w:r>
              <w:rPr>
                <w:rFonts w:ascii="Cambria" w:hAnsi="Cambria"/>
                <w:b w:val="0"/>
                <w:sz w:val="19"/>
              </w:rPr>
              <w:t>A 20 × 20 spatial coefficient field, so that different locations use different prototype mixtures</w:t>
            </w:r>
          </w:p>
        </w:tc>
        <w:tc>
          <w:tcPr>
            <w:tcW w:type="dxa" w:w="2592"/>
          </w:tcPr>
          <w:p>
            <w:pPr>
              <w:spacing w:before="40" w:after="40"/>
              <w:jc w:val="left"/>
            </w:pPr>
            <w:r/>
            <w:r>
              <w:rPr>
                <w:rFonts w:ascii="Cambria" w:hAnsi="Cambria"/>
                <w:b w:val="0"/>
                <w:sz w:val="19"/>
              </w:rPr>
              <w:t>Insert 0.1186 against 0.054</w:t>
            </w:r>
          </w:p>
        </w:tc>
      </w:tr>
      <w:tr>
        <w:tc>
          <w:tcPr>
            <w:tcW w:type="dxa" w:w="2160"/>
          </w:tcPr>
          <w:p>
            <w:pPr>
              <w:spacing w:before="40" w:after="40"/>
              <w:jc w:val="left"/>
            </w:pPr>
            <w:r/>
            <w:r>
              <w:rPr>
                <w:rFonts w:ascii="Cambria" w:hAnsi="Cambria"/>
                <w:b w:val="0"/>
                <w:sz w:val="19"/>
              </w:rPr>
              <w:t>Supervision</w:t>
            </w:r>
          </w:p>
        </w:tc>
        <w:tc>
          <w:tcPr>
            <w:tcW w:type="dxa" w:w="4752"/>
          </w:tcPr>
          <w:p>
            <w:pPr>
              <w:spacing w:before="40" w:after="40"/>
              <w:jc w:val="left"/>
            </w:pPr>
            <w:r/>
            <w:r>
              <w:rPr>
                <w:rFonts w:ascii="Cambria" w:hAnsi="Cambria"/>
                <w:b w:val="0"/>
                <w:sz w:val="19"/>
              </w:rPr>
              <w:t>Derive the target by CIE76 colour difference in L*a*b* from authentic source and target pairs</w:t>
            </w:r>
          </w:p>
        </w:tc>
        <w:tc>
          <w:tcPr>
            <w:tcW w:type="dxa" w:w="2592"/>
          </w:tcPr>
          <w:p>
            <w:pPr>
              <w:spacing w:before="40" w:after="40"/>
              <w:jc w:val="left"/>
            </w:pPr>
            <w:r/>
            <w:r>
              <w:rPr>
                <w:rFonts w:ascii="Cambria" w:hAnsi="Cambria"/>
                <w:b w:val="0"/>
                <w:sz w:val="19"/>
              </w:rPr>
              <w:t>Exceeds human masks by 0.0554</w:t>
            </w:r>
          </w:p>
        </w:tc>
      </w:tr>
      <w:tr>
        <w:tc>
          <w:tcPr>
            <w:tcW w:type="dxa" w:w="2160"/>
          </w:tcPr>
          <w:p>
            <w:pPr>
              <w:spacing w:before="40" w:after="40"/>
              <w:jc w:val="left"/>
            </w:pPr>
            <w:r/>
            <w:r>
              <w:rPr>
                <w:rFonts w:ascii="Cambria" w:hAnsi="Cambria"/>
                <w:b w:val="0"/>
                <w:sz w:val="19"/>
              </w:rPr>
              <w:t>No evaluation exists</w:t>
            </w:r>
          </w:p>
        </w:tc>
        <w:tc>
          <w:tcPr>
            <w:tcW w:type="dxa" w:w="4752"/>
          </w:tcPr>
          <w:p>
            <w:pPr>
              <w:spacing w:before="40" w:after="40"/>
              <w:jc w:val="left"/>
            </w:pPr>
            <w:r/>
            <w:r>
              <w:rPr>
                <w:rFonts w:ascii="Cambria" w:hAnsi="Cambria"/>
                <w:b w:val="0"/>
                <w:sz w:val="19"/>
              </w:rPr>
              <w:t>Report mask IoU, precision, recall and F1 on a held-out split, then test downstream</w:t>
            </w:r>
          </w:p>
        </w:tc>
        <w:tc>
          <w:tcPr>
            <w:tcW w:type="dxa" w:w="2592"/>
          </w:tcPr>
          <w:p>
            <w:pPr>
              <w:spacing w:before="40" w:after="40"/>
              <w:jc w:val="left"/>
            </w:pPr>
            <w:r/>
            <w:r>
              <w:rPr>
                <w:rFonts w:ascii="Cambria" w:hAnsi="Cambria"/>
                <w:b w:val="0"/>
                <w:sz w:val="19"/>
              </w:rPr>
              <w:t>Localization worth a factor of 3.3</w:t>
            </w:r>
          </w:p>
        </w:tc>
      </w:tr>
      <w:tr>
        <w:tc>
          <w:tcPr>
            <w:tcW w:type="dxa" w:w="2160"/>
          </w:tcPr>
          <w:p>
            <w:pPr>
              <w:spacing w:before="40" w:after="40"/>
              <w:jc w:val="left"/>
            </w:pPr>
            <w:r/>
            <w:r>
              <w:rPr>
                <w:rFonts w:ascii="Cambria" w:hAnsi="Cambria"/>
                <w:b/>
                <w:sz w:val="19"/>
              </w:rPr>
              <w:t>Empty space, explicitly</w:t>
            </w:r>
          </w:p>
        </w:tc>
        <w:tc>
          <w:tcPr>
            <w:tcW w:type="dxa" w:w="4752"/>
          </w:tcPr>
          <w:p>
            <w:pPr>
              <w:spacing w:before="40" w:after="40"/>
              <w:jc w:val="left"/>
            </w:pPr>
            <w:r/>
            <w:r>
              <w:rPr>
                <w:rFonts w:ascii="Cambria" w:hAnsi="Cambria"/>
                <w:b/>
                <w:sz w:val="19"/>
              </w:rPr>
              <w:t>Append hand-designed free-space basis functions to the prototype set</w:t>
            </w:r>
          </w:p>
        </w:tc>
        <w:tc>
          <w:tcPr>
            <w:tcW w:type="dxa" w:w="2592"/>
          </w:tcPr>
          <w:p>
            <w:pPr>
              <w:spacing w:before="40" w:after="40"/>
              <w:jc w:val="left"/>
            </w:pPr>
            <w:r/>
            <w:r>
              <w:rPr>
                <w:rFonts w:ascii="Cambria" w:hAnsi="Cambria"/>
                <w:b/>
                <w:sz w:val="19"/>
              </w:rPr>
              <w:t>Rejected, p = 0.33</w:t>
            </w:r>
          </w:p>
        </w:tc>
      </w:tr>
    </w:tbl>
    <w:p>
      <w:pPr>
        <w:spacing w:after="80"/>
      </w:pPr>
    </w:p>
    <w:p>
      <w:pPr>
        <w:spacing w:after="120"/>
        <w:jc w:val="both"/>
      </w:pPr>
      <w:r>
        <w:rPr>
          <w:b w:val="0"/>
          <w:i w:val="0"/>
          <w:sz w:val="22"/>
        </w:rPr>
        <w:t>The final row was the fourth planned mitigation. Any added basis is required to exceed a random basis of equal dimensionality; this one exceeded neither the random control (+0.0035, p = 0.33) nor the plain spatial head (−0.0030, p = 0.47), and was removed. The gap it addressed remains open.</w:t>
      </w:r>
    </w:p>
    <w:p>
      <w:pPr>
        <w:pStyle w:val="Heading1"/>
      </w:pPr>
      <w:r>
        <w:t>14  Quantitative Positioning</w:t>
      </w:r>
    </w:p>
    <w:p>
      <w:pPr>
        <w:spacing w:after="120"/>
        <w:jc w:val="both"/>
      </w:pPr>
      <w:r>
        <w:rPr>
          <w:b w:val="0"/>
          <w:i w:val="0"/>
          <w:sz w:val="22"/>
        </w:rPr>
        <w:t>Most works in this survey cannot be compared numerically with the present system: they optimise image-quality scores on benchmarks that do not expose a region, or they are training-free methods addressing a different task. Reporting a percentage against them would not be meaningful. Four reference points are directly comparable, having been evaluated on the same 503 held-out turns against the same ground truth.</w:t>
      </w:r>
    </w:p>
    <w:p>
      <w:pPr>
        <w:spacing w:after="60"/>
      </w:pPr>
      <w:r>
        <w:rPr>
          <w:i/>
          <w:color w:val="5A5852"/>
          <w:sz w:val="19"/>
        </w:rPr>
        <w:t>Table 13. Measured against every comparable reference. The present system is the spatial head at 8,306 training samples, 12 seeds.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814"/>
        <w:gridCol w:w="1814"/>
        <w:gridCol w:w="1814"/>
        <w:gridCol w:w="1814"/>
        <w:gridCol w:w="1814"/>
      </w:tblGrid>
      <w:tr>
        <w:tc>
          <w:tcPr>
            <w:tcW w:type="dxa" w:w="2736"/>
            <w:tcBorders>
              <w:bottom w:val="single" w:sz="6" w:color="1B1A17"/>
            </w:tcBorders>
          </w:tcPr>
          <w:p>
            <w:pPr>
              <w:spacing w:before="40" w:after="40"/>
              <w:jc w:val="left"/>
            </w:pPr>
            <w:r/>
            <w:r>
              <w:rPr>
                <w:rFonts w:ascii="Cambria" w:hAnsi="Cambria"/>
                <w:b/>
                <w:sz w:val="19"/>
              </w:rPr>
              <w:t>Reference</w:t>
            </w:r>
          </w:p>
        </w:tc>
        <w:tc>
          <w:tcPr>
            <w:tcW w:type="dxa" w:w="1584"/>
            <w:tcBorders>
              <w:bottom w:val="single" w:sz="6" w:color="1B1A17"/>
            </w:tcBorders>
          </w:tcPr>
          <w:p>
            <w:pPr>
              <w:spacing w:before="40" w:after="40"/>
              <w:jc w:val="right"/>
            </w:pPr>
            <w:r/>
            <w:r>
              <w:rPr>
                <w:rFonts w:ascii="Cambria" w:hAnsi="Cambria"/>
                <w:b/>
                <w:sz w:val="19"/>
              </w:rPr>
              <w:t>Reference IoU</w:t>
            </w:r>
          </w:p>
        </w:tc>
        <w:tc>
          <w:tcPr>
            <w:tcW w:type="dxa" w:w="1584"/>
            <w:tcBorders>
              <w:bottom w:val="single" w:sz="6" w:color="1B1A17"/>
            </w:tcBorders>
          </w:tcPr>
          <w:p>
            <w:pPr>
              <w:spacing w:before="40" w:after="40"/>
              <w:jc w:val="right"/>
            </w:pPr>
            <w:r/>
            <w:r>
              <w:rPr>
                <w:rFonts w:ascii="Cambria" w:hAnsi="Cambria"/>
                <w:b/>
                <w:sz w:val="19"/>
              </w:rPr>
              <w:t>Present work</w:t>
            </w:r>
          </w:p>
        </w:tc>
        <w:tc>
          <w:tcPr>
            <w:tcW w:type="dxa" w:w="1296"/>
            <w:tcBorders>
              <w:bottom w:val="single" w:sz="6" w:color="1B1A17"/>
            </w:tcBorders>
          </w:tcPr>
          <w:p>
            <w:pPr>
              <w:spacing w:before="40" w:after="40"/>
              <w:jc w:val="right"/>
            </w:pPr>
            <w:r/>
            <w:r>
              <w:rPr>
                <w:rFonts w:ascii="Cambria" w:hAnsi="Cambria"/>
                <w:b/>
                <w:sz w:val="19"/>
              </w:rPr>
              <w:t>Relative</w:t>
            </w:r>
          </w:p>
        </w:tc>
        <w:tc>
          <w:tcPr>
            <w:tcW w:type="dxa" w:w="2592"/>
            <w:tcBorders>
              <w:bottom w:val="single" w:sz="6" w:color="1B1A17"/>
            </w:tcBorders>
          </w:tcPr>
          <w:p>
            <w:pPr>
              <w:spacing w:before="40" w:after="40"/>
              <w:jc w:val="right"/>
            </w:pPr>
            <w:r/>
            <w:r>
              <w:rPr>
                <w:rFonts w:ascii="Cambria" w:hAnsi="Cambria"/>
                <w:b/>
                <w:sz w:val="19"/>
              </w:rPr>
              <w:t>Insertion</w:t>
            </w:r>
          </w:p>
        </w:tc>
      </w:tr>
      <w:tr>
        <w:tc>
          <w:tcPr>
            <w:tcW w:type="dxa" w:w="2736"/>
          </w:tcPr>
          <w:p>
            <w:pPr>
              <w:spacing w:before="40" w:after="40"/>
              <w:jc w:val="left"/>
            </w:pPr>
            <w:r/>
            <w:r>
              <w:rPr>
                <w:rFonts w:ascii="Cambria" w:hAnsi="Cambria"/>
                <w:b/>
                <w:sz w:val="19"/>
              </w:rPr>
              <w:t>CLIPSeg, 150.7 M parameters</w:t>
            </w:r>
          </w:p>
        </w:tc>
        <w:tc>
          <w:tcPr>
            <w:tcW w:type="dxa" w:w="1584"/>
          </w:tcPr>
          <w:p>
            <w:pPr>
              <w:spacing w:before="40" w:after="40"/>
              <w:jc w:val="right"/>
            </w:pPr>
            <w:r/>
            <w:r>
              <w:rPr>
                <w:rFonts w:ascii="Cambria" w:hAnsi="Cambria"/>
                <w:b/>
                <w:sz w:val="19"/>
              </w:rPr>
              <w:t>0.1849</w:t>
            </w:r>
          </w:p>
        </w:tc>
        <w:tc>
          <w:tcPr>
            <w:tcW w:type="dxa" w:w="1584"/>
          </w:tcPr>
          <w:p>
            <w:pPr>
              <w:spacing w:before="40" w:after="40"/>
              <w:jc w:val="right"/>
            </w:pPr>
            <w:r/>
            <w:r>
              <w:rPr>
                <w:rFonts w:ascii="Cambria" w:hAnsi="Cambria"/>
                <w:b/>
                <w:sz w:val="19"/>
              </w:rPr>
              <w:t>0.2065</w:t>
            </w:r>
          </w:p>
        </w:tc>
        <w:tc>
          <w:tcPr>
            <w:tcW w:type="dxa" w:w="1296"/>
          </w:tcPr>
          <w:p>
            <w:pPr>
              <w:spacing w:before="40" w:after="40"/>
              <w:jc w:val="right"/>
            </w:pPr>
            <w:r/>
            <w:r>
              <w:rPr>
                <w:rFonts w:ascii="Cambria" w:hAnsi="Cambria"/>
                <w:b/>
                <w:sz w:val="19"/>
              </w:rPr>
              <w:t>+11.7%</w:t>
            </w:r>
          </w:p>
        </w:tc>
        <w:tc>
          <w:tcPr>
            <w:tcW w:type="dxa" w:w="2592"/>
          </w:tcPr>
          <w:p>
            <w:pPr>
              <w:spacing w:before="40" w:after="40"/>
              <w:jc w:val="right"/>
            </w:pPr>
            <w:r/>
            <w:r>
              <w:rPr>
                <w:rFonts w:ascii="Cambria" w:hAnsi="Cambria"/>
                <w:b/>
                <w:sz w:val="19"/>
              </w:rPr>
              <w:t>0.054 → 0.1186 (+120%)</w:t>
            </w:r>
          </w:p>
        </w:tc>
      </w:tr>
      <w:tr>
        <w:tc>
          <w:tcPr>
            <w:tcW w:type="dxa" w:w="2736"/>
          </w:tcPr>
          <w:p>
            <w:pPr>
              <w:spacing w:before="40" w:after="40"/>
              <w:jc w:val="left"/>
            </w:pPr>
            <w:r/>
            <w:r>
              <w:rPr>
                <w:rFonts w:ascii="Cambria" w:hAnsi="Cambria"/>
                <w:b w:val="0"/>
                <w:sz w:val="19"/>
              </w:rPr>
              <w:t>MagicBrush human masks</w:t>
            </w:r>
          </w:p>
        </w:tc>
        <w:tc>
          <w:tcPr>
            <w:tcW w:type="dxa" w:w="1584"/>
          </w:tcPr>
          <w:p>
            <w:pPr>
              <w:spacing w:before="40" w:after="40"/>
              <w:jc w:val="right"/>
            </w:pPr>
            <w:r/>
            <w:r>
              <w:rPr>
                <w:rFonts w:ascii="Cambria" w:hAnsi="Cambria"/>
                <w:b w:val="0"/>
                <w:sz w:val="19"/>
              </w:rPr>
              <w:t>0.1511</w:t>
            </w:r>
          </w:p>
        </w:tc>
        <w:tc>
          <w:tcPr>
            <w:tcW w:type="dxa" w:w="1584"/>
          </w:tcPr>
          <w:p>
            <w:pPr>
              <w:spacing w:before="40" w:after="40"/>
              <w:jc w:val="right"/>
            </w:pPr>
            <w:r/>
            <w:r>
              <w:rPr>
                <w:rFonts w:ascii="Cambria" w:hAnsi="Cambria"/>
                <w:b w:val="0"/>
                <w:sz w:val="19"/>
              </w:rPr>
              <w:t>0.2065</w:t>
            </w:r>
          </w:p>
        </w:tc>
        <w:tc>
          <w:tcPr>
            <w:tcW w:type="dxa" w:w="1296"/>
          </w:tcPr>
          <w:p>
            <w:pPr>
              <w:spacing w:before="40" w:after="40"/>
              <w:jc w:val="right"/>
            </w:pPr>
            <w:r/>
            <w:r>
              <w:rPr>
                <w:rFonts w:ascii="Cambria" w:hAnsi="Cambria"/>
                <w:b w:val="0"/>
                <w:sz w:val="19"/>
              </w:rPr>
              <w:t>+36.7%</w:t>
            </w:r>
          </w:p>
        </w:tc>
        <w:tc>
          <w:tcPr>
            <w:tcW w:type="dxa" w:w="2592"/>
          </w:tcPr>
          <w:p>
            <w:pPr>
              <w:spacing w:before="40" w:after="40"/>
              <w:jc w:val="right"/>
            </w:pPr>
            <w:r/>
            <w:r>
              <w:rPr>
                <w:rFonts w:ascii="Cambria" w:hAnsi="Cambria"/>
                <w:b w:val="0"/>
                <w:sz w:val="19"/>
              </w:rPr>
              <w:t>0.120 → 0.1186 (−1%)</w:t>
            </w:r>
          </w:p>
        </w:tc>
      </w:tr>
      <w:tr>
        <w:tc>
          <w:tcPr>
            <w:tcW w:type="dxa" w:w="2736"/>
          </w:tcPr>
          <w:p>
            <w:pPr>
              <w:spacing w:before="40" w:after="40"/>
              <w:jc w:val="left"/>
            </w:pPr>
            <w:r/>
            <w:r>
              <w:rPr>
                <w:rFonts w:ascii="Cambria" w:hAnsi="Cambria"/>
                <w:b w:val="0"/>
                <w:sz w:val="19"/>
              </w:rPr>
              <w:t>Whole frame (trivial)</w:t>
            </w:r>
          </w:p>
        </w:tc>
        <w:tc>
          <w:tcPr>
            <w:tcW w:type="dxa" w:w="1584"/>
          </w:tcPr>
          <w:p>
            <w:pPr>
              <w:spacing w:before="40" w:after="40"/>
              <w:jc w:val="right"/>
            </w:pPr>
            <w:r/>
            <w:r>
              <w:rPr>
                <w:rFonts w:ascii="Cambria" w:hAnsi="Cambria"/>
                <w:b w:val="0"/>
                <w:sz w:val="19"/>
              </w:rPr>
              <w:t>0.0958</w:t>
            </w:r>
          </w:p>
        </w:tc>
        <w:tc>
          <w:tcPr>
            <w:tcW w:type="dxa" w:w="1584"/>
          </w:tcPr>
          <w:p>
            <w:pPr>
              <w:spacing w:before="40" w:after="40"/>
              <w:jc w:val="right"/>
            </w:pPr>
            <w:r/>
            <w:r>
              <w:rPr>
                <w:rFonts w:ascii="Cambria" w:hAnsi="Cambria"/>
                <w:b w:val="0"/>
                <w:sz w:val="19"/>
              </w:rPr>
              <w:t>0.2065</w:t>
            </w:r>
          </w:p>
        </w:tc>
        <w:tc>
          <w:tcPr>
            <w:tcW w:type="dxa" w:w="1296"/>
          </w:tcPr>
          <w:p>
            <w:pPr>
              <w:spacing w:before="40" w:after="40"/>
              <w:jc w:val="right"/>
            </w:pPr>
            <w:r/>
            <w:r>
              <w:rPr>
                <w:rFonts w:ascii="Cambria" w:hAnsi="Cambria"/>
                <w:b w:val="0"/>
                <w:sz w:val="19"/>
              </w:rPr>
              <w:t>+115.6%</w:t>
            </w:r>
          </w:p>
        </w:tc>
        <w:tc>
          <w:tcPr>
            <w:tcW w:type="dxa" w:w="2592"/>
          </w:tcPr>
          <w:p>
            <w:pPr>
              <w:spacing w:before="40" w:after="40"/>
              <w:jc w:val="right"/>
            </w:pPr>
            <w:r/>
            <w:r>
              <w:rPr>
                <w:rFonts w:ascii="Cambria" w:hAnsi="Cambria"/>
                <w:b w:val="0"/>
                <w:sz w:val="19"/>
              </w:rPr>
              <w:t>0.071 → 0.1186 (+67%)</w:t>
            </w:r>
          </w:p>
        </w:tc>
      </w:tr>
      <w:tr>
        <w:tc>
          <w:tcPr>
            <w:tcW w:type="dxa" w:w="2736"/>
          </w:tcPr>
          <w:p>
            <w:pPr>
              <w:spacing w:before="40" w:after="40"/>
              <w:jc w:val="left"/>
            </w:pPr>
            <w:r/>
            <w:r>
              <w:rPr>
                <w:rFonts w:ascii="Cambria" w:hAnsi="Cambria"/>
                <w:b w:val="0"/>
                <w:sz w:val="19"/>
              </w:rPr>
              <w:t>Random centred box (trivial)</w:t>
            </w:r>
          </w:p>
        </w:tc>
        <w:tc>
          <w:tcPr>
            <w:tcW w:type="dxa" w:w="1584"/>
          </w:tcPr>
          <w:p>
            <w:pPr>
              <w:spacing w:before="40" w:after="40"/>
              <w:jc w:val="right"/>
            </w:pPr>
            <w:r/>
            <w:r>
              <w:rPr>
                <w:rFonts w:ascii="Cambria" w:hAnsi="Cambria"/>
                <w:b w:val="0"/>
                <w:sz w:val="19"/>
              </w:rPr>
              <w:t>0.0621</w:t>
            </w:r>
          </w:p>
        </w:tc>
        <w:tc>
          <w:tcPr>
            <w:tcW w:type="dxa" w:w="1584"/>
          </w:tcPr>
          <w:p>
            <w:pPr>
              <w:spacing w:before="40" w:after="40"/>
              <w:jc w:val="right"/>
            </w:pPr>
            <w:r/>
            <w:r>
              <w:rPr>
                <w:rFonts w:ascii="Cambria" w:hAnsi="Cambria"/>
                <w:b w:val="0"/>
                <w:sz w:val="19"/>
              </w:rPr>
              <w:t>0.2065</w:t>
            </w:r>
          </w:p>
        </w:tc>
        <w:tc>
          <w:tcPr>
            <w:tcW w:type="dxa" w:w="1296"/>
          </w:tcPr>
          <w:p>
            <w:pPr>
              <w:spacing w:before="40" w:after="40"/>
              <w:jc w:val="right"/>
            </w:pPr>
            <w:r/>
            <w:r>
              <w:rPr>
                <w:rFonts w:ascii="Cambria" w:hAnsi="Cambria"/>
                <w:b w:val="0"/>
                <w:sz w:val="19"/>
              </w:rPr>
              <w:t>+232.5%</w:t>
            </w:r>
          </w:p>
        </w:tc>
        <w:tc>
          <w:tcPr>
            <w:tcW w:type="dxa" w:w="2592"/>
          </w:tcPr>
          <w:p>
            <w:pPr>
              <w:spacing w:before="40" w:after="40"/>
              <w:jc w:val="right"/>
            </w:pPr>
            <w:r/>
            <w:r>
              <w:rPr>
                <w:rFonts w:ascii="Cambria" w:hAnsi="Cambria"/>
                <w:b w:val="0"/>
                <w:sz w:val="19"/>
              </w:rPr>
              <w:t>0.033 → 0.1186 (+259%)</w:t>
            </w:r>
          </w:p>
        </w:tc>
      </w:tr>
    </w:tbl>
    <w:p>
      <w:pPr>
        <w:spacing w:after="80"/>
      </w:pPr>
    </w:p>
    <w:p>
      <w:pPr>
        <w:spacing w:after="120"/>
        <w:jc w:val="both"/>
      </w:pPr>
      <w:r>
        <w:rPr>
          <w:b w:val="0"/>
          <w:i w:val="0"/>
          <w:sz w:val="22"/>
        </w:rPr>
        <w:t>All differences are significant at p &lt; 0.003 or better; against CLIPSeg, p = 5.2 × 10⁻⁷. On insertion the present system is level with human annotation and ahead of all other references. The cost is 4,693,633 trainable parameters against 150,747,746 for CLIPSeg, a factor of 32, at 5.30 milliseconds against 54.3 milliseconds per instruction, a factor of 10.3, resolution-matched at 352 pixels.</w:t>
      </w:r>
    </w:p>
    <w:p>
      <w:pPr>
        <w:spacing w:after="120"/>
        <w:jc w:val="both"/>
      </w:pPr>
      <w:r>
        <w:rPr>
          <w:b w:val="0"/>
          <w:i w:val="0"/>
          <w:sz w:val="22"/>
        </w:rPr>
        <w:t>No entry in that table is AdaptEdit. It is the base paper and the only work sharing this formulation, yet it reports no mask IoU, and at 20.43 billion frozen parameters with approximately 5.0 billion trainable it cannot be executed to obtain one. This is the gap itself: the present work reimplements the mechanism at a scale that can be run and supplies the measurement that is absent.</w:t>
      </w:r>
    </w:p>
    <w:p>
      <w:pPr>
        <w:pStyle w:val="Heading1"/>
      </w:pPr>
      <w:r>
        <w:t>15  Where the Cost Actually Falls</w:t>
      </w:r>
    </w:p>
    <w:p>
      <w:pPr>
        <w:spacing w:after="120"/>
        <w:jc w:val="both"/>
      </w:pPr>
      <w:r>
        <w:rPr>
          <w:b w:val="0"/>
          <w:i w:val="0"/>
          <w:sz w:val="22"/>
        </w:rPr>
        <w:t>Accuracy is not the only axis on which this work can pay. Every method in the survey re-runs a large model for each instruction. Ours splits the work in two, and that split is worth stating in commercial terms because it decides whether a system like this is cheap enough to ship.</w:t>
      </w:r>
    </w:p>
    <w:p>
      <w:pPr>
        <w:spacing w:after="60"/>
      </w:pPr>
      <w:r>
        <w:rPr>
          <w:i/>
          <w:color w:val="5A5852"/>
          <w:sz w:val="19"/>
        </w:rPr>
        <w:t>Table 15. Cost per instruction on one image. Measured on an M5, resolution-matched at 352 px.</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2880"/>
            <w:tcBorders>
              <w:bottom w:val="single" w:sz="6" w:color="1B1A17"/>
            </w:tcBorders>
          </w:tcPr>
          <w:p>
            <w:pPr>
              <w:spacing w:before="40" w:after="40"/>
              <w:jc w:val="left"/>
            </w:pPr>
            <w:r/>
            <w:r>
              <w:rPr>
                <w:rFonts w:ascii="Cambria" w:hAnsi="Cambria"/>
                <w:b/>
                <w:sz w:val="19"/>
              </w:rPr>
              <w:t>System</w:t>
            </w:r>
          </w:p>
        </w:tc>
        <w:tc>
          <w:tcPr>
            <w:tcW w:type="dxa" w:w="2448"/>
            <w:tcBorders>
              <w:bottom w:val="single" w:sz="6" w:color="1B1A17"/>
            </w:tcBorders>
          </w:tcPr>
          <w:p>
            <w:pPr>
              <w:spacing w:before="40" w:after="40"/>
              <w:jc w:val="right"/>
            </w:pPr>
            <w:r/>
            <w:r>
              <w:rPr>
                <w:rFonts w:ascii="Cambria" w:hAnsi="Cambria"/>
                <w:b/>
                <w:sz w:val="19"/>
              </w:rPr>
              <w:t>Params run per instruction</w:t>
            </w:r>
          </w:p>
        </w:tc>
        <w:tc>
          <w:tcPr>
            <w:tcW w:type="dxa" w:w="1872"/>
            <w:tcBorders>
              <w:bottom w:val="single" w:sz="6" w:color="1B1A17"/>
            </w:tcBorders>
          </w:tcPr>
          <w:p>
            <w:pPr>
              <w:spacing w:before="40" w:after="40"/>
              <w:jc w:val="right"/>
            </w:pPr>
            <w:r/>
            <w:r>
              <w:rPr>
                <w:rFonts w:ascii="Cambria" w:hAnsi="Cambria"/>
                <w:b/>
                <w:sz w:val="19"/>
              </w:rPr>
              <w:t>Per instruction</w:t>
            </w:r>
          </w:p>
        </w:tc>
        <w:tc>
          <w:tcPr>
            <w:tcW w:type="dxa" w:w="2448"/>
            <w:tcBorders>
              <w:bottom w:val="single" w:sz="6" w:color="1B1A17"/>
            </w:tcBorders>
          </w:tcPr>
          <w:p>
            <w:pPr>
              <w:spacing w:before="40" w:after="40"/>
              <w:jc w:val="right"/>
            </w:pPr>
            <w:r/>
            <w:r>
              <w:rPr>
                <w:rFonts w:ascii="Cambria" w:hAnsi="Cambria"/>
                <w:b/>
                <w:sz w:val="19"/>
              </w:rPr>
              <w:t>On 100 instructions</w:t>
            </w:r>
          </w:p>
        </w:tc>
      </w:tr>
      <w:tr>
        <w:tc>
          <w:tcPr>
            <w:tcW w:type="dxa" w:w="2880"/>
          </w:tcPr>
          <w:p>
            <w:pPr>
              <w:spacing w:before="40" w:after="40"/>
              <w:jc w:val="left"/>
            </w:pPr>
            <w:r/>
            <w:r>
              <w:rPr>
                <w:rFonts w:ascii="Cambria" w:hAnsi="Cambria"/>
                <w:b w:val="0"/>
                <w:sz w:val="19"/>
              </w:rPr>
              <w:t>CLIPSeg</w:t>
            </w:r>
          </w:p>
        </w:tc>
        <w:tc>
          <w:tcPr>
            <w:tcW w:type="dxa" w:w="2448"/>
          </w:tcPr>
          <w:p>
            <w:pPr>
              <w:spacing w:before="40" w:after="40"/>
              <w:jc w:val="right"/>
            </w:pPr>
            <w:r/>
            <w:r>
              <w:rPr>
                <w:rFonts w:ascii="Cambria" w:hAnsi="Cambria"/>
                <w:b w:val="0"/>
                <w:sz w:val="19"/>
              </w:rPr>
              <w:t>150.7 M</w:t>
            </w:r>
          </w:p>
        </w:tc>
        <w:tc>
          <w:tcPr>
            <w:tcW w:type="dxa" w:w="1872"/>
          </w:tcPr>
          <w:p>
            <w:pPr>
              <w:spacing w:before="40" w:after="40"/>
              <w:jc w:val="right"/>
            </w:pPr>
            <w:r/>
            <w:r>
              <w:rPr>
                <w:rFonts w:ascii="Cambria" w:hAnsi="Cambria"/>
                <w:b w:val="0"/>
                <w:sz w:val="19"/>
              </w:rPr>
              <w:t>54.3 ms</w:t>
            </w:r>
          </w:p>
        </w:tc>
        <w:tc>
          <w:tcPr>
            <w:tcW w:type="dxa" w:w="2448"/>
          </w:tcPr>
          <w:p>
            <w:pPr>
              <w:spacing w:before="40" w:after="40"/>
              <w:jc w:val="right"/>
            </w:pPr>
            <w:r/>
            <w:r>
              <w:rPr>
                <w:rFonts w:ascii="Cambria" w:hAnsi="Cambria"/>
                <w:b w:val="0"/>
                <w:sz w:val="19"/>
              </w:rPr>
              <w:t>5.43 s</w:t>
            </w:r>
          </w:p>
        </w:tc>
      </w:tr>
      <w:tr>
        <w:tc>
          <w:tcPr>
            <w:tcW w:type="dxa" w:w="2880"/>
          </w:tcPr>
          <w:p>
            <w:pPr>
              <w:spacing w:before="40" w:after="40"/>
              <w:jc w:val="left"/>
            </w:pPr>
            <w:r/>
            <w:r>
              <w:rPr>
                <w:rFonts w:ascii="Cambria" w:hAnsi="Cambria"/>
                <w:b w:val="0"/>
                <w:sz w:val="19"/>
              </w:rPr>
              <w:t>Ours (backbone amortised)</w:t>
            </w:r>
          </w:p>
        </w:tc>
        <w:tc>
          <w:tcPr>
            <w:tcW w:type="dxa" w:w="2448"/>
          </w:tcPr>
          <w:p>
            <w:pPr>
              <w:spacing w:before="40" w:after="40"/>
              <w:jc w:val="right"/>
            </w:pPr>
            <w:r/>
            <w:r>
              <w:rPr>
                <w:rFonts w:ascii="Cambria" w:hAnsi="Cambria"/>
                <w:b w:val="0"/>
                <w:sz w:val="19"/>
              </w:rPr>
              <w:t>4.69 M</w:t>
            </w:r>
          </w:p>
        </w:tc>
        <w:tc>
          <w:tcPr>
            <w:tcW w:type="dxa" w:w="1872"/>
          </w:tcPr>
          <w:p>
            <w:pPr>
              <w:spacing w:before="40" w:after="40"/>
              <w:jc w:val="right"/>
            </w:pPr>
            <w:r/>
            <w:r>
              <w:rPr>
                <w:rFonts w:ascii="Cambria" w:hAnsi="Cambria"/>
                <w:b w:val="0"/>
                <w:sz w:val="19"/>
              </w:rPr>
              <w:t>5.30 ms</w:t>
            </w:r>
          </w:p>
        </w:tc>
        <w:tc>
          <w:tcPr>
            <w:tcW w:type="dxa" w:w="2448"/>
          </w:tcPr>
          <w:p>
            <w:pPr>
              <w:spacing w:before="40" w:after="40"/>
              <w:jc w:val="right"/>
            </w:pPr>
            <w:r/>
            <w:r>
              <w:rPr>
                <w:rFonts w:ascii="Cambria" w:hAnsi="Cambria"/>
                <w:b w:val="0"/>
                <w:sz w:val="19"/>
              </w:rPr>
              <w:t>0.56 s + 33.6 ms once</w:t>
            </w:r>
          </w:p>
        </w:tc>
      </w:tr>
      <w:tr>
        <w:tc>
          <w:tcPr>
            <w:tcW w:type="dxa" w:w="2880"/>
          </w:tcPr>
          <w:p>
            <w:pPr>
              <w:spacing w:before="40" w:after="40"/>
              <w:jc w:val="left"/>
            </w:pPr>
            <w:r/>
            <w:r>
              <w:rPr>
                <w:rFonts w:ascii="Cambria" w:hAnsi="Cambria"/>
                <w:b w:val="0"/>
                <w:sz w:val="19"/>
              </w:rPr>
              <w:t>Qwen-Image-Edit / FLUX class</w:t>
            </w:r>
          </w:p>
        </w:tc>
        <w:tc>
          <w:tcPr>
            <w:tcW w:type="dxa" w:w="2448"/>
          </w:tcPr>
          <w:p>
            <w:pPr>
              <w:spacing w:before="40" w:after="40"/>
              <w:jc w:val="right"/>
            </w:pPr>
            <w:r/>
            <w:r>
              <w:rPr>
                <w:rFonts w:ascii="Cambria" w:hAnsi="Cambria"/>
                <w:b w:val="0"/>
                <w:sz w:val="19"/>
              </w:rPr>
              <w:t>12–32 B</w:t>
            </w:r>
          </w:p>
        </w:tc>
        <w:tc>
          <w:tcPr>
            <w:tcW w:type="dxa" w:w="1872"/>
          </w:tcPr>
          <w:p>
            <w:pPr>
              <w:spacing w:before="40" w:after="40"/>
              <w:jc w:val="right"/>
            </w:pPr>
            <w:r/>
            <w:r>
              <w:rPr>
                <w:rFonts w:ascii="Cambria" w:hAnsi="Cambria"/>
                <w:b w:val="0"/>
                <w:sz w:val="19"/>
              </w:rPr>
              <w:t>seconds per edit</w:t>
            </w:r>
          </w:p>
        </w:tc>
        <w:tc>
          <w:tcPr>
            <w:tcW w:type="dxa" w:w="2448"/>
          </w:tcPr>
          <w:p>
            <w:pPr>
              <w:spacing w:before="40" w:after="40"/>
              <w:jc w:val="right"/>
            </w:pPr>
            <w:r/>
            <w:r>
              <w:rPr>
                <w:rFonts w:ascii="Cambria" w:hAnsi="Cambria"/>
                <w:b w:val="0"/>
                <w:sz w:val="19"/>
              </w:rPr>
              <w:t>minutes</w:t>
            </w:r>
          </w:p>
        </w:tc>
      </w:tr>
    </w:tbl>
    <w:p>
      <w:pPr>
        <w:spacing w:after="80"/>
      </w:pPr>
    </w:p>
    <w:p>
      <w:pPr>
        <w:spacing w:after="120"/>
        <w:jc w:val="both"/>
      </w:pPr>
      <w:r>
        <w:rPr>
          <w:b w:val="0"/>
          <w:i w:val="0"/>
          <w:sz w:val="22"/>
        </w:rPr>
        <w:t>Editing is iterative. A user issues several instructions against the same photograph, and only the instruction changes. Because the backbone output depends on the image alone, we compute the 32 prototypes once and pay 5.30 ms for each instruction after that. CLIPSeg has no such split: every instruction costs a full 150.7 M forward pass. At a hundred instructions on one image the gap is 0.56 s against 5.43 s.</w:t>
      </w:r>
    </w:p>
    <w:p>
      <w:pPr>
        <w:spacing w:after="120"/>
        <w:jc w:val="both"/>
      </w:pPr>
      <w:r>
        <w:rPr>
          <w:b w:val="0"/>
          <w:i w:val="0"/>
          <w:sz w:val="22"/>
        </w:rPr>
        <w:t>Two works in the survey confirm this is where the field sees value. RegionE skips denoising in unchanged areas and SpotEdit skips stable regions, both for speed. Neither produces the region from language; both have to infer it after generation starts. A predictor that supplies the region before generation is the missing input to exactly that class of optimisation, which is the practical case for the approach.</w:t>
      </w:r>
    </w:p>
    <w:p>
      <w:pPr>
        <w:pStyle w:val="Heading1"/>
      </w:pPr>
      <w:r>
        <w:t>16  What Others Optimise, and What They Leave Unmeasured</w:t>
      </w:r>
    </w:p>
    <w:p>
      <w:pPr>
        <w:spacing w:after="120"/>
        <w:jc w:val="both"/>
      </w:pPr>
      <w:r>
        <w:rPr>
          <w:b w:val="0"/>
          <w:i w:val="0"/>
          <w:sz w:val="22"/>
        </w:rPr>
        <w:t>Each cluster reports progress on a metric. None of those metrics is the mask. This table names the quantity each line of work improves and the quantity it never reports, alongside what we measured for the same thing.</w:t>
      </w:r>
    </w:p>
    <w:p>
      <w:pPr>
        <w:spacing w:after="60"/>
      </w:pPr>
      <w:r>
        <w:rPr>
          <w:i/>
          <w:color w:val="5A5852"/>
          <w:sz w:val="19"/>
        </w:rPr>
        <w:t>Table 16. The parameter each line of work improves, against the one it leaves unmeasured.</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2736"/>
            <w:tcBorders>
              <w:bottom w:val="single" w:sz="6" w:color="1B1A17"/>
            </w:tcBorders>
          </w:tcPr>
          <w:p>
            <w:pPr>
              <w:spacing w:before="40" w:after="40"/>
              <w:jc w:val="left"/>
            </w:pPr>
            <w:r/>
            <w:r>
              <w:rPr>
                <w:rFonts w:ascii="Cambria" w:hAnsi="Cambria"/>
                <w:b/>
                <w:sz w:val="19"/>
              </w:rPr>
              <w:t>Line of work</w:t>
            </w:r>
          </w:p>
        </w:tc>
        <w:tc>
          <w:tcPr>
            <w:tcW w:type="dxa" w:w="2736"/>
            <w:tcBorders>
              <w:bottom w:val="single" w:sz="6" w:color="1B1A17"/>
            </w:tcBorders>
          </w:tcPr>
          <w:p>
            <w:pPr>
              <w:spacing w:before="40" w:after="40"/>
              <w:jc w:val="left"/>
            </w:pPr>
            <w:r/>
            <w:r>
              <w:rPr>
                <w:rFonts w:ascii="Cambria" w:hAnsi="Cambria"/>
                <w:b/>
                <w:sz w:val="19"/>
              </w:rPr>
              <w:t>What they improve</w:t>
            </w:r>
          </w:p>
        </w:tc>
        <w:tc>
          <w:tcPr>
            <w:tcW w:type="dxa" w:w="2880"/>
            <w:tcBorders>
              <w:bottom w:val="single" w:sz="6" w:color="1B1A17"/>
            </w:tcBorders>
          </w:tcPr>
          <w:p>
            <w:pPr>
              <w:spacing w:before="40" w:after="40"/>
              <w:jc w:val="left"/>
            </w:pPr>
            <w:r/>
            <w:r>
              <w:rPr>
                <w:rFonts w:ascii="Cambria" w:hAnsi="Cambria"/>
                <w:b/>
                <w:sz w:val="19"/>
              </w:rPr>
              <w:t>Never reported</w:t>
            </w:r>
          </w:p>
        </w:tc>
        <w:tc>
          <w:tcPr>
            <w:tcW w:type="dxa" w:w="1296"/>
            <w:tcBorders>
              <w:bottom w:val="single" w:sz="6" w:color="1B1A17"/>
            </w:tcBorders>
          </w:tcPr>
          <w:p>
            <w:pPr>
              <w:spacing w:before="40" w:after="40"/>
              <w:jc w:val="left"/>
            </w:pPr>
            <w:r/>
            <w:r>
              <w:rPr>
                <w:rFonts w:ascii="Cambria" w:hAnsi="Cambria"/>
                <w:b/>
                <w:sz w:val="19"/>
              </w:rPr>
              <w:t>Ours</w:t>
            </w:r>
          </w:p>
        </w:tc>
      </w:tr>
      <w:tr>
        <w:tc>
          <w:tcPr>
            <w:tcW w:type="dxa" w:w="2736"/>
          </w:tcPr>
          <w:p>
            <w:pPr>
              <w:spacing w:before="40" w:after="40"/>
              <w:jc w:val="left"/>
            </w:pPr>
            <w:r/>
            <w:r>
              <w:rPr>
                <w:rFonts w:ascii="Cambria" w:hAnsi="Cambria"/>
                <w:b w:val="0"/>
                <w:sz w:val="19"/>
              </w:rPr>
              <w:t>Instruction editors (Step1X, Qwen, FLUX)</w:t>
            </w:r>
          </w:p>
        </w:tc>
        <w:tc>
          <w:tcPr>
            <w:tcW w:type="dxa" w:w="2736"/>
          </w:tcPr>
          <w:p>
            <w:pPr>
              <w:spacing w:before="40" w:after="40"/>
              <w:jc w:val="left"/>
            </w:pPr>
            <w:r/>
            <w:r>
              <w:rPr>
                <w:rFonts w:ascii="Cambria" w:hAnsi="Cambria"/>
                <w:b w:val="0"/>
                <w:sz w:val="19"/>
              </w:rPr>
              <w:t>GEdit-Bench category scores, instruction following</w:t>
            </w:r>
          </w:p>
        </w:tc>
        <w:tc>
          <w:tcPr>
            <w:tcW w:type="dxa" w:w="2880"/>
          </w:tcPr>
          <w:p>
            <w:pPr>
              <w:spacing w:before="40" w:after="40"/>
              <w:jc w:val="left"/>
            </w:pPr>
            <w:r/>
            <w:r>
              <w:rPr>
                <w:rFonts w:ascii="Cambria" w:hAnsi="Cambria"/>
                <w:b w:val="0"/>
                <w:sz w:val="19"/>
              </w:rPr>
              <w:t>Mask IoU of the region they edit</w:t>
            </w:r>
          </w:p>
        </w:tc>
        <w:tc>
          <w:tcPr>
            <w:tcW w:type="dxa" w:w="1296"/>
          </w:tcPr>
          <w:p>
            <w:pPr>
              <w:spacing w:before="40" w:after="40"/>
              <w:jc w:val="left"/>
            </w:pPr>
            <w:r/>
            <w:r>
              <w:rPr>
                <w:rFonts w:ascii="Cambria" w:hAnsi="Cambria"/>
                <w:b w:val="0"/>
                <w:sz w:val="19"/>
              </w:rPr>
              <w:t>0.2065</w:t>
            </w:r>
          </w:p>
        </w:tc>
      </w:tr>
      <w:tr>
        <w:tc>
          <w:tcPr>
            <w:tcW w:type="dxa" w:w="2736"/>
          </w:tcPr>
          <w:p>
            <w:pPr>
              <w:spacing w:before="40" w:after="40"/>
              <w:jc w:val="left"/>
            </w:pPr>
            <w:r/>
            <w:r>
              <w:rPr>
                <w:rFonts w:ascii="Cambria" w:hAnsi="Cambria"/>
                <w:b w:val="0"/>
                <w:sz w:val="19"/>
              </w:rPr>
              <w:t>AdaptEdit (base paper)</w:t>
            </w:r>
          </w:p>
        </w:tc>
        <w:tc>
          <w:tcPr>
            <w:tcW w:type="dxa" w:w="2736"/>
          </w:tcPr>
          <w:p>
            <w:pPr>
              <w:spacing w:before="40" w:after="40"/>
              <w:jc w:val="left"/>
            </w:pPr>
            <w:r/>
            <w:r>
              <w:rPr>
                <w:rFonts w:ascii="Cambria" w:hAnsi="Cambria"/>
                <w:b w:val="0"/>
                <w:sz w:val="19"/>
              </w:rPr>
              <w:t>GEdit-Bench: text_change 8.53, subject-add 8.28</w:t>
            </w:r>
          </w:p>
        </w:tc>
        <w:tc>
          <w:tcPr>
            <w:tcW w:type="dxa" w:w="2880"/>
          </w:tcPr>
          <w:p>
            <w:pPr>
              <w:spacing w:before="40" w:after="40"/>
              <w:jc w:val="left"/>
            </w:pPr>
            <w:r/>
            <w:r>
              <w:rPr>
                <w:rFonts w:ascii="Cambria" w:hAnsi="Cambria"/>
                <w:b w:val="0"/>
                <w:sz w:val="19"/>
              </w:rPr>
              <w:t>Mask IoU — its MaskPredictor is never scored</w:t>
            </w:r>
          </w:p>
        </w:tc>
        <w:tc>
          <w:tcPr>
            <w:tcW w:type="dxa" w:w="1296"/>
          </w:tcPr>
          <w:p>
            <w:pPr>
              <w:spacing w:before="40" w:after="40"/>
              <w:jc w:val="left"/>
            </w:pPr>
            <w:r/>
            <w:r>
              <w:rPr>
                <w:rFonts w:ascii="Cambria" w:hAnsi="Cambria"/>
                <w:b w:val="0"/>
                <w:sz w:val="19"/>
              </w:rPr>
              <w:t>0.2065</w:t>
            </w:r>
          </w:p>
        </w:tc>
      </w:tr>
      <w:tr>
        <w:tc>
          <w:tcPr>
            <w:tcW w:type="dxa" w:w="2736"/>
          </w:tcPr>
          <w:p>
            <w:pPr>
              <w:spacing w:before="40" w:after="40"/>
              <w:jc w:val="left"/>
            </w:pPr>
            <w:r/>
            <w:r>
              <w:rPr>
                <w:rFonts w:ascii="Cambria" w:hAnsi="Cambria"/>
                <w:b w:val="0"/>
                <w:sz w:val="19"/>
              </w:rPr>
              <w:t>Attention readers (WhereEdit, Rethinking Where)</w:t>
            </w:r>
          </w:p>
        </w:tc>
        <w:tc>
          <w:tcPr>
            <w:tcW w:type="dxa" w:w="2736"/>
          </w:tcPr>
          <w:p>
            <w:pPr>
              <w:spacing w:before="40" w:after="40"/>
              <w:jc w:val="left"/>
            </w:pPr>
            <w:r/>
            <w:r>
              <w:rPr>
                <w:rFonts w:ascii="Cambria" w:hAnsi="Cambria"/>
                <w:b w:val="0"/>
                <w:sz w:val="19"/>
              </w:rPr>
              <w:t>Edit quality with no training</w:t>
            </w:r>
          </w:p>
        </w:tc>
        <w:tc>
          <w:tcPr>
            <w:tcW w:type="dxa" w:w="2880"/>
          </w:tcPr>
          <w:p>
            <w:pPr>
              <w:spacing w:before="40" w:after="40"/>
              <w:jc w:val="left"/>
            </w:pPr>
            <w:r/>
            <w:r>
              <w:rPr>
                <w:rFonts w:ascii="Cambria" w:hAnsi="Cambria"/>
                <w:b w:val="0"/>
                <w:sz w:val="19"/>
              </w:rPr>
              <w:t>IoU against a true changed region; empty space excluded by design</w:t>
            </w:r>
          </w:p>
        </w:tc>
        <w:tc>
          <w:tcPr>
            <w:tcW w:type="dxa" w:w="1296"/>
          </w:tcPr>
          <w:p>
            <w:pPr>
              <w:spacing w:before="40" w:after="40"/>
              <w:jc w:val="left"/>
            </w:pPr>
            <w:r/>
            <w:r>
              <w:rPr>
                <w:rFonts w:ascii="Cambria" w:hAnsi="Cambria"/>
                <w:b w:val="0"/>
                <w:sz w:val="19"/>
              </w:rPr>
              <w:t>insert 0.1186</w:t>
            </w:r>
          </w:p>
        </w:tc>
      </w:tr>
      <w:tr>
        <w:tc>
          <w:tcPr>
            <w:tcW w:type="dxa" w:w="2736"/>
          </w:tcPr>
          <w:p>
            <w:pPr>
              <w:spacing w:before="40" w:after="40"/>
              <w:jc w:val="left"/>
            </w:pPr>
            <w:r/>
            <w:r>
              <w:rPr>
                <w:rFonts w:ascii="Cambria" w:hAnsi="Cambria"/>
                <w:b w:val="0"/>
                <w:sz w:val="19"/>
              </w:rPr>
              <w:t>Region-aware efficiency (RegionE, SpotEdit)</w:t>
            </w:r>
          </w:p>
        </w:tc>
        <w:tc>
          <w:tcPr>
            <w:tcW w:type="dxa" w:w="2736"/>
          </w:tcPr>
          <w:p>
            <w:pPr>
              <w:spacing w:before="40" w:after="40"/>
              <w:jc w:val="left"/>
            </w:pPr>
            <w:r/>
            <w:r>
              <w:rPr>
                <w:rFonts w:ascii="Cambria" w:hAnsi="Cambria"/>
                <w:b w:val="0"/>
                <w:sz w:val="19"/>
              </w:rPr>
              <w:t>Denoising steps skipped, wall-clock</w:t>
            </w:r>
          </w:p>
        </w:tc>
        <w:tc>
          <w:tcPr>
            <w:tcW w:type="dxa" w:w="2880"/>
          </w:tcPr>
          <w:p>
            <w:pPr>
              <w:spacing w:before="40" w:after="40"/>
              <w:jc w:val="left"/>
            </w:pPr>
            <w:r/>
            <w:r>
              <w:rPr>
                <w:rFonts w:ascii="Cambria" w:hAnsi="Cambria"/>
                <w:b w:val="0"/>
                <w:sz w:val="19"/>
              </w:rPr>
              <w:t>Where the region comes from</w:t>
            </w:r>
          </w:p>
        </w:tc>
        <w:tc>
          <w:tcPr>
            <w:tcW w:type="dxa" w:w="1296"/>
          </w:tcPr>
          <w:p>
            <w:pPr>
              <w:spacing w:before="40" w:after="40"/>
              <w:jc w:val="left"/>
            </w:pPr>
            <w:r/>
            <w:r>
              <w:rPr>
                <w:rFonts w:ascii="Cambria" w:hAnsi="Cambria"/>
                <w:b w:val="0"/>
                <w:sz w:val="19"/>
              </w:rPr>
              <w:t>5.30 ms/instruction</w:t>
            </w:r>
          </w:p>
        </w:tc>
      </w:tr>
      <w:tr>
        <w:tc>
          <w:tcPr>
            <w:tcW w:type="dxa" w:w="2736"/>
          </w:tcPr>
          <w:p>
            <w:pPr>
              <w:spacing w:before="40" w:after="40"/>
              <w:jc w:val="left"/>
            </w:pPr>
            <w:r/>
            <w:r>
              <w:rPr>
                <w:rFonts w:ascii="Cambria" w:hAnsi="Cambria"/>
                <w:b w:val="0"/>
                <w:sz w:val="19"/>
              </w:rPr>
              <w:t>Referring segmenters (CLIPSeg, LISA, VespaSeg)</w:t>
            </w:r>
          </w:p>
        </w:tc>
        <w:tc>
          <w:tcPr>
            <w:tcW w:type="dxa" w:w="2736"/>
          </w:tcPr>
          <w:p>
            <w:pPr>
              <w:spacing w:before="40" w:after="40"/>
              <w:jc w:val="left"/>
            </w:pPr>
            <w:r/>
            <w:r>
              <w:rPr>
                <w:rFonts w:ascii="Cambria" w:hAnsi="Cambria"/>
                <w:b w:val="0"/>
                <w:sz w:val="19"/>
              </w:rPr>
              <w:t>RefCOCO-style IoU on denoted objects</w:t>
            </w:r>
          </w:p>
        </w:tc>
        <w:tc>
          <w:tcPr>
            <w:tcW w:type="dxa" w:w="2880"/>
          </w:tcPr>
          <w:p>
            <w:pPr>
              <w:spacing w:before="40" w:after="40"/>
              <w:jc w:val="left"/>
            </w:pPr>
            <w:r/>
            <w:r>
              <w:rPr>
                <w:rFonts w:ascii="Cambria" w:hAnsi="Cambria"/>
                <w:b w:val="0"/>
                <w:sz w:val="19"/>
              </w:rPr>
              <w:t>IoU on edit regions, which are not the denoted object</w:t>
            </w:r>
          </w:p>
        </w:tc>
        <w:tc>
          <w:tcPr>
            <w:tcW w:type="dxa" w:w="1296"/>
          </w:tcPr>
          <w:p>
            <w:pPr>
              <w:spacing w:before="40" w:after="40"/>
              <w:jc w:val="left"/>
            </w:pPr>
            <w:r/>
            <w:r>
              <w:rPr>
                <w:rFonts w:ascii="Cambria" w:hAnsi="Cambria"/>
                <w:b w:val="0"/>
                <w:sz w:val="19"/>
              </w:rPr>
              <w:t>+0.0216 over CLIPSeg</w:t>
            </w:r>
          </w:p>
        </w:tc>
      </w:tr>
      <w:tr>
        <w:tc>
          <w:tcPr>
            <w:tcW w:type="dxa" w:w="2736"/>
          </w:tcPr>
          <w:p>
            <w:pPr>
              <w:spacing w:before="40" w:after="40"/>
              <w:jc w:val="left"/>
            </w:pPr>
            <w:r/>
            <w:r>
              <w:rPr>
                <w:rFonts w:ascii="Cambria" w:hAnsi="Cambria"/>
                <w:b w:val="0"/>
                <w:sz w:val="19"/>
              </w:rPr>
              <w:t>Benchmarks (LocateEdit-Bench)</w:t>
            </w:r>
          </w:p>
        </w:tc>
        <w:tc>
          <w:tcPr>
            <w:tcW w:type="dxa" w:w="2736"/>
          </w:tcPr>
          <w:p>
            <w:pPr>
              <w:spacing w:before="40" w:after="40"/>
              <w:jc w:val="left"/>
            </w:pPr>
            <w:r/>
            <w:r>
              <w:rPr>
                <w:rFonts w:ascii="Cambria" w:hAnsi="Cambria"/>
                <w:b w:val="0"/>
                <w:sz w:val="19"/>
              </w:rPr>
              <w:t>Localization of edits already made</w:t>
            </w:r>
          </w:p>
        </w:tc>
        <w:tc>
          <w:tcPr>
            <w:tcW w:type="dxa" w:w="2880"/>
          </w:tcPr>
          <w:p>
            <w:pPr>
              <w:spacing w:before="40" w:after="40"/>
              <w:jc w:val="left"/>
            </w:pPr>
            <w:r/>
            <w:r>
              <w:rPr>
                <w:rFonts w:ascii="Cambria" w:hAnsi="Cambria"/>
                <w:b w:val="0"/>
                <w:sz w:val="19"/>
              </w:rPr>
              <w:t>Any score for a region predicted beforehand</w:t>
            </w:r>
          </w:p>
        </w:tc>
        <w:tc>
          <w:tcPr>
            <w:tcW w:type="dxa" w:w="1296"/>
          </w:tcPr>
          <w:p>
            <w:pPr>
              <w:spacing w:before="40" w:after="40"/>
              <w:jc w:val="left"/>
            </w:pPr>
            <w:r/>
            <w:r>
              <w:rPr>
                <w:rFonts w:ascii="Cambria" w:hAnsi="Cambria"/>
                <w:b w:val="0"/>
                <w:sz w:val="19"/>
              </w:rPr>
              <w:t>first such score here</w:t>
            </w:r>
          </w:p>
        </w:tc>
      </w:tr>
    </w:tbl>
    <w:p>
      <w:pPr>
        <w:spacing w:after="80"/>
      </w:pPr>
    </w:p>
    <w:p>
      <w:pPr>
        <w:spacing w:after="120"/>
        <w:jc w:val="both"/>
      </w:pPr>
      <w:r>
        <w:rPr>
          <w:b w:val="0"/>
          <w:i w:val="0"/>
          <w:sz w:val="22"/>
        </w:rPr>
        <w:t>The pattern is consistent. Every line of work optimises a quantity downstream of the region and reports nothing about the region itself. That is the gap this project fills, and it is why our contribution is a measurement as much as a model.</w:t>
      </w:r>
    </w:p>
    <w:p>
      <w:pPr>
        <w:pStyle w:val="Heading1"/>
      </w:pPr>
      <w:r>
        <w:t>17  Base Paper</w:t>
      </w:r>
    </w:p>
    <w:p>
      <w:pPr>
        <w:spacing w:after="60"/>
      </w:pPr>
      <w:r>
        <w:rPr>
          <w:i/>
          <w:color w:val="5A5852"/>
          <w:sz w:val="19"/>
        </w:rPr>
        <w:t>Table 17. AdaptEdit — Edit Where You Mean: Region-Aware Adapter Injection for Mask-Free Local Image Editing. Cai et al., arXiv:2604.23763, 26 April 2026.</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2736"/>
            <w:tcBorders>
              <w:bottom w:val="single" w:sz="6" w:color="1B1A17"/>
            </w:tcBorders>
          </w:tcPr>
          <w:p>
            <w:pPr>
              <w:spacing w:before="40" w:after="40"/>
              <w:jc w:val="left"/>
            </w:pPr>
            <w:r/>
            <w:r>
              <w:rPr>
                <w:rFonts w:ascii="Cambria" w:hAnsi="Cambria"/>
                <w:b/>
                <w:sz w:val="19"/>
              </w:rPr>
              <w:t>Aspect</w:t>
            </w:r>
          </w:p>
        </w:tc>
        <w:tc>
          <w:tcPr>
            <w:tcW w:type="dxa" w:w="6768"/>
            <w:tcBorders>
              <w:bottom w:val="single" w:sz="6" w:color="1B1A17"/>
            </w:tcBorders>
          </w:tcPr>
          <w:p>
            <w:pPr>
              <w:spacing w:before="40" w:after="40"/>
              <w:jc w:val="left"/>
            </w:pPr>
            <w:r/>
            <w:r>
              <w:rPr>
                <w:rFonts w:ascii="Cambria" w:hAnsi="Cambria"/>
                <w:b/>
                <w:sz w:val="19"/>
              </w:rPr>
              <w:t>Detail</w:t>
            </w:r>
          </w:p>
        </w:tc>
      </w:tr>
      <w:tr>
        <w:tc>
          <w:tcPr>
            <w:tcW w:type="dxa" w:w="2736"/>
          </w:tcPr>
          <w:p>
            <w:pPr>
              <w:spacing w:before="40" w:after="40"/>
              <w:jc w:val="left"/>
            </w:pPr>
            <w:r/>
            <w:r>
              <w:rPr>
                <w:rFonts w:ascii="Cambria" w:hAnsi="Cambria"/>
                <w:b w:val="0"/>
                <w:sz w:val="19"/>
              </w:rPr>
              <w:t>Problem addressed</w:t>
            </w:r>
          </w:p>
        </w:tc>
        <w:tc>
          <w:tcPr>
            <w:tcW w:type="dxa" w:w="6768"/>
          </w:tcPr>
          <w:p>
            <w:pPr>
              <w:spacing w:before="40" w:after="40"/>
              <w:jc w:val="left"/>
            </w:pPr>
            <w:r/>
            <w:r>
              <w:rPr>
                <w:rFonts w:ascii="Cambria" w:hAnsi="Cambria"/>
                <w:b w:val="0"/>
                <w:sz w:val="19"/>
              </w:rPr>
              <w:t>Local image editing without requiring the user to draw a mask</w:t>
            </w:r>
          </w:p>
        </w:tc>
      </w:tr>
      <w:tr>
        <w:tc>
          <w:tcPr>
            <w:tcW w:type="dxa" w:w="2736"/>
          </w:tcPr>
          <w:p>
            <w:pPr>
              <w:spacing w:before="40" w:after="40"/>
              <w:jc w:val="left"/>
            </w:pPr>
            <w:r/>
            <w:r>
              <w:rPr>
                <w:rFonts w:ascii="Cambria" w:hAnsi="Cambria"/>
                <w:b w:val="0"/>
                <w:sz w:val="19"/>
              </w:rPr>
              <w:t>Method</w:t>
            </w:r>
          </w:p>
        </w:tc>
        <w:tc>
          <w:tcPr>
            <w:tcW w:type="dxa" w:w="6768"/>
          </w:tcPr>
          <w:p>
            <w:pPr>
              <w:spacing w:before="40" w:after="40"/>
              <w:jc w:val="left"/>
            </w:pPr>
            <w:r/>
            <w:r>
              <w:rPr>
                <w:rFonts w:ascii="Cambria" w:hAnsi="Cambria"/>
                <w:b w:val="0"/>
                <w:sz w:val="19"/>
              </w:rPr>
              <w:t>Retrofits a frozen diffusion transformer with Block Adapters at each block, a Condition Encoder and a SpatialGate</w:t>
            </w:r>
          </w:p>
        </w:tc>
      </w:tr>
      <w:tr>
        <w:tc>
          <w:tcPr>
            <w:tcW w:type="dxa" w:w="2736"/>
          </w:tcPr>
          <w:p>
            <w:pPr>
              <w:spacing w:before="40" w:after="40"/>
              <w:jc w:val="left"/>
            </w:pPr>
            <w:r/>
            <w:r>
              <w:rPr>
                <w:rFonts w:ascii="Cambria" w:hAnsi="Cambria"/>
                <w:b w:val="0"/>
                <w:sz w:val="19"/>
              </w:rPr>
              <w:t>Component extended here</w:t>
            </w:r>
          </w:p>
        </w:tc>
        <w:tc>
          <w:tcPr>
            <w:tcW w:type="dxa" w:w="6768"/>
          </w:tcPr>
          <w:p>
            <w:pPr>
              <w:spacing w:before="40" w:after="40"/>
              <w:jc w:val="left"/>
            </w:pPr>
            <w:r/>
            <w:r>
              <w:rPr>
                <w:rFonts w:ascii="Cambria" w:hAnsi="Cambria"/>
                <w:b w:val="0"/>
                <w:sz w:val="19"/>
              </w:rPr>
              <w:t>A thin MaskPredictor head, trained jointly, grounding the edit region from instruction and source image</w:t>
            </w:r>
          </w:p>
        </w:tc>
      </w:tr>
      <w:tr>
        <w:tc>
          <w:tcPr>
            <w:tcW w:type="dxa" w:w="2736"/>
          </w:tcPr>
          <w:p>
            <w:pPr>
              <w:spacing w:before="40" w:after="40"/>
              <w:jc w:val="left"/>
            </w:pPr>
            <w:r/>
            <w:r>
              <w:rPr>
                <w:rFonts w:ascii="Cambria" w:hAnsi="Cambria"/>
                <w:b w:val="0"/>
                <w:sz w:val="19"/>
              </w:rPr>
              <w:t>Its supervision</w:t>
            </w:r>
          </w:p>
        </w:tc>
        <w:tc>
          <w:tcPr>
            <w:tcW w:type="dxa" w:w="6768"/>
          </w:tcPr>
          <w:p>
            <w:pPr>
              <w:spacing w:before="40" w:after="40"/>
              <w:jc w:val="left"/>
            </w:pPr>
            <w:r/>
            <w:r>
              <w:rPr>
                <w:rFonts w:ascii="Cambria" w:hAnsi="Cambria"/>
                <w:b w:val="0"/>
                <w:sz w:val="19"/>
              </w:rPr>
              <w:t>MagicBrush human-annotated masks and rendered text bounding regions, explicitly not pixel differences</w:t>
            </w:r>
          </w:p>
        </w:tc>
      </w:tr>
      <w:tr>
        <w:tc>
          <w:tcPr>
            <w:tcW w:type="dxa" w:w="2736"/>
          </w:tcPr>
          <w:p>
            <w:pPr>
              <w:spacing w:before="40" w:after="40"/>
              <w:jc w:val="left"/>
            </w:pPr>
            <w:r/>
            <w:r>
              <w:rPr>
                <w:rFonts w:ascii="Cambria" w:hAnsi="Cambria"/>
                <w:b w:val="0"/>
                <w:sz w:val="19"/>
              </w:rPr>
              <w:t>Loss</w:t>
            </w:r>
          </w:p>
        </w:tc>
        <w:tc>
          <w:tcPr>
            <w:tcW w:type="dxa" w:w="6768"/>
          </w:tcPr>
          <w:p>
            <w:pPr>
              <w:spacing w:before="40" w:after="40"/>
              <w:jc w:val="left"/>
            </w:pPr>
            <w:r/>
            <w:r>
              <w:rPr>
                <w:rFonts w:ascii="Cambria" w:hAnsi="Cambria"/>
                <w:b w:val="0"/>
                <w:sz w:val="19"/>
              </w:rPr>
              <w:t>Region-aware loss weighting pixels within the predicted region</w:t>
            </w:r>
          </w:p>
        </w:tc>
      </w:tr>
      <w:tr>
        <w:tc>
          <w:tcPr>
            <w:tcW w:type="dxa" w:w="2736"/>
          </w:tcPr>
          <w:p>
            <w:pPr>
              <w:spacing w:before="40" w:after="40"/>
              <w:jc w:val="left"/>
            </w:pPr>
            <w:r/>
            <w:r>
              <w:rPr>
                <w:rFonts w:ascii="Cambria" w:hAnsi="Cambria"/>
                <w:b w:val="0"/>
                <w:sz w:val="19"/>
              </w:rPr>
              <w:t>Scale</w:t>
            </w:r>
          </w:p>
        </w:tc>
        <w:tc>
          <w:tcPr>
            <w:tcW w:type="dxa" w:w="6768"/>
          </w:tcPr>
          <w:p>
            <w:pPr>
              <w:spacing w:before="40" w:after="40"/>
              <w:jc w:val="left"/>
            </w:pPr>
            <w:r/>
            <w:r>
              <w:rPr>
                <w:rFonts w:ascii="Cambria" w:hAnsi="Cambria"/>
                <w:b w:val="0"/>
                <w:sz w:val="19"/>
              </w:rPr>
              <w:t>20.43 B frozen transformer, 4.67 B adapters, 351 M condition encoder</w:t>
            </w:r>
          </w:p>
        </w:tc>
      </w:tr>
      <w:tr>
        <w:tc>
          <w:tcPr>
            <w:tcW w:type="dxa" w:w="2736"/>
          </w:tcPr>
          <w:p>
            <w:pPr>
              <w:spacing w:before="40" w:after="40"/>
              <w:jc w:val="left"/>
            </w:pPr>
            <w:r/>
            <w:r>
              <w:rPr>
                <w:rFonts w:ascii="Cambria" w:hAnsi="Cambria"/>
                <w:b/>
                <w:sz w:val="19"/>
              </w:rPr>
              <w:t>Stated limitation</w:t>
            </w:r>
          </w:p>
        </w:tc>
        <w:tc>
          <w:tcPr>
            <w:tcW w:type="dxa" w:w="6768"/>
          </w:tcPr>
          <w:p>
            <w:pPr>
              <w:spacing w:before="40" w:after="40"/>
              <w:jc w:val="left"/>
            </w:pPr>
            <w:r/>
            <w:r>
              <w:rPr>
                <w:rFonts w:ascii="Cambria" w:hAnsi="Cambria"/>
                <w:b/>
                <w:sz w:val="19"/>
              </w:rPr>
              <w:t>Geometry-changing edits with no localized source region</w:t>
            </w:r>
          </w:p>
        </w:tc>
      </w:tr>
      <w:tr>
        <w:tc>
          <w:tcPr>
            <w:tcW w:type="dxa" w:w="2736"/>
          </w:tcPr>
          <w:p>
            <w:pPr>
              <w:spacing w:before="40" w:after="40"/>
              <w:jc w:val="left"/>
            </w:pPr>
            <w:r/>
            <w:r>
              <w:rPr>
                <w:rFonts w:ascii="Cambria" w:hAnsi="Cambria"/>
                <w:b w:val="0"/>
                <w:sz w:val="19"/>
              </w:rPr>
              <w:t>Why not extended directly</w:t>
            </w:r>
          </w:p>
        </w:tc>
        <w:tc>
          <w:tcPr>
            <w:tcW w:type="dxa" w:w="6768"/>
          </w:tcPr>
          <w:p>
            <w:pPr>
              <w:spacing w:before="40" w:after="40"/>
              <w:jc w:val="left"/>
            </w:pPr>
            <w:r/>
            <w:r>
              <w:rPr>
                <w:rFonts w:ascii="Cambria" w:hAnsi="Cambria"/>
                <w:b w:val="0"/>
                <w:sz w:val="19"/>
              </w:rPr>
              <w:t>A diffusion transformer at 12 to 20 billion parameters cannot be executed or retrained on a 26 GB machine</w:t>
            </w:r>
          </w:p>
        </w:tc>
      </w:tr>
      <w:tr>
        <w:tc>
          <w:tcPr>
            <w:tcW w:type="dxa" w:w="2736"/>
          </w:tcPr>
          <w:p>
            <w:pPr>
              <w:spacing w:before="40" w:after="40"/>
              <w:jc w:val="left"/>
            </w:pPr>
            <w:r/>
            <w:r>
              <w:rPr>
                <w:rFonts w:ascii="Cambria" w:hAnsi="Cambria"/>
                <w:b w:val="0"/>
                <w:sz w:val="19"/>
              </w:rPr>
              <w:t>Relationship to present work</w:t>
            </w:r>
          </w:p>
        </w:tc>
        <w:tc>
          <w:tcPr>
            <w:tcW w:type="dxa" w:w="6768"/>
          </w:tcPr>
          <w:p>
            <w:pPr>
              <w:spacing w:before="40" w:after="40"/>
              <w:jc w:val="left"/>
            </w:pPr>
            <w:r/>
            <w:r>
              <w:rPr>
                <w:rFonts w:ascii="Cambria" w:hAnsi="Cambria"/>
                <w:b w:val="0"/>
                <w:sz w:val="19"/>
              </w:rPr>
              <w:t>Same problem statement; different supervision, different weight class, and the mask IoU it does not report</w:t>
            </w:r>
          </w:p>
        </w:tc>
      </w:tr>
    </w:tbl>
    <w:p>
      <w:pPr>
        <w:spacing w:after="80"/>
      </w:pPr>
    </w:p>
    <w:p>
      <w:pPr>
        <w:pStyle w:val="Heading1"/>
      </w:pPr>
      <w:r>
        <w:t>18  References</w:t>
      </w:r>
    </w:p>
    <w:p>
      <w:pPr>
        <w:spacing w:after="120"/>
        <w:jc w:val="both"/>
      </w:pPr>
      <w:r>
        <w:rPr>
          <w:b w:val="0"/>
          <w:i w:val="0"/>
          <w:sz w:val="22"/>
        </w:rPr>
        <w:t>All forty-five works, most recent first. Archived PDFs accompany the matrix in LITERATURE/pdfs/.</w:t>
      </w:r>
    </w:p>
    <w:p>
      <w:pPr>
        <w:spacing w:after="60"/>
        <w:ind w:left="504" w:hanging="504"/>
      </w:pPr>
      <w:r>
        <w:rPr>
          <w:sz w:val="19"/>
        </w:rPr>
        <w:t xml:space="preserve">[1]  </w:t>
      </w:r>
      <w:hyperlink r:id="rId9">
        <w:r>
          <w:rPr>
            <w:color w:val="1155CC"/>
            <w:u w:val="single"/>
            <w:sz w:val="19"/>
            <w:rFonts w:ascii="Cambria" w:hAnsi="Cambria"/>
          </w:rPr>
          <w:t xml:space="preserve">*** AdaptEdit / Edit Where You Mean *** [BASE PAPER]</w:t>
        </w:r>
      </w:hyperlink>
      <w:r>
        <w:rPr>
          <w:sz w:val="19"/>
        </w:rPr>
        <w:t>. arXiv, 2026. arXiv:2604.23763.</w:t>
      </w:r>
    </w:p>
    <w:p>
      <w:pPr>
        <w:spacing w:after="60"/>
        <w:ind w:left="504" w:hanging="504"/>
      </w:pPr>
      <w:r>
        <w:rPr>
          <w:sz w:val="19"/>
        </w:rPr>
        <w:t xml:space="preserve">[2]  </w:t>
      </w:r>
      <w:hyperlink r:id="rId33">
        <w:r>
          <w:rPr>
            <w:color w:val="1155CC"/>
            <w:u w:val="single"/>
            <w:sz w:val="19"/>
            <w:rFonts w:ascii="Cambria" w:hAnsi="Cambria"/>
          </w:rPr>
          <w:t xml:space="preserve">AnchorSeg: Language Grounded Query Banks</w:t>
        </w:r>
      </w:hyperlink>
      <w:r>
        <w:rPr>
          <w:sz w:val="19"/>
        </w:rPr>
        <w:t>. arXiv, 2026. arXiv:2604.18562.</w:t>
      </w:r>
    </w:p>
    <w:p>
      <w:pPr>
        <w:spacing w:after="60"/>
        <w:ind w:left="504" w:hanging="504"/>
      </w:pPr>
      <w:r>
        <w:rPr>
          <w:sz w:val="19"/>
        </w:rPr>
        <w:t xml:space="preserve">[3]  </w:t>
      </w:r>
      <w:hyperlink r:id="rId35">
        <w:r>
          <w:rPr>
            <w:color w:val="1155CC"/>
            <w:u w:val="single"/>
            <w:sz w:val="19"/>
            <w:rFonts w:ascii="Cambria" w:hAnsi="Cambria"/>
          </w:rPr>
          <w:t xml:space="preserve">DGSeg: Dynamic Gating of Semantic-Spatial Predictions</w:t>
        </w:r>
      </w:hyperlink>
      <w:r>
        <w:rPr>
          <w:sz w:val="19"/>
        </w:rPr>
        <w:t>. arXiv, 2026. arXiv:2607.04779.</w:t>
      </w:r>
    </w:p>
    <w:p>
      <w:pPr>
        <w:spacing w:after="60"/>
        <w:ind w:left="504" w:hanging="504"/>
      </w:pPr>
      <w:r>
        <w:rPr>
          <w:sz w:val="19"/>
        </w:rPr>
        <w:t xml:space="preserve">[4]  </w:t>
      </w:r>
      <w:hyperlink r:id="rId17">
        <w:r>
          <w:rPr>
            <w:color w:val="1155CC"/>
            <w:u w:val="single"/>
            <w:sz w:val="19"/>
            <w:rFonts w:ascii="Cambria" w:hAnsi="Cambria"/>
          </w:rPr>
          <w:t xml:space="preserve">EditMGT: Masked Generative Transformer Is What You Need</w:t>
        </w:r>
      </w:hyperlink>
      <w:r>
        <w:rPr>
          <w:sz w:val="19"/>
        </w:rPr>
        <w:t>. arXiv, 2026. arXiv:2605.10859.</w:t>
      </w:r>
    </w:p>
    <w:p>
      <w:pPr>
        <w:spacing w:after="60"/>
        <w:ind w:left="504" w:hanging="504"/>
      </w:pPr>
      <w:r>
        <w:rPr>
          <w:sz w:val="19"/>
        </w:rPr>
        <w:t xml:space="preserve">[5]  </w:t>
      </w:r>
      <w:hyperlink r:id="rId46">
        <w:r>
          <w:rPr>
            <w:color w:val="1155CC"/>
            <w:u w:val="single"/>
            <w:sz w:val="19"/>
            <w:rFonts w:ascii="Cambria" w:hAnsi="Cambria"/>
          </w:rPr>
          <w:t xml:space="preserve">EditSSC: Editable Semantic Occupancy</w:t>
        </w:r>
      </w:hyperlink>
      <w:r>
        <w:rPr>
          <w:sz w:val="19"/>
        </w:rPr>
        <w:t>. arXiv, 2026. arXiv:2606.09273.</w:t>
      </w:r>
    </w:p>
    <w:p>
      <w:pPr>
        <w:spacing w:after="60"/>
        <w:ind w:left="504" w:hanging="504"/>
      </w:pPr>
      <w:r>
        <w:rPr>
          <w:sz w:val="19"/>
        </w:rPr>
        <w:t xml:space="preserve">[6]  </w:t>
      </w:r>
      <w:r>
        <w:rPr>
          <w:sz w:val="19"/>
        </w:rPr>
        <w:t>Follow-Your-Shape: Trajectory-Guided Region Control</w:t>
      </w:r>
      <w:r>
        <w:rPr>
          <w:sz w:val="19"/>
        </w:rPr>
        <w:t>. ICLR 2026, 2026.</w:t>
      </w:r>
    </w:p>
    <w:p>
      <w:pPr>
        <w:spacing w:after="60"/>
        <w:ind w:left="504" w:hanging="504"/>
      </w:pPr>
      <w:r>
        <w:rPr>
          <w:sz w:val="19"/>
        </w:rPr>
        <w:t xml:space="preserve">[7]  </w:t>
      </w:r>
      <w:hyperlink r:id="rId20">
        <w:r>
          <w:rPr>
            <w:color w:val="1155CC"/>
            <w:u w:val="single"/>
            <w:sz w:val="19"/>
            <w:rFonts w:ascii="Cambria" w:hAnsi="Cambria"/>
          </w:rPr>
          <w:t xml:space="preserve">GIDE: Unlocking Diffusion LLMs for Precise Training-Free Editing</w:t>
        </w:r>
      </w:hyperlink>
      <w:r>
        <w:rPr>
          <w:sz w:val="19"/>
        </w:rPr>
        <w:t>. arXiv, 2026. arXiv:2603.21176.</w:t>
      </w:r>
    </w:p>
    <w:p>
      <w:pPr>
        <w:spacing w:after="60"/>
        <w:ind w:left="504" w:hanging="504"/>
      </w:pPr>
      <w:r>
        <w:rPr>
          <w:sz w:val="19"/>
        </w:rPr>
        <w:t xml:space="preserve">[8]  </w:t>
      </w:r>
      <w:hyperlink r:id="rId42">
        <w:r>
          <w:rPr>
            <w:color w:val="1155CC"/>
            <w:u w:val="single"/>
            <w:sz w:val="19"/>
            <w:rFonts w:ascii="Cambria" w:hAnsi="Cambria"/>
          </w:rPr>
          <w:t xml:space="preserve">I2E: From Image Pixels to Interactive Environments</w:t>
        </w:r>
      </w:hyperlink>
      <w:r>
        <w:rPr>
          <w:sz w:val="19"/>
        </w:rPr>
        <w:t>. arXiv, 2026. arXiv:2601.03741.</w:t>
      </w:r>
    </w:p>
    <w:p>
      <w:pPr>
        <w:spacing w:after="60"/>
        <w:ind w:left="504" w:hanging="504"/>
      </w:pPr>
      <w:r>
        <w:rPr>
          <w:sz w:val="19"/>
        </w:rPr>
        <w:t xml:space="preserve">[9]  </w:t>
      </w:r>
      <w:hyperlink r:id="rId47">
        <w:r>
          <w:rPr>
            <w:color w:val="1155CC"/>
            <w:u w:val="single"/>
            <w:sz w:val="19"/>
            <w:rFonts w:ascii="Cambria" w:hAnsi="Cambria"/>
          </w:rPr>
          <w:t xml:space="preserve">Instruction-based Image Editing: A Survey</w:t>
        </w:r>
      </w:hyperlink>
      <w:r>
        <w:rPr>
          <w:sz w:val="19"/>
        </w:rPr>
        <w:t>. arXiv, 2026. arXiv:2607.25642.</w:t>
      </w:r>
    </w:p>
    <w:p>
      <w:pPr>
        <w:spacing w:after="60"/>
        <w:ind w:left="504" w:hanging="504"/>
      </w:pPr>
      <w:r>
        <w:rPr>
          <w:sz w:val="19"/>
        </w:rPr>
        <w:t xml:space="preserve">[10]  </w:t>
      </w:r>
      <w:hyperlink r:id="rId37">
        <w:r>
          <w:rPr>
            <w:color w:val="1155CC"/>
            <w:u w:val="single"/>
            <w:sz w:val="19"/>
            <w:rFonts w:ascii="Cambria" w:hAnsi="Cambria"/>
          </w:rPr>
          <w:t xml:space="preserve">LocateEdit-Bench: Benchmark for Editing Localization</w:t>
        </w:r>
      </w:hyperlink>
      <w:r>
        <w:rPr>
          <w:sz w:val="19"/>
        </w:rPr>
        <w:t>. arXiv, 2026. arXiv:2602.05577.</w:t>
      </w:r>
    </w:p>
    <w:p>
      <w:pPr>
        <w:spacing w:after="60"/>
        <w:ind w:left="504" w:hanging="504"/>
      </w:pPr>
      <w:r>
        <w:rPr>
          <w:sz w:val="19"/>
        </w:rPr>
        <w:t xml:space="preserve">[11]  </w:t>
      </w:r>
      <w:hyperlink r:id="rId44">
        <w:r>
          <w:rPr>
            <w:color w:val="1155CC"/>
            <w:u w:val="single"/>
            <w:sz w:val="19"/>
            <w:rFonts w:ascii="Cambria" w:hAnsi="Cambria"/>
          </w:rPr>
          <w:t xml:space="preserve">MUSE: Agentic 3D Scene Authoring via Memory</w:t>
        </w:r>
      </w:hyperlink>
      <w:r>
        <w:rPr>
          <w:sz w:val="19"/>
        </w:rPr>
        <w:t>. arXiv, 2026. arXiv:2606.14168.</w:t>
      </w:r>
    </w:p>
    <w:p>
      <w:pPr>
        <w:spacing w:after="60"/>
        <w:ind w:left="504" w:hanging="504"/>
      </w:pPr>
      <w:r>
        <w:rPr>
          <w:sz w:val="19"/>
        </w:rPr>
        <w:t xml:space="preserve">[12]  </w:t>
      </w:r>
      <w:hyperlink r:id="rId12">
        <w:r>
          <w:rPr>
            <w:color w:val="1155CC"/>
            <w:u w:val="single"/>
            <w:sz w:val="19"/>
            <w:rFonts w:ascii="Cambria" w:hAnsi="Cambria"/>
          </w:rPr>
          <w:t xml:space="preserve">MaskFlow: Precise, Consistent and Seamless Regional Editing</w:t>
        </w:r>
      </w:hyperlink>
      <w:r>
        <w:rPr>
          <w:sz w:val="19"/>
        </w:rPr>
        <w:t>. arXiv, 2026. arXiv:2608.06929.</w:t>
      </w:r>
    </w:p>
    <w:p>
      <w:pPr>
        <w:spacing w:after="60"/>
        <w:ind w:left="504" w:hanging="504"/>
      </w:pPr>
      <w:r>
        <w:rPr>
          <w:sz w:val="19"/>
        </w:rPr>
        <w:t xml:space="preserve">[13]  </w:t>
      </w:r>
      <w:hyperlink r:id="rId19">
        <w:r>
          <w:rPr>
            <w:color w:val="1155CC"/>
            <w:u w:val="single"/>
            <w:sz w:val="19"/>
            <w:rFonts w:ascii="Cambria" w:hAnsi="Cambria"/>
          </w:rPr>
          <w:t xml:space="preserve">Qwen-Image-Edit (2509 / 2511 / 2.0)</w:t>
        </w:r>
      </w:hyperlink>
      <w:r>
        <w:rPr>
          <w:sz w:val="19"/>
        </w:rPr>
        <w:t>. Alibaba release, 2026.</w:t>
      </w:r>
    </w:p>
    <w:p>
      <w:pPr>
        <w:spacing w:after="60"/>
        <w:ind w:left="504" w:hanging="504"/>
      </w:pPr>
      <w:r>
        <w:rPr>
          <w:sz w:val="19"/>
        </w:rPr>
        <w:t xml:space="preserve">[14]  </w:t>
      </w:r>
      <w:r>
        <w:rPr>
          <w:sz w:val="19"/>
        </w:rPr>
        <w:t>RePlan: Reasoning-Guided Region Planning</w:t>
      </w:r>
      <w:r>
        <w:rPr>
          <w:sz w:val="19"/>
        </w:rPr>
        <w:t>. ECCV 2026, 2026.</w:t>
      </w:r>
    </w:p>
    <w:p>
      <w:pPr>
        <w:spacing w:after="60"/>
        <w:ind w:left="504" w:hanging="504"/>
      </w:pPr>
      <w:r>
        <w:rPr>
          <w:sz w:val="19"/>
        </w:rPr>
        <w:t xml:space="preserve">[15]  </w:t>
      </w:r>
      <w:hyperlink r:id="rId29">
        <w:r>
          <w:rPr>
            <w:color w:val="1155CC"/>
            <w:u w:val="single"/>
            <w:sz w:val="19"/>
            <w:rFonts w:ascii="Cambria" w:hAnsi="Cambria"/>
          </w:rPr>
          <w:t xml:space="preserve">RegionE: Adaptive Region-Aware Generation</w:t>
        </w:r>
      </w:hyperlink>
      <w:r>
        <w:rPr>
          <w:sz w:val="19"/>
        </w:rPr>
        <w:t>. ICLR 2026, 2026. arXiv:2510.25590.</w:t>
      </w:r>
    </w:p>
    <w:p>
      <w:pPr>
        <w:spacing w:after="60"/>
        <w:ind w:left="504" w:hanging="504"/>
      </w:pPr>
      <w:r>
        <w:rPr>
          <w:sz w:val="19"/>
        </w:rPr>
        <w:t xml:space="preserve">[16]  </w:t>
      </w:r>
      <w:hyperlink r:id="rId10">
        <w:r>
          <w:rPr>
            <w:color w:val="1155CC"/>
            <w:u w:val="single"/>
            <w:sz w:val="19"/>
            <w:rFonts w:ascii="Cambria" w:hAnsi="Cambria"/>
          </w:rPr>
          <w:t xml:space="preserve">Rethinking Where to Edit: Task-Aware Localization</w:t>
        </w:r>
      </w:hyperlink>
      <w:r>
        <w:rPr>
          <w:sz w:val="19"/>
        </w:rPr>
        <w:t>. arXiv, 2026. arXiv:2604.20258.</w:t>
      </w:r>
    </w:p>
    <w:p>
      <w:pPr>
        <w:spacing w:after="60"/>
        <w:ind w:left="504" w:hanging="504"/>
      </w:pPr>
      <w:r>
        <w:rPr>
          <w:sz w:val="19"/>
        </w:rPr>
        <w:t xml:space="preserve">[17]  </w:t>
      </w:r>
      <w:hyperlink r:id="rId34">
        <w:r>
          <w:rPr>
            <w:color w:val="1155CC"/>
            <w:u w:val="single"/>
            <w:sz w:val="19"/>
            <w:rFonts w:ascii="Cambria" w:hAnsi="Cambria"/>
          </w:rPr>
          <w:t xml:space="preserve">SetCon: Open-Ended Referring Segmentation</w:t>
        </w:r>
      </w:hyperlink>
      <w:r>
        <w:rPr>
          <w:sz w:val="19"/>
        </w:rPr>
        <w:t>. arXiv, 2026. arXiv:2605.20110.</w:t>
      </w:r>
    </w:p>
    <w:p>
      <w:pPr>
        <w:spacing w:after="60"/>
        <w:ind w:left="504" w:hanging="504"/>
      </w:pPr>
      <w:r>
        <w:rPr>
          <w:sz w:val="19"/>
        </w:rPr>
        <w:t xml:space="preserve">[18]  </w:t>
      </w:r>
      <w:hyperlink r:id="rId32">
        <w:r>
          <w:rPr>
            <w:color w:val="1155CC"/>
            <w:u w:val="single"/>
            <w:sz w:val="19"/>
            <w:rFonts w:ascii="Cambria" w:hAnsi="Cambria"/>
          </w:rPr>
          <w:t xml:space="preserve">VespaSeg: Resource-Aware Ground-then-Segment RES</w:t>
        </w:r>
      </w:hyperlink>
      <w:r>
        <w:rPr>
          <w:sz w:val="19"/>
        </w:rPr>
        <w:t>. arXiv, 2026. arXiv:2608.01077.</w:t>
      </w:r>
    </w:p>
    <w:p>
      <w:pPr>
        <w:spacing w:after="60"/>
        <w:ind w:left="504" w:hanging="504"/>
      </w:pPr>
      <w:r>
        <w:rPr>
          <w:sz w:val="19"/>
        </w:rPr>
        <w:t xml:space="preserve">[19]  </w:t>
      </w:r>
      <w:hyperlink r:id="rId11">
        <w:r>
          <w:rPr>
            <w:color w:val="1155CC"/>
            <w:u w:val="single"/>
            <w:sz w:val="19"/>
            <w:rFonts w:ascii="Cambria" w:hAnsi="Cambria"/>
          </w:rPr>
          <w:t xml:space="preserve">WhereEdit: Mask-aware Local Latent Editing for One-Step Editing</w:t>
        </w:r>
      </w:hyperlink>
      <w:r>
        <w:rPr>
          <w:sz w:val="19"/>
        </w:rPr>
        <w:t>. arXiv, 2026. arXiv:2607.20883.</w:t>
      </w:r>
    </w:p>
    <w:p>
      <w:pPr>
        <w:spacing w:after="60"/>
        <w:ind w:left="504" w:hanging="504"/>
      </w:pPr>
      <w:r>
        <w:rPr>
          <w:sz w:val="19"/>
        </w:rPr>
        <w:t xml:space="preserve">[20]  </w:t>
      </w:r>
      <w:hyperlink r:id="rId38">
        <w:r>
          <w:rPr>
            <w:color w:val="1155CC"/>
            <w:u w:val="single"/>
            <w:sz w:val="19"/>
            <w:rFonts w:ascii="Cambria" w:hAnsi="Cambria"/>
          </w:rPr>
          <w:t xml:space="preserve">Balancing Preservation and Modification: Region+Semantic Metric</w:t>
        </w:r>
      </w:hyperlink>
      <w:r>
        <w:rPr>
          <w:sz w:val="19"/>
        </w:rPr>
        <w:t>. arXiv, 2025. arXiv:2506.13827.</w:t>
      </w:r>
    </w:p>
    <w:p>
      <w:pPr>
        <w:spacing w:after="60"/>
        <w:ind w:left="504" w:hanging="504"/>
      </w:pPr>
      <w:r>
        <w:rPr>
          <w:sz w:val="19"/>
        </w:rPr>
        <w:t xml:space="preserve">[21]  </w:t>
      </w:r>
      <w:hyperlink r:id="rId24">
        <w:r>
          <w:rPr>
            <w:color w:val="1155CC"/>
            <w:u w:val="single"/>
            <w:sz w:val="19"/>
            <w:rFonts w:ascii="Cambria" w:hAnsi="Cambria"/>
          </w:rPr>
          <w:t xml:space="preserve">CannyEdit: Selective Canny Control and Dual-Prompt Guidance</w:t>
        </w:r>
      </w:hyperlink>
      <w:r>
        <w:rPr>
          <w:sz w:val="19"/>
        </w:rPr>
        <w:t>. arXiv, 2025. arXiv:2508.06937.</w:t>
      </w:r>
    </w:p>
    <w:p>
      <w:pPr>
        <w:spacing w:after="60"/>
        <w:ind w:left="504" w:hanging="504"/>
      </w:pPr>
      <w:r>
        <w:rPr>
          <w:sz w:val="19"/>
        </w:rPr>
        <w:t xml:space="preserve">[22]  </w:t>
      </w:r>
      <w:hyperlink r:id="rId40">
        <w:r>
          <w:rPr>
            <w:color w:val="1155CC"/>
            <w:u w:val="single"/>
            <w:sz w:val="19"/>
            <w:rFonts w:ascii="Cambria" w:hAnsi="Cambria"/>
          </w:rPr>
          <w:t xml:space="preserve">Counterfactual Segmentation Reasoning</w:t>
        </w:r>
      </w:hyperlink>
      <w:r>
        <w:rPr>
          <w:sz w:val="19"/>
        </w:rPr>
        <w:t>. arXiv, 2025. arXiv:2506.21546.</w:t>
      </w:r>
    </w:p>
    <w:p>
      <w:pPr>
        <w:spacing w:after="60"/>
        <w:ind w:left="504" w:hanging="504"/>
      </w:pPr>
      <w:r>
        <w:rPr>
          <w:sz w:val="19"/>
        </w:rPr>
        <w:t xml:space="preserve">[23]  </w:t>
      </w:r>
      <w:hyperlink r:id="rId21">
        <w:r>
          <w:rPr>
            <w:color w:val="1155CC"/>
            <w:u w:val="single"/>
            <w:sz w:val="19"/>
            <w:rFonts w:ascii="Cambria" w:hAnsi="Cambria"/>
          </w:rPr>
          <w:t xml:space="preserve">FLUX.1 Kontext [dev] / FLUX.2</w:t>
        </w:r>
      </w:hyperlink>
      <w:r>
        <w:rPr>
          <w:sz w:val="19"/>
        </w:rPr>
        <w:t>. Black Forest Labs, 2025.</w:t>
      </w:r>
    </w:p>
    <w:p>
      <w:pPr>
        <w:spacing w:after="60"/>
        <w:ind w:left="504" w:hanging="504"/>
      </w:pPr>
      <w:r>
        <w:rPr>
          <w:sz w:val="19"/>
        </w:rPr>
        <w:t xml:space="preserve">[24]  </w:t>
      </w:r>
      <w:hyperlink r:id="rId45">
        <w:r>
          <w:rPr>
            <w:color w:val="1155CC"/>
            <w:u w:val="single"/>
            <w:sz w:val="19"/>
            <w:rFonts w:ascii="Cambria" w:hAnsi="Cambria"/>
          </w:rPr>
          <w:t xml:space="preserve">Free-Form Scene Editor: Multi-Round Object Manipulation</w:t>
        </w:r>
      </w:hyperlink>
      <w:r>
        <w:rPr>
          <w:sz w:val="19"/>
        </w:rPr>
        <w:t>. arXiv, 2025. arXiv:2511.13713.</w:t>
      </w:r>
    </w:p>
    <w:p>
      <w:pPr>
        <w:spacing w:after="60"/>
        <w:ind w:left="504" w:hanging="504"/>
      </w:pPr>
      <w:r>
        <w:rPr>
          <w:sz w:val="19"/>
        </w:rPr>
        <w:t xml:space="preserve">[25]  </w:t>
      </w:r>
      <w:hyperlink r:id="rId18">
        <w:r>
          <w:rPr>
            <w:color w:val="1155CC"/>
            <w:u w:val="single"/>
            <w:sz w:val="19"/>
            <w:rFonts w:ascii="Cambria" w:hAnsi="Cambria"/>
          </w:rPr>
          <w:t xml:space="preserve">GEdit-Bench (via Step1X-Edit)</w:t>
        </w:r>
      </w:hyperlink>
      <w:r>
        <w:rPr>
          <w:sz w:val="19"/>
        </w:rPr>
        <w:t>. benchmark, 2025. arXiv:2504.17761.</w:t>
      </w:r>
    </w:p>
    <w:p>
      <w:pPr>
        <w:spacing w:after="60"/>
        <w:ind w:left="504" w:hanging="504"/>
      </w:pPr>
      <w:r>
        <w:rPr>
          <w:sz w:val="19"/>
        </w:rPr>
        <w:t xml:space="preserve">[26]  </w:t>
      </w:r>
      <w:hyperlink r:id="rId23">
        <w:r>
          <w:rPr>
            <w:color w:val="1155CC"/>
            <w:u w:val="single"/>
            <w:sz w:val="19"/>
            <w:rFonts w:ascii="Cambria" w:hAnsi="Cambria"/>
          </w:rPr>
          <w:t xml:space="preserve">Image Editing As Programs</w:t>
        </w:r>
      </w:hyperlink>
      <w:r>
        <w:rPr>
          <w:sz w:val="19"/>
        </w:rPr>
        <w:t>. arXiv, 2025. arXiv:2506.04158.</w:t>
      </w:r>
    </w:p>
    <w:p>
      <w:pPr>
        <w:spacing w:after="60"/>
        <w:ind w:left="504" w:hanging="504"/>
      </w:pPr>
      <w:r>
        <w:rPr>
          <w:sz w:val="19"/>
        </w:rPr>
        <w:t xml:space="preserve">[27]  </w:t>
      </w:r>
      <w:hyperlink r:id="rId43">
        <w:r>
          <w:rPr>
            <w:color w:val="1155CC"/>
            <w:u w:val="single"/>
            <w:sz w:val="19"/>
            <w:rFonts w:ascii="Cambria" w:hAnsi="Cambria"/>
          </w:rPr>
          <w:t xml:space="preserve">Layer-wise Memory for Sequential Editing</w:t>
        </w:r>
      </w:hyperlink>
      <w:r>
        <w:rPr>
          <w:sz w:val="19"/>
        </w:rPr>
        <w:t>. arXiv, 2025. arXiv:2505.01079.</w:t>
      </w:r>
    </w:p>
    <w:p>
      <w:pPr>
        <w:spacing w:after="60"/>
        <w:ind w:left="504" w:hanging="504"/>
      </w:pPr>
      <w:r>
        <w:rPr>
          <w:sz w:val="19"/>
        </w:rPr>
        <w:t xml:space="preserve">[28]  </w:t>
      </w:r>
      <w:hyperlink r:id="rId48">
        <w:r>
          <w:rPr>
            <w:color w:val="1155CC"/>
            <w:u w:val="single"/>
            <w:sz w:val="19"/>
            <w:rFonts w:ascii="Cambria" w:hAnsi="Cambria"/>
          </w:rPr>
          <w:t xml:space="preserve">Multimodal Referring Segmentation: A Survey</w:t>
        </w:r>
      </w:hyperlink>
      <w:r>
        <w:rPr>
          <w:sz w:val="19"/>
        </w:rPr>
        <w:t>. arXiv, 2025. arXiv:2508.00265.</w:t>
      </w:r>
    </w:p>
    <w:p>
      <w:pPr>
        <w:spacing w:after="60"/>
        <w:ind w:left="504" w:hanging="504"/>
      </w:pPr>
      <w:r>
        <w:rPr>
          <w:sz w:val="19"/>
        </w:rPr>
        <w:t xml:space="preserve">[29]  </w:t>
      </w:r>
      <w:hyperlink r:id="rId16">
        <w:r>
          <w:rPr>
            <w:color w:val="1155CC"/>
            <w:u w:val="single"/>
            <w:sz w:val="19"/>
            <w:rFonts w:ascii="Cambria" w:hAnsi="Cambria"/>
          </w:rPr>
          <w:t xml:space="preserve">NEP: Autoregressive Image Editing via Next Editing Token Prediction</w:t>
        </w:r>
      </w:hyperlink>
      <w:r>
        <w:rPr>
          <w:sz w:val="19"/>
        </w:rPr>
        <w:t>. arXiv, 2025. arXiv:2508.06044.</w:t>
      </w:r>
    </w:p>
    <w:p>
      <w:pPr>
        <w:spacing w:after="60"/>
        <w:ind w:left="504" w:hanging="504"/>
      </w:pPr>
      <w:r>
        <w:rPr>
          <w:sz w:val="19"/>
        </w:rPr>
        <w:t xml:space="preserve">[30]  </w:t>
      </w:r>
      <w:hyperlink r:id="rId36">
        <w:r>
          <w:rPr>
            <w:color w:val="1155CC"/>
            <w:u w:val="single"/>
            <w:sz w:val="19"/>
            <w:rFonts w:ascii="Cambria" w:hAnsi="Cambria"/>
          </w:rPr>
          <w:t xml:space="preserve">RSAgent: Reason and Act for Text-Guided Segmentation</w:t>
        </w:r>
      </w:hyperlink>
      <w:r>
        <w:rPr>
          <w:sz w:val="19"/>
        </w:rPr>
        <w:t>. arXiv, 2025. arXiv:2512.24023.</w:t>
      </w:r>
    </w:p>
    <w:p>
      <w:pPr>
        <w:spacing w:after="60"/>
        <w:ind w:left="504" w:hanging="504"/>
      </w:pPr>
      <w:r>
        <w:rPr>
          <w:sz w:val="19"/>
        </w:rPr>
        <w:t xml:space="preserve">[31]  </w:t>
      </w:r>
      <w:hyperlink r:id="rId13">
        <w:r>
          <w:rPr>
            <w:color w:val="1155CC"/>
            <w:u w:val="single"/>
            <w:sz w:val="19"/>
            <w:rFonts w:ascii="Cambria" w:hAnsi="Cambria"/>
          </w:rPr>
          <w:t xml:space="preserve">Region in Context: Text-Conditioned Editing with Semantic Reasoning</w:t>
        </w:r>
      </w:hyperlink>
      <w:r>
        <w:rPr>
          <w:sz w:val="19"/>
        </w:rPr>
        <w:t>. arXiv, 2025. arXiv:2510.16772.</w:t>
      </w:r>
    </w:p>
    <w:p>
      <w:pPr>
        <w:spacing w:after="60"/>
        <w:ind w:left="504" w:hanging="504"/>
      </w:pPr>
      <w:r>
        <w:rPr>
          <w:sz w:val="19"/>
        </w:rPr>
        <w:t xml:space="preserve">[32]  </w:t>
      </w:r>
      <w:hyperlink r:id="rId30">
        <w:r>
          <w:rPr>
            <w:color w:val="1155CC"/>
            <w:u w:val="single"/>
            <w:sz w:val="19"/>
            <w:rFonts w:ascii="Cambria" w:hAnsi="Cambria"/>
          </w:rPr>
          <w:t xml:space="preserve">SpotEdit: Selective Region Editing in Diffusion Transformers</w:t>
        </w:r>
      </w:hyperlink>
      <w:r>
        <w:rPr>
          <w:sz w:val="19"/>
        </w:rPr>
        <w:t>. arXiv, 2025. arXiv:2512.22323.</w:t>
      </w:r>
    </w:p>
    <w:p>
      <w:pPr>
        <w:spacing w:after="60"/>
        <w:ind w:left="504" w:hanging="504"/>
      </w:pPr>
      <w:r>
        <w:rPr>
          <w:sz w:val="19"/>
        </w:rPr>
        <w:t xml:space="preserve">[33]  </w:t>
      </w:r>
      <w:hyperlink r:id="rId18">
        <w:r>
          <w:rPr>
            <w:color w:val="1155CC"/>
            <w:u w:val="single"/>
            <w:sz w:val="19"/>
            <w:rFonts w:ascii="Cambria" w:hAnsi="Cambria"/>
          </w:rPr>
          <w:t xml:space="preserve">Step1X-Edit: A Practical Framework for General Image Editing</w:t>
        </w:r>
      </w:hyperlink>
      <w:r>
        <w:rPr>
          <w:sz w:val="19"/>
        </w:rPr>
        <w:t>. arXiv, 2025. arXiv:2504.17761.</w:t>
      </w:r>
    </w:p>
    <w:p>
      <w:pPr>
        <w:spacing w:after="60"/>
        <w:ind w:left="504" w:hanging="504"/>
      </w:pPr>
      <w:r>
        <w:rPr>
          <w:sz w:val="19"/>
        </w:rPr>
        <w:t xml:space="preserve">[34]  </w:t>
      </w:r>
      <w:hyperlink r:id="rId15">
        <w:r>
          <w:rPr>
            <w:color w:val="1155CC"/>
            <w:u w:val="single"/>
            <w:sz w:val="19"/>
            <w:rFonts w:ascii="Cambria" w:hAnsi="Cambria"/>
          </w:rPr>
          <w:t xml:space="preserve">Training-free Geometric Image Editing</w:t>
        </w:r>
      </w:hyperlink>
      <w:r>
        <w:rPr>
          <w:sz w:val="19"/>
        </w:rPr>
        <w:t>. arXiv, 2025. arXiv:2507.23300.</w:t>
      </w:r>
    </w:p>
    <w:p>
      <w:pPr>
        <w:spacing w:after="60"/>
        <w:ind w:left="504" w:hanging="504"/>
      </w:pPr>
      <w:r>
        <w:rPr>
          <w:sz w:val="19"/>
        </w:rPr>
        <w:t xml:space="preserve">[35]  </w:t>
      </w:r>
      <w:hyperlink r:id="rId25">
        <w:r>
          <w:rPr>
            <w:color w:val="1155CC"/>
            <w:u w:val="single"/>
            <w:sz w:val="19"/>
            <w:rFonts w:ascii="Cambria" w:hAnsi="Cambria"/>
          </w:rPr>
          <w:t xml:space="preserve">US12462449B2 - Mask conditioned image transformation (patent, Adobe)</w:t>
        </w:r>
      </w:hyperlink>
      <w:r>
        <w:rPr>
          <w:sz w:val="19"/>
        </w:rPr>
        <w:t>. USPTO patent, 2025.</w:t>
      </w:r>
    </w:p>
    <w:p>
      <w:pPr>
        <w:spacing w:after="60"/>
        <w:ind w:left="504" w:hanging="504"/>
      </w:pPr>
      <w:r>
        <w:rPr>
          <w:sz w:val="19"/>
        </w:rPr>
        <w:t xml:space="preserve">[36]  </w:t>
      </w:r>
      <w:hyperlink r:id="rId28">
        <w:r>
          <w:rPr>
            <w:color w:val="1155CC"/>
            <w:u w:val="single"/>
            <w:sz w:val="19"/>
            <w:rFonts w:ascii="Cambria" w:hAnsi="Cambria"/>
          </w:rPr>
          <w:t xml:space="preserve">US12561956 - Affordance-based reposing of an object (patent)</w:t>
        </w:r>
      </w:hyperlink>
      <w:r>
        <w:rPr>
          <w:sz w:val="19"/>
        </w:rPr>
        <w:t>. USPTO patent, 2025.</w:t>
      </w:r>
    </w:p>
    <w:p>
      <w:pPr>
        <w:spacing w:after="60"/>
        <w:ind w:left="504" w:hanging="504"/>
      </w:pPr>
      <w:r>
        <w:rPr>
          <w:sz w:val="19"/>
        </w:rPr>
        <w:t xml:space="preserve">[37]  </w:t>
      </w:r>
      <w:hyperlink r:id="rId49">
        <w:r>
          <w:rPr>
            <w:color w:val="1155CC"/>
            <w:u w:val="single"/>
            <w:sz w:val="19"/>
            <w:rFonts w:ascii="Cambria" w:hAnsi="Cambria"/>
          </w:rPr>
          <w:t xml:space="preserve">Visual Affordance Prediction: Survey and Reproducibility</w:t>
        </w:r>
      </w:hyperlink>
      <w:r>
        <w:rPr>
          <w:sz w:val="19"/>
        </w:rPr>
        <w:t>. arXiv, 2025. arXiv:2505.05074.</w:t>
      </w:r>
    </w:p>
    <w:p>
      <w:pPr>
        <w:spacing w:after="60"/>
        <w:ind w:left="504" w:hanging="504"/>
      </w:pPr>
      <w:r>
        <w:rPr>
          <w:sz w:val="19"/>
        </w:rPr>
        <w:t xml:space="preserve">[38]  </w:t>
      </w:r>
      <w:hyperlink r:id="rId22">
        <w:r>
          <w:rPr>
            <w:color w:val="1155CC"/>
            <w:u w:val="single"/>
            <w:sz w:val="19"/>
            <w:rFonts w:ascii="Cambria" w:hAnsi="Cambria"/>
          </w:rPr>
          <w:t xml:space="preserve">Visual Autoregressive Modeling for Instruction-Guided Editing</w:t>
        </w:r>
      </w:hyperlink>
      <w:r>
        <w:rPr>
          <w:sz w:val="19"/>
        </w:rPr>
        <w:t>. arXiv, 2025. arXiv:2508.15772.</w:t>
      </w:r>
    </w:p>
    <w:p>
      <w:pPr>
        <w:spacing w:after="60"/>
        <w:ind w:left="504" w:hanging="504"/>
      </w:pPr>
      <w:r>
        <w:rPr>
          <w:sz w:val="19"/>
        </w:rPr>
        <w:t xml:space="preserve">[39]  </w:t>
      </w:r>
      <w:hyperlink r:id="rId39">
        <w:r>
          <w:rPr>
            <w:color w:val="1155CC"/>
            <w:u w:val="single"/>
            <w:sz w:val="19"/>
            <w:rFonts w:ascii="Cambria" w:hAnsi="Cambria"/>
          </w:rPr>
          <w:t xml:space="preserve">X-Planner: Complex Instruction-Based Editing</w:t>
        </w:r>
      </w:hyperlink>
      <w:r>
        <w:rPr>
          <w:sz w:val="19"/>
        </w:rPr>
        <w:t>. arXiv, 2025. arXiv:2507.05259.</w:t>
      </w:r>
    </w:p>
    <w:p>
      <w:pPr>
        <w:spacing w:after="60"/>
        <w:ind w:left="504" w:hanging="504"/>
      </w:pPr>
      <w:r>
        <w:rPr>
          <w:sz w:val="19"/>
        </w:rPr>
        <w:t xml:space="preserve">[40]  </w:t>
      </w:r>
      <w:hyperlink r:id="rId27">
        <w:r>
          <w:rPr>
            <w:color w:val="1155CC"/>
            <w:u w:val="single"/>
            <w:sz w:val="19"/>
            <w:rFonts w:ascii="Cambria" w:hAnsi="Cambria"/>
          </w:rPr>
          <w:t xml:space="preserve">Add-it: Training-Free Object Insertion</w:t>
        </w:r>
      </w:hyperlink>
      <w:r>
        <w:rPr>
          <w:sz w:val="19"/>
        </w:rPr>
        <w:t>. ICLR / arXiv, 2024. arXiv:2411.07232.</w:t>
      </w:r>
    </w:p>
    <w:p>
      <w:pPr>
        <w:spacing w:after="60"/>
        <w:ind w:left="504" w:hanging="504"/>
      </w:pPr>
      <w:r>
        <w:rPr>
          <w:sz w:val="19"/>
        </w:rPr>
        <w:t xml:space="preserve">[41]  </w:t>
      </w:r>
      <w:hyperlink r:id="rId27">
        <w:r>
          <w:rPr>
            <w:color w:val="1155CC"/>
            <w:u w:val="single"/>
            <w:sz w:val="19"/>
            <w:rFonts w:ascii="Cambria" w:hAnsi="Cambria"/>
          </w:rPr>
          <w:t xml:space="preserve">Adding Affordance Benchmark (via Add-it)</w:t>
        </w:r>
      </w:hyperlink>
      <w:r>
        <w:rPr>
          <w:sz w:val="19"/>
        </w:rPr>
        <w:t>. benchmark, 2024. arXiv:2411.07232.</w:t>
      </w:r>
    </w:p>
    <w:p>
      <w:pPr>
        <w:spacing w:after="60"/>
        <w:ind w:left="504" w:hanging="504"/>
      </w:pPr>
      <w:r>
        <w:rPr>
          <w:sz w:val="19"/>
        </w:rPr>
        <w:t xml:space="preserve">[42]  </w:t>
      </w:r>
      <w:hyperlink r:id="rId31">
        <w:r>
          <w:rPr>
            <w:color w:val="1155CC"/>
            <w:u w:val="single"/>
            <w:sz w:val="19"/>
            <w:rFonts w:ascii="Cambria" w:hAnsi="Cambria"/>
          </w:rPr>
          <w:t xml:space="preserve">LazyDiffusion: Lazy Diffusion Transformer</w:t>
        </w:r>
      </w:hyperlink>
      <w:r>
        <w:rPr>
          <w:sz w:val="19"/>
        </w:rPr>
        <w:t>. ECCV 2024, 2024. arXiv:2404.12382.</w:t>
      </w:r>
    </w:p>
    <w:p>
      <w:pPr>
        <w:spacing w:after="60"/>
        <w:ind w:left="504" w:hanging="504"/>
      </w:pPr>
      <w:r>
        <w:rPr>
          <w:sz w:val="19"/>
        </w:rPr>
        <w:t xml:space="preserve">[43]  </w:t>
      </w:r>
      <w:hyperlink r:id="rId26">
        <w:r>
          <w:rPr>
            <w:color w:val="1155CC"/>
            <w:u w:val="single"/>
            <w:sz w:val="19"/>
            <w:rFonts w:ascii="Cambria" w:hAnsi="Cambria"/>
          </w:rPr>
          <w:t xml:space="preserve">MADD: Affordance-Aware Object Insertion (Dual Diffusion)</w:t>
        </w:r>
      </w:hyperlink>
      <w:r>
        <w:rPr>
          <w:sz w:val="19"/>
        </w:rPr>
        <w:t>. arXiv, 2024. arXiv:2412.14462.</w:t>
      </w:r>
    </w:p>
    <w:p>
      <w:pPr>
        <w:spacing w:after="60"/>
        <w:ind w:left="504" w:hanging="504"/>
      </w:pPr>
      <w:r>
        <w:rPr>
          <w:sz w:val="19"/>
        </w:rPr>
        <w:t xml:space="preserve">[44]  </w:t>
      </w:r>
      <w:hyperlink r:id="rId14">
        <w:r>
          <w:rPr>
            <w:color w:val="1155CC"/>
            <w:u w:val="single"/>
            <w:sz w:val="19"/>
            <w:rFonts w:ascii="Cambria" w:hAnsi="Cambria"/>
          </w:rPr>
          <w:t xml:space="preserve">MADiff: Text-Guided Fashion Editing with Mask Prediction</w:t>
        </w:r>
      </w:hyperlink>
      <w:r>
        <w:rPr>
          <w:sz w:val="19"/>
        </w:rPr>
        <w:t>. arXiv, 2024. arXiv:2412.20062.</w:t>
      </w:r>
    </w:p>
    <w:p>
      <w:pPr>
        <w:spacing w:after="60"/>
        <w:ind w:left="504" w:hanging="504"/>
      </w:pPr>
      <w:r>
        <w:rPr>
          <w:sz w:val="19"/>
        </w:rPr>
        <w:t xml:space="preserve">[45]  </w:t>
      </w:r>
      <w:hyperlink r:id="rId41">
        <w:r>
          <w:rPr>
            <w:color w:val="1155CC"/>
            <w:u w:val="single"/>
            <w:sz w:val="19"/>
            <w:rFonts w:ascii="Cambria" w:hAnsi="Cambria"/>
          </w:rPr>
          <w:t xml:space="preserve">SegLLM: Multi-round Reasoning Segmentation</w:t>
        </w:r>
      </w:hyperlink>
      <w:r>
        <w:rPr>
          <w:sz w:val="19"/>
        </w:rPr>
        <w:t>. arXiv, 2024. arXiv:2410.18923.</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i w:val="0"/>
      <w:color w:val="1B1A1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i w:val="0"/>
      <w:color w:val="1B1A1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i w:val="0"/>
      <w:color w:val="1B1A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604.23763" TargetMode="External"/><Relationship Id="rId10" Type="http://schemas.openxmlformats.org/officeDocument/2006/relationships/hyperlink" Target="https://arxiv.org/abs/2604.20258" TargetMode="External"/><Relationship Id="rId11" Type="http://schemas.openxmlformats.org/officeDocument/2006/relationships/hyperlink" Target="https://arxiv.org/abs/2607.20883" TargetMode="External"/><Relationship Id="rId12" Type="http://schemas.openxmlformats.org/officeDocument/2006/relationships/hyperlink" Target="https://arxiv.org/abs/2608.06929" TargetMode="External"/><Relationship Id="rId13" Type="http://schemas.openxmlformats.org/officeDocument/2006/relationships/hyperlink" Target="https://arxiv.org/abs/2510.16772" TargetMode="External"/><Relationship Id="rId14" Type="http://schemas.openxmlformats.org/officeDocument/2006/relationships/hyperlink" Target="https://arxiv.org/abs/2412.20062" TargetMode="External"/><Relationship Id="rId15" Type="http://schemas.openxmlformats.org/officeDocument/2006/relationships/hyperlink" Target="https://arxiv.org/abs/2507.23300" TargetMode="External"/><Relationship Id="rId16" Type="http://schemas.openxmlformats.org/officeDocument/2006/relationships/hyperlink" Target="https://arxiv.org/abs/2508.06044" TargetMode="External"/><Relationship Id="rId17" Type="http://schemas.openxmlformats.org/officeDocument/2006/relationships/hyperlink" Target="https://arxiv.org/abs/2605.10859" TargetMode="External"/><Relationship Id="rId18" Type="http://schemas.openxmlformats.org/officeDocument/2006/relationships/hyperlink" Target="https://arxiv.org/abs/2504.17761" TargetMode="External"/><Relationship Id="rId19" Type="http://schemas.openxmlformats.org/officeDocument/2006/relationships/hyperlink" Target="https://huggingface.co/Qwen/Qwen-Image-Edit" TargetMode="External"/><Relationship Id="rId20" Type="http://schemas.openxmlformats.org/officeDocument/2006/relationships/hyperlink" Target="https://arxiv.org/abs/2603.21176" TargetMode="External"/><Relationship Id="rId21" Type="http://schemas.openxmlformats.org/officeDocument/2006/relationships/hyperlink" Target="https://huggingface.co/black-forest-labs/FLUX.1-Kontext-dev" TargetMode="External"/><Relationship Id="rId22" Type="http://schemas.openxmlformats.org/officeDocument/2006/relationships/hyperlink" Target="https://arxiv.org/abs/2508.15772" TargetMode="External"/><Relationship Id="rId23" Type="http://schemas.openxmlformats.org/officeDocument/2006/relationships/hyperlink" Target="https://arxiv.org/abs/2506.04158" TargetMode="External"/><Relationship Id="rId24" Type="http://schemas.openxmlformats.org/officeDocument/2006/relationships/hyperlink" Target="https://arxiv.org/abs/2508.06937" TargetMode="External"/><Relationship Id="rId25" Type="http://schemas.openxmlformats.org/officeDocument/2006/relationships/hyperlink" Target="https://patents.google.com/patent/US12462449B2" TargetMode="External"/><Relationship Id="rId26" Type="http://schemas.openxmlformats.org/officeDocument/2006/relationships/hyperlink" Target="https://arxiv.org/abs/2412.14462" TargetMode="External"/><Relationship Id="rId27" Type="http://schemas.openxmlformats.org/officeDocument/2006/relationships/hyperlink" Target="https://arxiv.org/abs/2411.07232" TargetMode="External"/><Relationship Id="rId28" Type="http://schemas.openxmlformats.org/officeDocument/2006/relationships/hyperlink" Target="https://patents.google.com/patent/US12561956" TargetMode="External"/><Relationship Id="rId29" Type="http://schemas.openxmlformats.org/officeDocument/2006/relationships/hyperlink" Target="https://arxiv.org/abs/2510.25590" TargetMode="External"/><Relationship Id="rId30" Type="http://schemas.openxmlformats.org/officeDocument/2006/relationships/hyperlink" Target="https://arxiv.org/abs/2512.22323" TargetMode="External"/><Relationship Id="rId31" Type="http://schemas.openxmlformats.org/officeDocument/2006/relationships/hyperlink" Target="https://arxiv.org/abs/2404.12382" TargetMode="External"/><Relationship Id="rId32" Type="http://schemas.openxmlformats.org/officeDocument/2006/relationships/hyperlink" Target="https://arxiv.org/abs/2608.01077" TargetMode="External"/><Relationship Id="rId33" Type="http://schemas.openxmlformats.org/officeDocument/2006/relationships/hyperlink" Target="https://arxiv.org/abs/2604.18562" TargetMode="External"/><Relationship Id="rId34" Type="http://schemas.openxmlformats.org/officeDocument/2006/relationships/hyperlink" Target="https://arxiv.org/abs/2605.20110" TargetMode="External"/><Relationship Id="rId35" Type="http://schemas.openxmlformats.org/officeDocument/2006/relationships/hyperlink" Target="https://arxiv.org/abs/2607.04779" TargetMode="External"/><Relationship Id="rId36" Type="http://schemas.openxmlformats.org/officeDocument/2006/relationships/hyperlink" Target="https://arxiv.org/abs/2512.24023" TargetMode="External"/><Relationship Id="rId37" Type="http://schemas.openxmlformats.org/officeDocument/2006/relationships/hyperlink" Target="https://arxiv.org/abs/2602.05577" TargetMode="External"/><Relationship Id="rId38" Type="http://schemas.openxmlformats.org/officeDocument/2006/relationships/hyperlink" Target="https://arxiv.org/abs/2506.13827" TargetMode="External"/><Relationship Id="rId39" Type="http://schemas.openxmlformats.org/officeDocument/2006/relationships/hyperlink" Target="https://arxiv.org/abs/2507.05259" TargetMode="External"/><Relationship Id="rId40" Type="http://schemas.openxmlformats.org/officeDocument/2006/relationships/hyperlink" Target="https://arxiv.org/abs/2506.21546" TargetMode="External"/><Relationship Id="rId41" Type="http://schemas.openxmlformats.org/officeDocument/2006/relationships/hyperlink" Target="https://arxiv.org/abs/2410.18923" TargetMode="External"/><Relationship Id="rId42" Type="http://schemas.openxmlformats.org/officeDocument/2006/relationships/hyperlink" Target="https://arxiv.org/abs/2601.03741" TargetMode="External"/><Relationship Id="rId43" Type="http://schemas.openxmlformats.org/officeDocument/2006/relationships/hyperlink" Target="https://arxiv.org/abs/2505.01079" TargetMode="External"/><Relationship Id="rId44" Type="http://schemas.openxmlformats.org/officeDocument/2006/relationships/hyperlink" Target="https://arxiv.org/abs/2606.14168" TargetMode="External"/><Relationship Id="rId45" Type="http://schemas.openxmlformats.org/officeDocument/2006/relationships/hyperlink" Target="https://arxiv.org/abs/2511.13713" TargetMode="External"/><Relationship Id="rId46" Type="http://schemas.openxmlformats.org/officeDocument/2006/relationships/hyperlink" Target="https://arxiv.org/abs/2606.09273" TargetMode="External"/><Relationship Id="rId47" Type="http://schemas.openxmlformats.org/officeDocument/2006/relationships/hyperlink" Target="https://arxiv.org/abs/2607.25642" TargetMode="External"/><Relationship Id="rId48" Type="http://schemas.openxmlformats.org/officeDocument/2006/relationships/hyperlink" Target="https://arxiv.org/abs/2508.00265" TargetMode="External"/><Relationship Id="rId49" Type="http://schemas.openxmlformats.org/officeDocument/2006/relationships/hyperlink" Target="https://arxiv.org/abs/2505.050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