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520"/>
        <w:jc w:val="center"/>
      </w:pPr>
      <w:r>
        <w:rPr>
          <w:b w:val="0"/>
          <w:i/>
          <w:color w:val="5A5852"/>
          <w:sz w:val="22"/>
        </w:rPr>
        <w:t>Consolidated Project Report</w:t>
      </w:r>
    </w:p>
    <w:p>
      <w:pPr>
        <w:spacing w:after="200"/>
        <w:jc w:val="center"/>
      </w:pPr>
      <w:r>
        <w:rPr>
          <w:rFonts w:ascii="Cambria" w:hAnsi="Cambria"/>
          <w:b/>
          <w:sz w:val="42"/>
        </w:rPr>
        <w:t>Disentangling Localization from Editing in Instruction-Guided Image Manipulation</w:t>
      </w:r>
    </w:p>
    <w:p>
      <w:pPr>
        <w:spacing w:after="800"/>
        <w:jc w:val="center"/>
      </w:pPr>
      <w:r>
        <w:rPr>
          <w:b w:val="0"/>
          <w:i/>
          <w:color w:val="5A5852"/>
          <w:sz w:val="25"/>
        </w:rPr>
        <w:t>Complete record of experimental work, results and corrective actions</w:t>
      </w:r>
    </w:p>
    <w:p>
      <w:pPr>
        <w:spacing w:after="60"/>
        <w:jc w:val="center"/>
      </w:pPr>
      <w:r>
        <w:rPr>
          <w:b w:val="0"/>
          <w:i w:val="0"/>
          <w:sz w:val="24"/>
        </w:rPr>
        <w:t>Amritha S    23BEC1368</w:t>
      </w:r>
    </w:p>
    <w:p>
      <w:pPr>
        <w:spacing w:after="60"/>
        <w:jc w:val="center"/>
      </w:pPr>
      <w:r>
        <w:rPr>
          <w:b w:val="0"/>
          <w:i w:val="0"/>
          <w:sz w:val="24"/>
        </w:rPr>
        <w:t>Yugeshwaran P    23BEC1404</w:t>
      </w:r>
    </w:p>
    <w:p>
      <w:pPr>
        <w:spacing w:after="60"/>
        <w:jc w:val="center"/>
      </w:pPr>
      <w:r>
        <w:rPr>
          <w:b w:val="0"/>
          <w:i w:val="0"/>
          <w:sz w:val="12"/>
        </w:rPr>
      </w:r>
    </w:p>
    <w:p>
      <w:pPr>
        <w:spacing w:after="60"/>
        <w:jc w:val="center"/>
      </w:pPr>
      <w:r>
        <w:rPr>
          <w:b w:val="0"/>
          <w:i/>
          <w:sz w:val="22"/>
        </w:rPr>
        <w:t>Guide: Dr. Saranya M (54783)</w:t>
      </w:r>
    </w:p>
    <w:p>
      <w:pPr>
        <w:spacing w:after="60"/>
        <w:jc w:val="center"/>
      </w:pPr>
      <w:r>
        <w:rPr>
          <w:b w:val="0"/>
          <w:i/>
          <w:sz w:val="22"/>
        </w:rPr>
        <w:t>School of Electronics Engineering</w:t>
      </w:r>
    </w:p>
    <w:p>
      <w:pPr>
        <w:spacing w:after="60"/>
        <w:jc w:val="center"/>
      </w:pPr>
      <w:r>
        <w:rPr>
          <w:b w:val="0"/>
          <w:i/>
          <w:sz w:val="22"/>
        </w:rPr>
        <w:t>Vellore Institute of Technology, Chennai</w:t>
      </w:r>
    </w:p>
    <w:p>
      <w:pPr>
        <w:spacing w:after="60"/>
        <w:jc w:val="center"/>
      </w:pPr>
      <w:r>
        <w:rPr>
          <w:b w:val="0"/>
          <w:i w:val="0"/>
          <w:sz w:val="12"/>
        </w:rPr>
      </w:r>
    </w:p>
    <w:p>
      <w:pPr>
        <w:spacing w:after="60"/>
        <w:jc w:val="center"/>
      </w:pPr>
      <w:r>
        <w:rPr>
          <w:b w:val="0"/>
          <w:i w:val="0"/>
          <w:sz w:val="22"/>
        </w:rPr>
        <w:t>Foundations of Data Science — Review 1</w:t>
      </w:r>
    </w:p>
    <w:p>
      <w:pPr>
        <w:spacing w:after="60"/>
        <w:jc w:val="center"/>
      </w:pPr>
      <w:r>
        <w:rPr>
          <w:b w:val="0"/>
          <w:i w:val="0"/>
          <w:sz w:val="22"/>
        </w:rPr>
        <w:t>14 September 2026</w:t>
      </w:r>
    </w:p>
    <w:p>
      <w:r>
        <w:br w:type="page"/>
      </w:r>
    </w:p>
    <w:p>
      <w:pPr>
        <w:spacing w:after="200"/>
      </w:pPr>
      <w:r>
        <w:rPr>
          <w:b/>
          <w:sz w:val="24"/>
        </w:rPr>
        <w:t>CONTENTS</w:t>
      </w:r>
    </w:p>
    <w:p>
      <w:pPr>
        <w:spacing w:after="40"/>
        <w:ind w:left="0"/>
      </w:pPr>
      <w:r>
        <w:rPr>
          <w:b/>
          <w:sz w:val="21"/>
        </w:rPr>
        <w:t xml:space="preserve">1   </w:t>
      </w:r>
      <w:r>
        <w:rPr>
          <w:b/>
          <w:sz w:val="21"/>
        </w:rPr>
        <w:t>Introduction</w:t>
      </w:r>
    </w:p>
    <w:p>
      <w:pPr>
        <w:spacing w:after="40"/>
        <w:ind w:left="0"/>
      </w:pPr>
      <w:r>
        <w:rPr>
          <w:b/>
          <w:sz w:val="21"/>
        </w:rPr>
        <w:t xml:space="preserve">2   </w:t>
      </w:r>
      <w:r>
        <w:rPr>
          <w:b/>
          <w:sz w:val="21"/>
        </w:rPr>
        <w:t>Project Overview</w:t>
      </w:r>
    </w:p>
    <w:p>
      <w:pPr>
        <w:spacing w:after="40"/>
        <w:ind w:left="0"/>
      </w:pPr>
      <w:r>
        <w:rPr>
          <w:b/>
          <w:sz w:val="21"/>
        </w:rPr>
        <w:t xml:space="preserve">3   </w:t>
      </w:r>
      <w:r>
        <w:rPr>
          <w:b/>
          <w:sz w:val="21"/>
        </w:rPr>
        <w:t>Experimental Work</w:t>
      </w:r>
    </w:p>
    <w:p>
      <w:pPr>
        <w:spacing w:after="40"/>
        <w:ind w:left="403"/>
      </w:pPr>
      <w:r>
        <w:rPr>
          <w:b w:val="0"/>
          <w:sz w:val="21"/>
        </w:rPr>
        <w:t xml:space="preserve">3.1   </w:t>
      </w:r>
      <w:r>
        <w:rPr>
          <w:b w:val="0"/>
          <w:sz w:val="21"/>
        </w:rPr>
        <w:t>Summary of experiments</w:t>
      </w:r>
    </w:p>
    <w:p>
      <w:pPr>
        <w:spacing w:after="40"/>
        <w:ind w:left="403"/>
      </w:pPr>
      <w:r>
        <w:rPr>
          <w:b w:val="0"/>
          <w:sz w:val="21"/>
        </w:rPr>
        <w:t xml:space="preserve">3.2   </w:t>
      </w:r>
      <w:r>
        <w:rPr>
          <w:b w:val="0"/>
          <w:sz w:val="21"/>
        </w:rPr>
        <w:t>Experiments in detail</w:t>
      </w:r>
    </w:p>
    <w:p>
      <w:pPr>
        <w:spacing w:after="40"/>
        <w:ind w:left="0"/>
      </w:pPr>
      <w:r>
        <w:rPr>
          <w:b/>
          <w:sz w:val="21"/>
        </w:rPr>
        <w:t xml:space="preserve">4   </w:t>
      </w:r>
      <w:r>
        <w:rPr>
          <w:b/>
          <w:sz w:val="21"/>
        </w:rPr>
        <w:t>Consolidated Results</w:t>
      </w:r>
    </w:p>
    <w:p>
      <w:pPr>
        <w:spacing w:after="40"/>
        <w:ind w:left="0"/>
      </w:pPr>
      <w:r>
        <w:rPr>
          <w:b/>
          <w:sz w:val="21"/>
        </w:rPr>
        <w:t xml:space="preserve">5   </w:t>
      </w:r>
      <w:r>
        <w:rPr>
          <w:b/>
          <w:sz w:val="21"/>
        </w:rPr>
        <w:t>Validation and Corrective Actions</w:t>
      </w:r>
    </w:p>
    <w:p>
      <w:pPr>
        <w:spacing w:after="40"/>
        <w:ind w:left="0"/>
      </w:pPr>
      <w:r>
        <w:rPr>
          <w:b/>
          <w:sz w:val="21"/>
        </w:rPr>
        <w:t xml:space="preserve">6   </w:t>
      </w:r>
      <w:r>
        <w:rPr>
          <w:b/>
          <w:sz w:val="21"/>
        </w:rPr>
        <w:t>Repository Structure</w:t>
      </w:r>
    </w:p>
    <w:p>
      <w:pPr>
        <w:spacing w:after="40"/>
        <w:ind w:left="0"/>
      </w:pPr>
      <w:r>
        <w:rPr>
          <w:b/>
          <w:sz w:val="21"/>
        </w:rPr>
        <w:t xml:space="preserve">7   </w:t>
      </w:r>
      <w:r>
        <w:rPr>
          <w:b/>
          <w:sz w:val="21"/>
        </w:rPr>
        <w:t>Environment and Reproduction</w:t>
      </w:r>
    </w:p>
    <w:p>
      <w:pPr>
        <w:spacing w:after="40"/>
        <w:ind w:left="0"/>
      </w:pPr>
      <w:r>
        <w:rPr>
          <w:b/>
          <w:sz w:val="21"/>
        </w:rPr>
        <w:t xml:space="preserve">8   </w:t>
      </w:r>
      <w:r>
        <w:rPr>
          <w:b/>
          <w:sz w:val="21"/>
        </w:rPr>
        <w:t>Open Problems and Future Work</w:t>
      </w:r>
    </w:p>
    <w:p>
      <w:pPr>
        <w:spacing w:after="40"/>
        <w:ind w:left="0"/>
      </w:pPr>
      <w:r>
        <w:rPr>
          <w:b/>
          <w:sz w:val="21"/>
        </w:rPr>
        <w:t xml:space="preserve">9   </w:t>
      </w:r>
      <w:r>
        <w:rPr>
          <w:b/>
          <w:sz w:val="21"/>
        </w:rPr>
        <w:t>Companion Documents</w:t>
      </w:r>
    </w:p>
    <w:p>
      <w:r>
        <w:br w:type="page"/>
      </w:r>
    </w:p>
    <w:p>
      <w:pPr>
        <w:pStyle w:val="Heading1"/>
      </w:pPr>
      <w:r>
        <w:t>1  Introduction</w:t>
      </w:r>
    </w:p>
    <w:p>
      <w:pPr>
        <w:spacing w:after="120"/>
        <w:jc w:val="both"/>
      </w:pPr>
      <w:r>
        <w:rPr>
          <w:b w:val="0"/>
          <w:i w:val="0"/>
          <w:sz w:val="22"/>
        </w:rPr>
        <w:t>An instruction-guided image editor is informed what to change but not where. Contemporary editors denoise the entire frame and determine the affected region implicitly, which produces two failures simultaneously: the intended edit is applied weakly, and unrelated regions drift. The fix is to predict the edit region first and gate the editor to it.</w:t>
      </w:r>
    </w:p>
    <w:p>
      <w:pPr>
        <w:spacing w:after="120"/>
        <w:jc w:val="both"/>
      </w:pPr>
      <w:r>
        <w:rPr>
          <w:b w:val="0"/>
          <w:i w:val="0"/>
          <w:sz w:val="22"/>
        </w:rPr>
        <w:t>The base paper for this work, AdaptEdit, performs exactly this and names in its own limitations section the case it cannot address: an instruction such as “put a hat on the dog” where the dog has no hat, for which no source region exists. This project constructs that predictor at a scale that can be executed and verified, and supplies the measurement the base paper omits.</w:t>
      </w:r>
    </w:p>
    <w:p>
      <w:pPr>
        <w:spacing w:after="120"/>
        <w:jc w:val="both"/>
      </w:pPr>
      <w:r>
        <w:rPr>
          <w:b w:val="0"/>
          <w:i w:val="0"/>
          <w:sz w:val="22"/>
        </w:rPr>
        <w:t>This document consolidates the complete record: every experiment conducted, what each established, the corrective actions taken, and the problems that remain open. The technical report argues the result and the literature survey positions it; this document is the audit trail.</w:t>
      </w:r>
    </w:p>
    <w:p>
      <w:pPr>
        <w:pStyle w:val="Heading1"/>
      </w:pPr>
      <w:r>
        <w:t>2  Project Overview</w:t>
      </w:r>
    </w:p>
    <w:p>
      <w:pPr>
        <w:spacing w:after="60"/>
      </w:pPr>
      <w:r>
        <w:rPr>
          <w:i/>
          <w:color w:val="5A5852"/>
          <w:sz w:val="19"/>
        </w:rPr>
        <w:t>Table 1. Project at a glance.</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4536"/>
        <w:gridCol w:w="4536"/>
      </w:tblGrid>
      <w:tr>
        <w:tc>
          <w:tcPr>
            <w:tcW w:type="dxa" w:w="2160"/>
            <w:tcBorders>
              <w:bottom w:val="single" w:sz="6" w:color="1B1A17"/>
            </w:tcBorders>
          </w:tcPr>
          <w:p>
            <w:pPr>
              <w:spacing w:before="40" w:after="40"/>
              <w:jc w:val="left"/>
            </w:pPr>
            <w:r/>
            <w:r>
              <w:rPr>
                <w:rFonts w:ascii="Cambria" w:hAnsi="Cambria"/>
                <w:b/>
                <w:sz w:val="19"/>
              </w:rPr>
              <w:t>Item</w:t>
            </w:r>
          </w:p>
        </w:tc>
        <w:tc>
          <w:tcPr>
            <w:tcW w:type="dxa" w:w="7344"/>
            <w:tcBorders>
              <w:bottom w:val="single" w:sz="6" w:color="1B1A17"/>
            </w:tcBorders>
          </w:tcPr>
          <w:p>
            <w:pPr>
              <w:spacing w:before="40" w:after="40"/>
              <w:jc w:val="left"/>
            </w:pPr>
            <w:r/>
            <w:r>
              <w:rPr>
                <w:rFonts w:ascii="Cambria" w:hAnsi="Cambria"/>
                <w:b/>
                <w:sz w:val="19"/>
              </w:rPr>
              <w:t>Detail</w:t>
            </w:r>
          </w:p>
        </w:tc>
      </w:tr>
      <w:tr>
        <w:tc>
          <w:tcPr>
            <w:tcW w:type="dxa" w:w="2160"/>
          </w:tcPr>
          <w:p>
            <w:pPr>
              <w:spacing w:before="40" w:after="40"/>
              <w:jc w:val="left"/>
            </w:pPr>
            <w:r/>
            <w:r>
              <w:rPr>
                <w:rFonts w:ascii="Cambria" w:hAnsi="Cambria"/>
                <w:b w:val="0"/>
                <w:sz w:val="19"/>
              </w:rPr>
              <w:t>Problem</w:t>
            </w:r>
          </w:p>
        </w:tc>
        <w:tc>
          <w:tcPr>
            <w:tcW w:type="dxa" w:w="7344"/>
          </w:tcPr>
          <w:p>
            <w:pPr>
              <w:spacing w:before="40" w:after="40"/>
              <w:jc w:val="left"/>
            </w:pPr>
            <w:r/>
            <w:r>
              <w:rPr>
                <w:rFonts w:ascii="Cambria" w:hAnsi="Cambria"/>
                <w:b w:val="0"/>
                <w:sz w:val="19"/>
              </w:rPr>
              <w:t>Predict the pixels an editing instruction requires to change, including where no source object exists</w:t>
            </w:r>
          </w:p>
        </w:tc>
      </w:tr>
      <w:tr>
        <w:tc>
          <w:tcPr>
            <w:tcW w:type="dxa" w:w="2160"/>
          </w:tcPr>
          <w:p>
            <w:pPr>
              <w:spacing w:before="40" w:after="40"/>
              <w:jc w:val="left"/>
            </w:pPr>
            <w:r/>
            <w:r>
              <w:rPr>
                <w:rFonts w:ascii="Cambria" w:hAnsi="Cambria"/>
                <w:b w:val="0"/>
                <w:sz w:val="19"/>
              </w:rPr>
              <w:t>Base paper</w:t>
            </w:r>
          </w:p>
        </w:tc>
        <w:tc>
          <w:tcPr>
            <w:tcW w:type="dxa" w:w="7344"/>
          </w:tcPr>
          <w:p>
            <w:pPr>
              <w:spacing w:before="40" w:after="40"/>
              <w:jc w:val="left"/>
            </w:pPr>
            <w:r/>
            <w:r>
              <w:rPr>
                <w:rFonts w:ascii="Cambria" w:hAnsi="Cambria"/>
                <w:b w:val="0"/>
                <w:sz w:val="19"/>
              </w:rPr>
              <w:t>AdaptEdit, arXiv:2604.23763, April 2026</w:t>
            </w:r>
          </w:p>
        </w:tc>
      </w:tr>
      <w:tr>
        <w:tc>
          <w:tcPr>
            <w:tcW w:type="dxa" w:w="2160"/>
          </w:tcPr>
          <w:p>
            <w:pPr>
              <w:spacing w:before="40" w:after="40"/>
              <w:jc w:val="left"/>
            </w:pPr>
            <w:r/>
            <w:r>
              <w:rPr>
                <w:rFonts w:ascii="Cambria" w:hAnsi="Cambria"/>
                <w:b w:val="0"/>
                <w:sz w:val="19"/>
              </w:rPr>
              <w:t>Approach</w:t>
            </w:r>
          </w:p>
        </w:tc>
        <w:tc>
          <w:tcPr>
            <w:tcW w:type="dxa" w:w="7344"/>
          </w:tcPr>
          <w:p>
            <w:pPr>
              <w:spacing w:before="40" w:after="40"/>
              <w:jc w:val="left"/>
            </w:pPr>
            <w:r/>
            <w:r>
              <w:rPr>
                <w:rFonts w:ascii="Cambria" w:hAnsi="Cambria"/>
                <w:b w:val="0"/>
                <w:sz w:val="19"/>
              </w:rPr>
              <w:t>A 4.69 M parameter head predicting a spatial coefficient field over 32 frozen FastSAM prototypes, conditioned on a CLIP text embedding</w:t>
            </w:r>
          </w:p>
        </w:tc>
      </w:tr>
      <w:tr>
        <w:tc>
          <w:tcPr>
            <w:tcW w:type="dxa" w:w="2160"/>
          </w:tcPr>
          <w:p>
            <w:pPr>
              <w:spacing w:before="40" w:after="40"/>
              <w:jc w:val="left"/>
            </w:pPr>
            <w:r/>
            <w:r>
              <w:rPr>
                <w:rFonts w:ascii="Cambria" w:hAnsi="Cambria"/>
                <w:b w:val="0"/>
                <w:sz w:val="19"/>
              </w:rPr>
              <w:t>Dataset</w:t>
            </w:r>
          </w:p>
        </w:tc>
        <w:tc>
          <w:tcPr>
            <w:tcW w:type="dxa" w:w="7344"/>
          </w:tcPr>
          <w:p>
            <w:pPr>
              <w:spacing w:before="40" w:after="40"/>
              <w:jc w:val="left"/>
            </w:pPr>
            <w:r/>
            <w:r>
              <w:rPr>
                <w:rFonts w:ascii="Cambria" w:hAnsi="Cambria"/>
                <w:b w:val="0"/>
                <w:sz w:val="19"/>
              </w:rPr>
              <w:t>MagicBrush, 51 training shards and 4 development shards; 8,306 usable training turns, 503 held-out</w:t>
            </w:r>
          </w:p>
        </w:tc>
      </w:tr>
      <w:tr>
        <w:tc>
          <w:tcPr>
            <w:tcW w:type="dxa" w:w="2160"/>
          </w:tcPr>
          <w:p>
            <w:pPr>
              <w:spacing w:before="40" w:after="40"/>
              <w:jc w:val="left"/>
            </w:pPr>
            <w:r/>
            <w:r>
              <w:rPr>
                <w:rFonts w:ascii="Cambria" w:hAnsi="Cambria"/>
                <w:b w:val="0"/>
                <w:sz w:val="19"/>
              </w:rPr>
              <w:t>Supervision</w:t>
            </w:r>
          </w:p>
        </w:tc>
        <w:tc>
          <w:tcPr>
            <w:tcW w:type="dxa" w:w="7344"/>
          </w:tcPr>
          <w:p>
            <w:pPr>
              <w:spacing w:before="40" w:after="40"/>
              <w:jc w:val="left"/>
            </w:pPr>
            <w:r/>
            <w:r>
              <w:rPr>
                <w:rFonts w:ascii="Cambria" w:hAnsi="Cambria"/>
                <w:b w:val="0"/>
                <w:sz w:val="19"/>
              </w:rPr>
              <w:t>CIE76 colour difference in L*a*b* between authentic source and target pairs</w:t>
            </w:r>
          </w:p>
        </w:tc>
      </w:tr>
      <w:tr>
        <w:tc>
          <w:tcPr>
            <w:tcW w:type="dxa" w:w="2160"/>
          </w:tcPr>
          <w:p>
            <w:pPr>
              <w:spacing w:before="40" w:after="40"/>
              <w:jc w:val="left"/>
            </w:pPr>
            <w:r/>
            <w:r>
              <w:rPr>
                <w:rFonts w:ascii="Cambria" w:hAnsi="Cambria"/>
                <w:b w:val="0"/>
                <w:sz w:val="19"/>
              </w:rPr>
              <w:t>Headline result</w:t>
            </w:r>
          </w:p>
        </w:tc>
        <w:tc>
          <w:tcPr>
            <w:tcW w:type="dxa" w:w="7344"/>
          </w:tcPr>
          <w:p>
            <w:pPr>
              <w:spacing w:before="40" w:after="40"/>
              <w:jc w:val="left"/>
            </w:pPr>
            <w:r/>
            <w:r>
              <w:rPr>
                <w:rFonts w:ascii="Cambria" w:hAnsi="Cambria"/>
                <w:b w:val="0"/>
                <w:sz w:val="19"/>
              </w:rPr>
              <w:t>IoU 0.2065 ± 0.0072 over 12 seeds, exceeding CLIPSeg (0.1849) and the dataset's human annotations (0.1511)</w:t>
            </w:r>
          </w:p>
        </w:tc>
      </w:tr>
      <w:tr>
        <w:tc>
          <w:tcPr>
            <w:tcW w:type="dxa" w:w="2160"/>
          </w:tcPr>
          <w:p>
            <w:pPr>
              <w:spacing w:before="40" w:after="40"/>
              <w:jc w:val="left"/>
            </w:pPr>
            <w:r/>
            <w:r>
              <w:rPr>
                <w:rFonts w:ascii="Cambria" w:hAnsi="Cambria"/>
                <w:b w:val="0"/>
                <w:sz w:val="19"/>
              </w:rPr>
              <w:t>Efficiency</w:t>
            </w:r>
          </w:p>
        </w:tc>
        <w:tc>
          <w:tcPr>
            <w:tcW w:type="dxa" w:w="7344"/>
          </w:tcPr>
          <w:p>
            <w:pPr>
              <w:spacing w:before="40" w:after="40"/>
              <w:jc w:val="left"/>
            </w:pPr>
            <w:r/>
            <w:r>
              <w:rPr>
                <w:rFonts w:ascii="Cambria" w:hAnsi="Cambria"/>
                <w:b w:val="0"/>
                <w:sz w:val="19"/>
              </w:rPr>
              <w:t>32× fewer trainable parameters and 10.3× lower per-instruction latency than CLIPSeg</w:t>
            </w:r>
          </w:p>
        </w:tc>
      </w:tr>
      <w:tr>
        <w:tc>
          <w:tcPr>
            <w:tcW w:type="dxa" w:w="2160"/>
          </w:tcPr>
          <w:p>
            <w:pPr>
              <w:spacing w:before="40" w:after="40"/>
              <w:jc w:val="left"/>
            </w:pPr>
            <w:r/>
            <w:r>
              <w:rPr>
                <w:rFonts w:ascii="Cambria" w:hAnsi="Cambria"/>
                <w:b w:val="0"/>
                <w:sz w:val="19"/>
              </w:rPr>
              <w:t>Principal limitation</w:t>
            </w:r>
          </w:p>
        </w:tc>
        <w:tc>
          <w:tcPr>
            <w:tcW w:type="dxa" w:w="7344"/>
          </w:tcPr>
          <w:p>
            <w:pPr>
              <w:spacing w:before="40" w:after="40"/>
              <w:jc w:val="left"/>
            </w:pPr>
            <w:r/>
            <w:r>
              <w:rPr>
                <w:rFonts w:ascii="Cambria" w:hAnsi="Cambria"/>
                <w:b w:val="0"/>
                <w:sz w:val="19"/>
              </w:rPr>
              <w:t>Insertion is bounded at 0.212 by the prototype basis; 56 percent attained</w:t>
            </w:r>
          </w:p>
        </w:tc>
      </w:tr>
      <w:tr>
        <w:tc>
          <w:tcPr>
            <w:tcW w:type="dxa" w:w="2160"/>
          </w:tcPr>
          <w:p>
            <w:pPr>
              <w:spacing w:before="40" w:after="40"/>
              <w:jc w:val="left"/>
            </w:pPr>
            <w:r/>
            <w:r>
              <w:rPr>
                <w:rFonts w:ascii="Cambria" w:hAnsi="Cambria"/>
                <w:b w:val="0"/>
                <w:sz w:val="19"/>
              </w:rPr>
              <w:t>Hardware</w:t>
            </w:r>
          </w:p>
        </w:tc>
        <w:tc>
          <w:tcPr>
            <w:tcW w:type="dxa" w:w="7344"/>
          </w:tcPr>
          <w:p>
            <w:pPr>
              <w:spacing w:before="40" w:after="40"/>
              <w:jc w:val="left"/>
            </w:pPr>
            <w:r/>
            <w:r>
              <w:rPr>
                <w:rFonts w:ascii="Cambria" w:hAnsi="Cambria"/>
                <w:b w:val="0"/>
                <w:sz w:val="19"/>
              </w:rPr>
              <w:t>Apple M5, 26 GB unified memory; approximately 21 hours of compute</w:t>
            </w:r>
          </w:p>
        </w:tc>
      </w:tr>
    </w:tbl>
    <w:p>
      <w:pPr>
        <w:spacing w:after="80"/>
      </w:pPr>
    </w:p>
    <w:p>
      <w:pPr>
        <w:pStyle w:val="Heading1"/>
      </w:pPr>
      <w:r>
        <w:t>3  Experimental Work</w:t>
      </w:r>
    </w:p>
    <w:p>
      <w:pPr>
        <w:pStyle w:val="Heading2"/>
      </w:pPr>
      <w:r>
        <w:t>3.1  Summary of experiments</w:t>
      </w:r>
    </w:p>
    <w:p>
      <w:pPr>
        <w:spacing w:after="120"/>
        <w:jc w:val="both"/>
      </w:pPr>
      <w:r>
        <w:rPr>
          <w:b w:val="0"/>
          <w:i w:val="0"/>
          <w:sz w:val="22"/>
        </w:rPr>
        <w:t>We ran thirteen numbered experiments in sequence. Several came back against the working hypothesis. In those cases we changed the direction of the project, not the number.</w:t>
      </w:r>
    </w:p>
    <w:p>
      <w:pPr>
        <w:spacing w:after="60"/>
      </w:pPr>
      <w:r>
        <w:rPr>
          <w:i/>
          <w:color w:val="5A5852"/>
          <w:sz w:val="19"/>
        </w:rPr>
        <w:t>Table 2. All experiments, the question addressed and the outcome.</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2268"/>
        <w:gridCol w:w="2268"/>
        <w:gridCol w:w="2268"/>
        <w:gridCol w:w="2268"/>
      </w:tblGrid>
      <w:tr>
        <w:tc>
          <w:tcPr>
            <w:tcW w:type="dxa" w:w="648"/>
            <w:tcBorders>
              <w:bottom w:val="single" w:sz="6" w:color="1B1A17"/>
            </w:tcBorders>
          </w:tcPr>
          <w:p>
            <w:pPr>
              <w:spacing w:before="40" w:after="40"/>
              <w:jc w:val="center"/>
            </w:pPr>
            <w:r/>
            <w:r>
              <w:rPr>
                <w:rFonts w:ascii="Cambria" w:hAnsi="Cambria"/>
                <w:b/>
                <w:sz w:val="19"/>
              </w:rPr>
              <w:t>No.</w:t>
            </w:r>
          </w:p>
        </w:tc>
        <w:tc>
          <w:tcPr>
            <w:tcW w:type="dxa" w:w="3312"/>
            <w:tcBorders>
              <w:bottom w:val="single" w:sz="6" w:color="1B1A17"/>
            </w:tcBorders>
          </w:tcPr>
          <w:p>
            <w:pPr>
              <w:spacing w:before="40" w:after="40"/>
              <w:jc w:val="left"/>
            </w:pPr>
            <w:r/>
            <w:r>
              <w:rPr>
                <w:rFonts w:ascii="Cambria" w:hAnsi="Cambria"/>
                <w:b/>
                <w:sz w:val="19"/>
              </w:rPr>
              <w:t>Question</w:t>
            </w:r>
          </w:p>
        </w:tc>
        <w:tc>
          <w:tcPr>
            <w:tcW w:type="dxa" w:w="1656"/>
            <w:tcBorders>
              <w:bottom w:val="single" w:sz="6" w:color="1B1A17"/>
            </w:tcBorders>
          </w:tcPr>
          <w:p>
            <w:pPr>
              <w:spacing w:before="40" w:after="40"/>
              <w:jc w:val="left"/>
            </w:pPr>
            <w:r/>
            <w:r>
              <w:rPr>
                <w:rFonts w:ascii="Cambria" w:hAnsi="Cambria"/>
                <w:b/>
                <w:sz w:val="19"/>
              </w:rPr>
              <w:t>Result</w:t>
            </w:r>
          </w:p>
        </w:tc>
        <w:tc>
          <w:tcPr>
            <w:tcW w:type="dxa" w:w="3888"/>
            <w:tcBorders>
              <w:bottom w:val="single" w:sz="6" w:color="1B1A17"/>
            </w:tcBorders>
          </w:tcPr>
          <w:p>
            <w:pPr>
              <w:spacing w:before="40" w:after="40"/>
              <w:jc w:val="left"/>
            </w:pPr>
            <w:r/>
            <w:r>
              <w:rPr>
                <w:rFonts w:ascii="Cambria" w:hAnsi="Cambria"/>
                <w:b/>
                <w:sz w:val="19"/>
              </w:rPr>
              <w:t>Outcome</w:t>
            </w:r>
          </w:p>
        </w:tc>
      </w:tr>
      <w:tr>
        <w:tc>
          <w:tcPr>
            <w:tcW w:type="dxa" w:w="648"/>
          </w:tcPr>
          <w:p>
            <w:pPr>
              <w:spacing w:before="40" w:after="40"/>
              <w:jc w:val="center"/>
            </w:pPr>
            <w:r/>
            <w:r>
              <w:rPr>
                <w:rFonts w:ascii="Cambria" w:hAnsi="Cambria"/>
                <w:b w:val="0"/>
                <w:sz w:val="19"/>
              </w:rPr>
              <w:t>01</w:t>
            </w:r>
          </w:p>
        </w:tc>
        <w:tc>
          <w:tcPr>
            <w:tcW w:type="dxa" w:w="3312"/>
          </w:tcPr>
          <w:p>
            <w:pPr>
              <w:spacing w:before="40" w:after="40"/>
              <w:jc w:val="left"/>
            </w:pPr>
            <w:r/>
            <w:r>
              <w:rPr>
                <w:rFonts w:ascii="Cambria" w:hAnsi="Cambria"/>
                <w:b w:val="0"/>
                <w:sz w:val="19"/>
              </w:rPr>
              <w:t>Is an off-the-shelf FastSAM and CLIP selector sufficient?</w:t>
            </w:r>
          </w:p>
        </w:tc>
        <w:tc>
          <w:tcPr>
            <w:tcW w:type="dxa" w:w="1656"/>
          </w:tcPr>
          <w:p>
            <w:pPr>
              <w:spacing w:before="40" w:after="40"/>
              <w:jc w:val="left"/>
            </w:pPr>
            <w:r/>
            <w:r>
              <w:rPr>
                <w:rFonts w:ascii="Cambria" w:hAnsi="Cambria"/>
                <w:b w:val="0"/>
                <w:sz w:val="19"/>
              </w:rPr>
              <w:t>0 of 7</w:t>
            </w:r>
          </w:p>
        </w:tc>
        <w:tc>
          <w:tcPr>
            <w:tcW w:type="dxa" w:w="3888"/>
          </w:tcPr>
          <w:p>
            <w:pPr>
              <w:spacing w:before="40" w:after="40"/>
              <w:jc w:val="left"/>
            </w:pPr>
            <w:r/>
            <w:r>
              <w:rPr>
                <w:rFonts w:ascii="Cambria" w:hAnsi="Cambria"/>
                <w:b w:val="0"/>
                <w:sz w:val="19"/>
              </w:rPr>
              <w:t>Fails on granularity, spatial language and insertion</w:t>
            </w:r>
          </w:p>
        </w:tc>
      </w:tr>
      <w:tr>
        <w:tc>
          <w:tcPr>
            <w:tcW w:type="dxa" w:w="648"/>
          </w:tcPr>
          <w:p>
            <w:pPr>
              <w:spacing w:before="40" w:after="40"/>
              <w:jc w:val="center"/>
            </w:pPr>
            <w:r/>
            <w:r>
              <w:rPr>
                <w:rFonts w:ascii="Cambria" w:hAnsi="Cambria"/>
                <w:b w:val="0"/>
                <w:sz w:val="19"/>
              </w:rPr>
              <w:t>02</w:t>
            </w:r>
          </w:p>
        </w:tc>
        <w:tc>
          <w:tcPr>
            <w:tcW w:type="dxa" w:w="3312"/>
          </w:tcPr>
          <w:p>
            <w:pPr>
              <w:spacing w:before="40" w:after="40"/>
              <w:jc w:val="left"/>
            </w:pPr>
            <w:r/>
            <w:r>
              <w:rPr>
                <w:rFonts w:ascii="Cambria" w:hAnsi="Cambria"/>
                <w:b w:val="0"/>
                <w:sz w:val="19"/>
              </w:rPr>
              <w:t>Can supervision be manufactured by editing and differencing?</w:t>
            </w:r>
          </w:p>
        </w:tc>
        <w:tc>
          <w:tcPr>
            <w:tcW w:type="dxa" w:w="1656"/>
          </w:tcPr>
          <w:p>
            <w:pPr>
              <w:spacing w:before="40" w:after="40"/>
              <w:jc w:val="left"/>
            </w:pPr>
            <w:r/>
            <w:r>
              <w:rPr>
                <w:rFonts w:ascii="Cambria" w:hAnsi="Cambria"/>
                <w:b w:val="0"/>
                <w:sz w:val="19"/>
              </w:rPr>
              <w:t>Confirmed</w:t>
            </w:r>
          </w:p>
        </w:tc>
        <w:tc>
          <w:tcPr>
            <w:tcW w:type="dxa" w:w="3888"/>
          </w:tcPr>
          <w:p>
            <w:pPr>
              <w:spacing w:before="40" w:after="40"/>
              <w:jc w:val="left"/>
            </w:pPr>
            <w:r/>
            <w:r>
              <w:rPr>
                <w:rFonts w:ascii="Cambria" w:hAnsi="Cambria"/>
                <w:b w:val="0"/>
                <w:sz w:val="19"/>
              </w:rPr>
              <w:t>Colour difference recovers the changed region reliably</w:t>
            </w:r>
          </w:p>
        </w:tc>
      </w:tr>
      <w:tr>
        <w:tc>
          <w:tcPr>
            <w:tcW w:type="dxa" w:w="648"/>
          </w:tcPr>
          <w:p>
            <w:pPr>
              <w:spacing w:before="40" w:after="40"/>
              <w:jc w:val="center"/>
            </w:pPr>
            <w:r/>
            <w:r>
              <w:rPr>
                <w:rFonts w:ascii="Cambria" w:hAnsi="Cambria"/>
                <w:b w:val="0"/>
                <w:sz w:val="19"/>
              </w:rPr>
              <w:t>03</w:t>
            </w:r>
          </w:p>
        </w:tc>
        <w:tc>
          <w:tcPr>
            <w:tcW w:type="dxa" w:w="3312"/>
          </w:tcPr>
          <w:p>
            <w:pPr>
              <w:spacing w:before="40" w:after="40"/>
              <w:jc w:val="left"/>
            </w:pPr>
            <w:r/>
            <w:r>
              <w:rPr>
                <w:rFonts w:ascii="Cambria" w:hAnsi="Cambria"/>
                <w:b w:val="0"/>
                <w:sz w:val="19"/>
              </w:rPr>
              <w:t>Can empty space be resolved from language?</w:t>
            </w:r>
          </w:p>
        </w:tc>
        <w:tc>
          <w:tcPr>
            <w:tcW w:type="dxa" w:w="1656"/>
          </w:tcPr>
          <w:p>
            <w:pPr>
              <w:spacing w:before="40" w:after="40"/>
              <w:jc w:val="left"/>
            </w:pPr>
            <w:r/>
            <w:r>
              <w:rPr>
                <w:rFonts w:ascii="Cambria" w:hAnsi="Cambria"/>
                <w:b w:val="0"/>
                <w:sz w:val="19"/>
              </w:rPr>
              <w:t>20 of 20</w:t>
            </w:r>
          </w:p>
        </w:tc>
        <w:tc>
          <w:tcPr>
            <w:tcW w:type="dxa" w:w="3888"/>
          </w:tcPr>
          <w:p>
            <w:pPr>
              <w:spacing w:before="40" w:after="40"/>
              <w:jc w:val="left"/>
            </w:pPr>
            <w:r/>
            <w:r>
              <w:rPr>
                <w:rFonts w:ascii="Cambria" w:hAnsi="Cambria"/>
                <w:b w:val="0"/>
                <w:sz w:val="19"/>
              </w:rPr>
              <w:t>Resolves to regions no object occupies</w:t>
            </w:r>
          </w:p>
        </w:tc>
      </w:tr>
      <w:tr>
        <w:tc>
          <w:tcPr>
            <w:tcW w:type="dxa" w:w="648"/>
          </w:tcPr>
          <w:p>
            <w:pPr>
              <w:spacing w:before="40" w:after="40"/>
              <w:jc w:val="center"/>
            </w:pPr>
            <w:r/>
            <w:r>
              <w:rPr>
                <w:rFonts w:ascii="Cambria" w:hAnsi="Cambria"/>
                <w:b w:val="0"/>
                <w:sz w:val="19"/>
              </w:rPr>
              <w:t>04</w:t>
            </w:r>
          </w:p>
        </w:tc>
        <w:tc>
          <w:tcPr>
            <w:tcW w:type="dxa" w:w="3312"/>
          </w:tcPr>
          <w:p>
            <w:pPr>
              <w:spacing w:before="40" w:after="40"/>
              <w:jc w:val="left"/>
            </w:pPr>
            <w:r/>
            <w:r>
              <w:rPr>
                <w:rFonts w:ascii="Cambria" w:hAnsi="Cambria"/>
                <w:b w:val="0"/>
                <w:sz w:val="19"/>
              </w:rPr>
              <w:t>Does a per-image and per-instruction split amortise?</w:t>
            </w:r>
          </w:p>
        </w:tc>
        <w:tc>
          <w:tcPr>
            <w:tcW w:type="dxa" w:w="1656"/>
          </w:tcPr>
          <w:p>
            <w:pPr>
              <w:spacing w:before="40" w:after="40"/>
              <w:jc w:val="left"/>
            </w:pPr>
            <w:r/>
            <w:r>
              <w:rPr>
                <w:rFonts w:ascii="Cambria" w:hAnsi="Cambria"/>
                <w:b w:val="0"/>
                <w:sz w:val="19"/>
              </w:rPr>
              <w:t>Confirmed</w:t>
            </w:r>
          </w:p>
        </w:tc>
        <w:tc>
          <w:tcPr>
            <w:tcW w:type="dxa" w:w="3888"/>
          </w:tcPr>
          <w:p>
            <w:pPr>
              <w:spacing w:before="40" w:after="40"/>
              <w:jc w:val="left"/>
            </w:pPr>
            <w:r/>
            <w:r>
              <w:rPr>
                <w:rFonts w:ascii="Cambria" w:hAnsi="Cambria"/>
                <w:b w:val="0"/>
                <w:sz w:val="19"/>
              </w:rPr>
              <w:t>Backbone once, head per instruction</w:t>
            </w:r>
          </w:p>
        </w:tc>
      </w:tr>
      <w:tr>
        <w:tc>
          <w:tcPr>
            <w:tcW w:type="dxa" w:w="648"/>
          </w:tcPr>
          <w:p>
            <w:pPr>
              <w:spacing w:before="40" w:after="40"/>
              <w:jc w:val="center"/>
            </w:pPr>
            <w:r/>
            <w:r>
              <w:rPr>
                <w:rFonts w:ascii="Cambria" w:hAnsi="Cambria"/>
                <w:b w:val="0"/>
                <w:sz w:val="19"/>
              </w:rPr>
              <w:t>07</w:t>
            </w:r>
          </w:p>
        </w:tc>
        <w:tc>
          <w:tcPr>
            <w:tcW w:type="dxa" w:w="3312"/>
          </w:tcPr>
          <w:p>
            <w:pPr>
              <w:spacing w:before="40" w:after="40"/>
              <w:jc w:val="left"/>
            </w:pPr>
            <w:r/>
            <w:r>
              <w:rPr>
                <w:rFonts w:ascii="Cambria" w:hAnsi="Cambria"/>
                <w:b w:val="0"/>
                <w:sz w:val="19"/>
              </w:rPr>
              <w:t>Are the MagicBrush masks usable as targets?</w:t>
            </w:r>
          </w:p>
        </w:tc>
        <w:tc>
          <w:tcPr>
            <w:tcW w:type="dxa" w:w="1656"/>
          </w:tcPr>
          <w:p>
            <w:pPr>
              <w:spacing w:before="40" w:after="40"/>
              <w:jc w:val="left"/>
            </w:pPr>
            <w:r/>
            <w:r>
              <w:rPr>
                <w:rFonts w:ascii="Cambria" w:hAnsi="Cambria"/>
                <w:b w:val="0"/>
                <w:sz w:val="19"/>
              </w:rPr>
              <w:t>9.1× too large</w:t>
            </w:r>
          </w:p>
        </w:tc>
        <w:tc>
          <w:tcPr>
            <w:tcW w:type="dxa" w:w="3888"/>
          </w:tcPr>
          <w:p>
            <w:pPr>
              <w:spacing w:before="40" w:after="40"/>
              <w:jc w:val="left"/>
            </w:pPr>
            <w:r/>
            <w:r>
              <w:rPr>
                <w:rFonts w:ascii="Cambria" w:hAnsi="Cambria"/>
                <w:b w:val="0"/>
                <w:sz w:val="19"/>
              </w:rPr>
              <w:t>No; 62.4% of frame against 10.3% true change</w:t>
            </w:r>
          </w:p>
        </w:tc>
      </w:tr>
      <w:tr>
        <w:tc>
          <w:tcPr>
            <w:tcW w:type="dxa" w:w="648"/>
          </w:tcPr>
          <w:p>
            <w:pPr>
              <w:spacing w:before="40" w:after="40"/>
              <w:jc w:val="center"/>
            </w:pPr>
            <w:r/>
            <w:r>
              <w:rPr>
                <w:rFonts w:ascii="Cambria" w:hAnsi="Cambria"/>
                <w:b w:val="0"/>
                <w:sz w:val="19"/>
              </w:rPr>
              <w:t>08</w:t>
            </w:r>
          </w:p>
        </w:tc>
        <w:tc>
          <w:tcPr>
            <w:tcW w:type="dxa" w:w="3312"/>
          </w:tcPr>
          <w:p>
            <w:pPr>
              <w:spacing w:before="40" w:after="40"/>
              <w:jc w:val="left"/>
            </w:pPr>
            <w:r/>
            <w:r>
              <w:rPr>
                <w:rFonts w:ascii="Cambria" w:hAnsi="Cambria"/>
                <w:b w:val="0"/>
                <w:sz w:val="19"/>
              </w:rPr>
              <w:t>Why does insertion not improve with data?</w:t>
            </w:r>
          </w:p>
        </w:tc>
        <w:tc>
          <w:tcPr>
            <w:tcW w:type="dxa" w:w="1656"/>
          </w:tcPr>
          <w:p>
            <w:pPr>
              <w:spacing w:before="40" w:after="40"/>
              <w:jc w:val="left"/>
            </w:pPr>
            <w:r/>
            <w:r>
              <w:rPr>
                <w:rFonts w:ascii="Cambria" w:hAnsi="Cambria"/>
                <w:b w:val="0"/>
                <w:sz w:val="19"/>
              </w:rPr>
              <w:t>Ceiling 0.212</w:t>
            </w:r>
          </w:p>
        </w:tc>
        <w:tc>
          <w:tcPr>
            <w:tcW w:type="dxa" w:w="3888"/>
          </w:tcPr>
          <w:p>
            <w:pPr>
              <w:spacing w:before="40" w:after="40"/>
              <w:jc w:val="left"/>
            </w:pPr>
            <w:r/>
            <w:r>
              <w:rPr>
                <w:rFonts w:ascii="Cambria" w:hAnsi="Cambria"/>
                <w:b w:val="0"/>
                <w:sz w:val="19"/>
              </w:rPr>
              <w:t>A representational bound established by least squares</w:t>
            </w:r>
          </w:p>
        </w:tc>
      </w:tr>
      <w:tr>
        <w:tc>
          <w:tcPr>
            <w:tcW w:type="dxa" w:w="648"/>
          </w:tcPr>
          <w:p>
            <w:pPr>
              <w:spacing w:before="40" w:after="40"/>
              <w:jc w:val="center"/>
            </w:pPr>
            <w:r/>
            <w:r>
              <w:rPr>
                <w:rFonts w:ascii="Cambria" w:hAnsi="Cambria"/>
                <w:b/>
                <w:sz w:val="19"/>
              </w:rPr>
              <w:t>09</w:t>
            </w:r>
          </w:p>
        </w:tc>
        <w:tc>
          <w:tcPr>
            <w:tcW w:type="dxa" w:w="3312"/>
          </w:tcPr>
          <w:p>
            <w:pPr>
              <w:spacing w:before="40" w:after="40"/>
              <w:jc w:val="left"/>
            </w:pPr>
            <w:r/>
            <w:r>
              <w:rPr>
                <w:rFonts w:ascii="Cambria" w:hAnsi="Cambria"/>
                <w:b/>
                <w:sz w:val="19"/>
              </w:rPr>
              <w:t>Are the headline figures clean?</w:t>
            </w:r>
          </w:p>
        </w:tc>
        <w:tc>
          <w:tcPr>
            <w:tcW w:type="dxa" w:w="1656"/>
          </w:tcPr>
          <w:p>
            <w:pPr>
              <w:spacing w:before="40" w:after="40"/>
              <w:jc w:val="left"/>
            </w:pPr>
            <w:r/>
            <w:r>
              <w:rPr>
                <w:rFonts w:ascii="Cambria" w:hAnsi="Cambria"/>
                <w:b/>
                <w:sz w:val="19"/>
              </w:rPr>
              <w:t>Contaminated</w:t>
            </w:r>
          </w:p>
        </w:tc>
        <w:tc>
          <w:tcPr>
            <w:tcW w:type="dxa" w:w="3888"/>
          </w:tcPr>
          <w:p>
            <w:pPr>
              <w:spacing w:before="40" w:after="40"/>
              <w:jc w:val="left"/>
            </w:pPr>
            <w:r/>
            <w:r>
              <w:rPr>
                <w:rFonts w:ascii="Cambria" w:hAnsi="Cambria"/>
                <w:b/>
                <w:sz w:val="19"/>
              </w:rPr>
              <w:t>Development data had been merged into training; retracted</w:t>
            </w:r>
          </w:p>
        </w:tc>
      </w:tr>
      <w:tr>
        <w:tc>
          <w:tcPr>
            <w:tcW w:type="dxa" w:w="648"/>
          </w:tcPr>
          <w:p>
            <w:pPr>
              <w:spacing w:before="40" w:after="40"/>
              <w:jc w:val="center"/>
            </w:pPr>
            <w:r/>
            <w:r>
              <w:rPr>
                <w:rFonts w:ascii="Cambria" w:hAnsi="Cambria"/>
                <w:b w:val="0"/>
                <w:sz w:val="19"/>
              </w:rPr>
              <w:t>10</w:t>
            </w:r>
          </w:p>
        </w:tc>
        <w:tc>
          <w:tcPr>
            <w:tcW w:type="dxa" w:w="3312"/>
          </w:tcPr>
          <w:p>
            <w:pPr>
              <w:spacing w:before="40" w:after="40"/>
              <w:jc w:val="left"/>
            </w:pPr>
            <w:r/>
            <w:r>
              <w:rPr>
                <w:rFonts w:ascii="Cambria" w:hAnsi="Cambria"/>
                <w:b w:val="0"/>
                <w:sz w:val="19"/>
              </w:rPr>
              <w:t>Do hand-designed free-space basis functions assist?</w:t>
            </w:r>
          </w:p>
        </w:tc>
        <w:tc>
          <w:tcPr>
            <w:tcW w:type="dxa" w:w="1656"/>
          </w:tcPr>
          <w:p>
            <w:pPr>
              <w:spacing w:before="40" w:after="40"/>
              <w:jc w:val="left"/>
            </w:pPr>
            <w:r/>
            <w:r>
              <w:rPr>
                <w:rFonts w:ascii="Cambria" w:hAnsi="Cambria"/>
                <w:b w:val="0"/>
                <w:sz w:val="19"/>
              </w:rPr>
              <w:t>p = 0.33</w:t>
            </w:r>
          </w:p>
        </w:tc>
        <w:tc>
          <w:tcPr>
            <w:tcW w:type="dxa" w:w="3888"/>
          </w:tcPr>
          <w:p>
            <w:pPr>
              <w:spacing w:before="40" w:after="40"/>
              <w:jc w:val="left"/>
            </w:pPr>
            <w:r/>
            <w:r>
              <w:rPr>
                <w:rFonts w:ascii="Cambria" w:hAnsi="Cambria"/>
                <w:b w:val="0"/>
                <w:sz w:val="19"/>
              </w:rPr>
              <w:t>Rejected by a random-basis control of equal size</w:t>
            </w:r>
          </w:p>
        </w:tc>
      </w:tr>
      <w:tr>
        <w:tc>
          <w:tcPr>
            <w:tcW w:type="dxa" w:w="648"/>
          </w:tcPr>
          <w:p>
            <w:pPr>
              <w:spacing w:before="40" w:after="40"/>
              <w:jc w:val="center"/>
            </w:pPr>
            <w:r/>
            <w:r>
              <w:rPr>
                <w:rFonts w:ascii="Cambria" w:hAnsi="Cambria"/>
                <w:b w:val="0"/>
                <w:sz w:val="19"/>
              </w:rPr>
              <w:t>11</w:t>
            </w:r>
          </w:p>
        </w:tc>
        <w:tc>
          <w:tcPr>
            <w:tcW w:type="dxa" w:w="3312"/>
          </w:tcPr>
          <w:p>
            <w:pPr>
              <w:spacing w:before="40" w:after="40"/>
              <w:jc w:val="left"/>
            </w:pPr>
            <w:r/>
            <w:r>
              <w:rPr>
                <w:rFonts w:ascii="Cambria" w:hAnsi="Cambria"/>
                <w:b w:val="0"/>
                <w:sz w:val="19"/>
              </w:rPr>
              <w:t>Is head width the constraint?</w:t>
            </w:r>
          </w:p>
        </w:tc>
        <w:tc>
          <w:tcPr>
            <w:tcW w:type="dxa" w:w="1656"/>
          </w:tcPr>
          <w:p>
            <w:pPr>
              <w:spacing w:before="40" w:after="40"/>
              <w:jc w:val="left"/>
            </w:pPr>
            <w:r/>
            <w:r>
              <w:rPr>
                <w:rFonts w:ascii="Cambria" w:hAnsi="Cambria"/>
                <w:b w:val="0"/>
                <w:sz w:val="19"/>
              </w:rPr>
              <w:t>Saturates</w:t>
            </w:r>
          </w:p>
        </w:tc>
        <w:tc>
          <w:tcPr>
            <w:tcW w:type="dxa" w:w="3888"/>
          </w:tcPr>
          <w:p>
            <w:pPr>
              <w:spacing w:before="40" w:after="40"/>
              <w:jc w:val="left"/>
            </w:pPr>
            <w:r/>
            <w:r>
              <w:rPr>
                <w:rFonts w:ascii="Cambria" w:hAnsi="Cambria"/>
                <w:b w:val="0"/>
                <w:sz w:val="19"/>
              </w:rPr>
              <w:t>No; expressiveness rather than capacity</w:t>
            </w:r>
          </w:p>
        </w:tc>
      </w:tr>
      <w:tr>
        <w:tc>
          <w:tcPr>
            <w:tcW w:type="dxa" w:w="648"/>
          </w:tcPr>
          <w:p>
            <w:pPr>
              <w:spacing w:before="40" w:after="40"/>
              <w:jc w:val="center"/>
            </w:pPr>
            <w:r/>
            <w:r>
              <w:rPr>
                <w:rFonts w:ascii="Cambria" w:hAnsi="Cambria"/>
                <w:b w:val="0"/>
                <w:sz w:val="19"/>
              </w:rPr>
              <w:t>12</w:t>
            </w:r>
          </w:p>
        </w:tc>
        <w:tc>
          <w:tcPr>
            <w:tcW w:type="dxa" w:w="3312"/>
          </w:tcPr>
          <w:p>
            <w:pPr>
              <w:spacing w:before="40" w:after="40"/>
              <w:jc w:val="left"/>
            </w:pPr>
            <w:r/>
            <w:r>
              <w:rPr>
                <w:rFonts w:ascii="Cambria" w:hAnsi="Cambria"/>
                <w:b w:val="0"/>
                <w:sz w:val="19"/>
              </w:rPr>
              <w:t>Does a spatial coefficient field exceed a global one?</w:t>
            </w:r>
          </w:p>
        </w:tc>
        <w:tc>
          <w:tcPr>
            <w:tcW w:type="dxa" w:w="1656"/>
          </w:tcPr>
          <w:p>
            <w:pPr>
              <w:spacing w:before="40" w:after="40"/>
              <w:jc w:val="left"/>
            </w:pPr>
            <w:r/>
            <w:r>
              <w:rPr>
                <w:rFonts w:ascii="Cambria" w:hAnsi="Cambria"/>
                <w:b w:val="0"/>
                <w:sz w:val="19"/>
              </w:rPr>
              <w:t>p = 0.0070</w:t>
            </w:r>
          </w:p>
        </w:tc>
        <w:tc>
          <w:tcPr>
            <w:tcW w:type="dxa" w:w="3888"/>
          </w:tcPr>
          <w:p>
            <w:pPr>
              <w:spacing w:before="40" w:after="40"/>
              <w:jc w:val="left"/>
            </w:pPr>
            <w:r/>
            <w:r>
              <w:rPr>
                <w:rFonts w:ascii="Cambria" w:hAnsi="Cambria"/>
                <w:b w:val="0"/>
                <w:sz w:val="19"/>
              </w:rPr>
              <w:t>Yes at 2,278 samples; geometric basis removed</w:t>
            </w:r>
          </w:p>
        </w:tc>
      </w:tr>
      <w:tr>
        <w:tc>
          <w:tcPr>
            <w:tcW w:type="dxa" w:w="648"/>
          </w:tcPr>
          <w:p>
            <w:pPr>
              <w:spacing w:before="40" w:after="40"/>
              <w:jc w:val="center"/>
            </w:pPr>
            <w:r/>
            <w:r>
              <w:rPr>
                <w:rFonts w:ascii="Cambria" w:hAnsi="Cambria"/>
                <w:b w:val="0"/>
                <w:sz w:val="19"/>
              </w:rPr>
              <w:t>13</w:t>
            </w:r>
          </w:p>
        </w:tc>
        <w:tc>
          <w:tcPr>
            <w:tcW w:type="dxa" w:w="3312"/>
          </w:tcPr>
          <w:p>
            <w:pPr>
              <w:spacing w:before="40" w:after="40"/>
              <w:jc w:val="left"/>
            </w:pPr>
            <w:r/>
            <w:r>
              <w:rPr>
                <w:rFonts w:ascii="Cambria" w:hAnsi="Cambria"/>
                <w:b w:val="0"/>
                <w:sz w:val="19"/>
              </w:rPr>
              <w:t>Does predicting the region improve the edit?</w:t>
            </w:r>
          </w:p>
        </w:tc>
        <w:tc>
          <w:tcPr>
            <w:tcW w:type="dxa" w:w="1656"/>
          </w:tcPr>
          <w:p>
            <w:pPr>
              <w:spacing w:before="40" w:after="40"/>
              <w:jc w:val="left"/>
            </w:pPr>
            <w:r/>
            <w:r>
              <w:rPr>
                <w:rFonts w:ascii="Cambria" w:hAnsi="Cambria"/>
                <w:b w:val="0"/>
                <w:sz w:val="19"/>
              </w:rPr>
              <w:t>3.3×</w:t>
            </w:r>
          </w:p>
        </w:tc>
        <w:tc>
          <w:tcPr>
            <w:tcW w:type="dxa" w:w="3888"/>
          </w:tcPr>
          <w:p>
            <w:pPr>
              <w:spacing w:before="40" w:after="40"/>
              <w:jc w:val="left"/>
            </w:pPr>
            <w:r/>
            <w:r>
              <w:rPr>
                <w:rFonts w:ascii="Cambria" w:hAnsi="Cambria"/>
                <w:b w:val="0"/>
                <w:sz w:val="19"/>
              </w:rPr>
              <w:t>Yes; the premise holds downstream</w:t>
            </w:r>
          </w:p>
        </w:tc>
      </w:tr>
      <w:tr>
        <w:tc>
          <w:tcPr>
            <w:tcW w:type="dxa" w:w="648"/>
          </w:tcPr>
          <w:p>
            <w:pPr>
              <w:spacing w:before="40" w:after="40"/>
              <w:jc w:val="center"/>
            </w:pPr>
            <w:r/>
            <w:r>
              <w:rPr>
                <w:rFonts w:ascii="Cambria" w:hAnsi="Cambria"/>
                <w:b/>
                <w:sz w:val="19"/>
              </w:rPr>
              <w:t>14</w:t>
            </w:r>
          </w:p>
        </w:tc>
        <w:tc>
          <w:tcPr>
            <w:tcW w:type="dxa" w:w="3312"/>
          </w:tcPr>
          <w:p>
            <w:pPr>
              <w:spacing w:before="40" w:after="40"/>
              <w:jc w:val="left"/>
            </w:pPr>
            <w:r/>
            <w:r>
              <w:rPr>
                <w:rFonts w:ascii="Cambria" w:hAnsi="Cambria"/>
                <w:b/>
                <w:sz w:val="19"/>
              </w:rPr>
              <w:t>Does a 3.65-fold increase in data assist?</w:t>
            </w:r>
          </w:p>
        </w:tc>
        <w:tc>
          <w:tcPr>
            <w:tcW w:type="dxa" w:w="1656"/>
          </w:tcPr>
          <w:p>
            <w:pPr>
              <w:spacing w:before="40" w:after="40"/>
              <w:jc w:val="left"/>
            </w:pPr>
            <w:r/>
            <w:r>
              <w:rPr>
                <w:rFonts w:ascii="Cambria" w:hAnsi="Cambria"/>
                <w:b/>
                <w:sz w:val="19"/>
              </w:rPr>
              <w:t>0.1718 → 0.2065</w:t>
            </w:r>
          </w:p>
        </w:tc>
        <w:tc>
          <w:tcPr>
            <w:tcW w:type="dxa" w:w="3888"/>
          </w:tcPr>
          <w:p>
            <w:pPr>
              <w:spacing w:before="40" w:after="40"/>
              <w:jc w:val="left"/>
            </w:pPr>
            <w:r/>
            <w:r>
              <w:rPr>
                <w:rFonts w:ascii="Cambria" w:hAnsi="Cambria"/>
                <w:b/>
                <w:sz w:val="19"/>
              </w:rPr>
              <w:t>Yes, p = 4.1 × 10⁻⁹; now exceeds CLIPSeg</w:t>
            </w:r>
          </w:p>
        </w:tc>
      </w:tr>
      <w:tr>
        <w:tc>
          <w:tcPr>
            <w:tcW w:type="dxa" w:w="648"/>
          </w:tcPr>
          <w:p>
            <w:pPr>
              <w:spacing w:before="40" w:after="40"/>
              <w:jc w:val="center"/>
            </w:pPr>
            <w:r/>
            <w:r>
              <w:rPr>
                <w:rFonts w:ascii="Cambria" w:hAnsi="Cambria"/>
                <w:b w:val="0"/>
                <w:sz w:val="19"/>
              </w:rPr>
              <w:t>15</w:t>
            </w:r>
          </w:p>
        </w:tc>
        <w:tc>
          <w:tcPr>
            <w:tcW w:type="dxa" w:w="3312"/>
          </w:tcPr>
          <w:p>
            <w:pPr>
              <w:spacing w:before="40" w:after="40"/>
              <w:jc w:val="left"/>
            </w:pPr>
            <w:r/>
            <w:r>
              <w:rPr>
                <w:rFonts w:ascii="Cambria" w:hAnsi="Cambria"/>
                <w:b w:val="0"/>
                <w:sz w:val="19"/>
              </w:rPr>
              <w:t>What do precision, recall and threshold indicate?</w:t>
            </w:r>
          </w:p>
        </w:tc>
        <w:tc>
          <w:tcPr>
            <w:tcW w:type="dxa" w:w="1656"/>
          </w:tcPr>
          <w:p>
            <w:pPr>
              <w:spacing w:before="40" w:after="40"/>
              <w:jc w:val="left"/>
            </w:pPr>
            <w:r/>
            <w:r>
              <w:rPr>
                <w:rFonts w:ascii="Cambria" w:hAnsi="Cambria"/>
                <w:b w:val="0"/>
                <w:sz w:val="19"/>
              </w:rPr>
              <w:t>0.2185</w:t>
            </w:r>
          </w:p>
        </w:tc>
        <w:tc>
          <w:tcPr>
            <w:tcW w:type="dxa" w:w="3888"/>
          </w:tcPr>
          <w:p>
            <w:pPr>
              <w:spacing w:before="40" w:after="40"/>
              <w:jc w:val="left"/>
            </w:pPr>
            <w:r/>
            <w:r>
              <w:rPr>
                <w:rFonts w:ascii="Cambria" w:hAnsi="Cambria"/>
                <w:b w:val="0"/>
                <w:sz w:val="19"/>
              </w:rPr>
              <w:t>Threshold selected on train-validation; spatial lead narrows</w:t>
            </w:r>
          </w:p>
        </w:tc>
      </w:tr>
    </w:tbl>
    <w:p>
      <w:pPr>
        <w:spacing w:after="80"/>
      </w:pPr>
    </w:p>
    <w:p>
      <w:pPr>
        <w:spacing w:after="120"/>
        <w:jc w:val="both"/>
      </w:pPr>
      <w:r>
        <w:rPr>
          <w:b w:val="0"/>
          <w:i w:val="0"/>
          <w:sz w:val="22"/>
        </w:rPr>
        <w:t>Experiments 05 and 06, concerning edit cost and incremental editing, were exploratory and produced no claim used in the submission. They are retained in the repository for completeness.</w:t>
      </w:r>
    </w:p>
    <w:p>
      <w:pPr>
        <w:pStyle w:val="Heading2"/>
      </w:pPr>
      <w:r>
        <w:t>3.2  Experiments in detail</w:t>
      </w:r>
    </w:p>
    <w:p>
      <w:pPr>
        <w:spacing w:after="120"/>
        <w:jc w:val="both"/>
      </w:pPr>
      <w:r>
        <w:rPr>
          <w:b w:val="0"/>
          <w:i w:val="0"/>
          <w:sz w:val="22"/>
        </w:rPr>
        <w:t>Experiment 01 established the baseline. Selecting a FastSAM mask by CLIP similarity was evaluated on seven representative instructions and succeeded on none. Three distinct failure modes were identified: granularity, in which the whole person is returned for an instruction concerning a jacket; spatial language, in which the ranking is insensitive to positional qualifiers; and insertion, which fails in principle because no candidate mask corresponds to empty space.</w:t>
      </w:r>
    </w:p>
    <w:p>
      <w:pPr>
        <w:spacing w:after="120"/>
        <w:jc w:val="both"/>
      </w:pPr>
      <w:r>
        <w:rPr>
          <w:b w:val="0"/>
          <w:i w:val="0"/>
          <w:sz w:val="22"/>
        </w:rPr>
        <w:t>Experiment 07 measured the supervision available from the dataset. Across all 528 development turns the distributed masks cover 62.4 percent of the frame against a true changed area of 10.3 percent, with precision 15.8 percent and an IoU of 0.16 against the actual change. Insertions are worst at a factor of 11.9. This experiment also turned up the fact that the distributed masks use the convention that bright pixels indicate preservation rather than editing; we had assumed the opposite and got a recall of 0.3 percent before catching it.</w:t>
      </w:r>
    </w:p>
    <w:p>
      <w:pPr>
        <w:spacing w:after="120"/>
        <w:jc w:val="both"/>
      </w:pPr>
      <w:r>
        <w:rPr>
          <w:b w:val="0"/>
          <w:i w:val="0"/>
          <w:sz w:val="22"/>
        </w:rPr>
        <w:t>Experiment 08 is the principal negative result. We fitted coefficients directly to the ground-truth mask by least squares, with no learning involved, establishing an upper bound on the IoU attainable by any coefficient predictor over the 32 prototypes: 0.2119 for insertion, 0.3867 for modification and 0.4325 for removal, computed on the development set. Insertion, the case the project addresses, carries the lowest bound, because prototypes trained to segment objects span empty space poorly.</w:t>
      </w:r>
    </w:p>
    <w:p>
      <w:pPr>
        <w:spacing w:after="120"/>
        <w:jc w:val="both"/>
      </w:pPr>
      <w:r>
        <w:rPr>
          <w:b w:val="0"/>
          <w:i w:val="0"/>
          <w:sz w:val="22"/>
        </w:rPr>
        <w:t>Experiment 13 closed the loop. A single editor produced the edit for every arm and only the gating mask varied, so differences are attributable to the mask alone. Editing within the ground-truth region yields a net improvement of 30.1 percent against 9.1 percent for whole-frame editing, a factor of 3.3.</w:t>
      </w:r>
    </w:p>
    <w:p>
      <w:pPr>
        <w:spacing w:after="120"/>
        <w:jc w:val="both"/>
      </w:pPr>
      <w:r>
        <w:rPr>
          <w:b w:val="0"/>
          <w:i w:val="0"/>
          <w:sz w:val="22"/>
        </w:rPr>
        <w:t>Experiment 14 scaled the training set from 2,278 to 8,306 samples with every other variable held constant, including hyperparameters selected at the smaller scale. Both heads improved by a comparable absolute amount, and the global head also came to exceed CLIPSeg, indicating that the improvement is attributable first to data and second to architecture.</w:t>
      </w:r>
    </w:p>
    <w:p>
      <w:pPr>
        <w:pStyle w:val="Heading1"/>
      </w:pPr>
      <w:r>
        <w:t>4  Consolidated Results</w:t>
      </w:r>
    </w:p>
    <w:p>
      <w:pPr>
        <w:spacing w:after="60"/>
      </w:pPr>
      <w:r>
        <w:rPr>
          <w:i/>
          <w:color w:val="5A5852"/>
          <w:sz w:val="19"/>
        </w:rPr>
        <w:t>Table 3. All headline figures. Development set comprises 503 held-out MagicBrush turns, 12 seeds, threshold 0.5 unless stated.</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3024"/>
        <w:gridCol w:w="3024"/>
        <w:gridCol w:w="3024"/>
      </w:tblGrid>
      <w:tr>
        <w:tc>
          <w:tcPr>
            <w:tcW w:type="dxa" w:w="3600"/>
            <w:tcBorders>
              <w:bottom w:val="single" w:sz="6" w:color="1B1A17"/>
            </w:tcBorders>
          </w:tcPr>
          <w:p>
            <w:pPr>
              <w:spacing w:before="40" w:after="40"/>
              <w:jc w:val="left"/>
            </w:pPr>
            <w:r/>
            <w:r>
              <w:rPr>
                <w:rFonts w:ascii="Cambria" w:hAnsi="Cambria"/>
                <w:b/>
                <w:sz w:val="19"/>
              </w:rPr>
              <w:t>Quantity</w:t>
            </w:r>
          </w:p>
        </w:tc>
        <w:tc>
          <w:tcPr>
            <w:tcW w:type="dxa" w:w="2448"/>
            <w:tcBorders>
              <w:bottom w:val="single" w:sz="6" w:color="1B1A17"/>
            </w:tcBorders>
          </w:tcPr>
          <w:p>
            <w:pPr>
              <w:spacing w:before="40" w:after="40"/>
              <w:jc w:val="left"/>
            </w:pPr>
            <w:r/>
            <w:r>
              <w:rPr>
                <w:rFonts w:ascii="Cambria" w:hAnsi="Cambria"/>
                <w:b/>
                <w:sz w:val="19"/>
              </w:rPr>
              <w:t>Value</w:t>
            </w:r>
          </w:p>
        </w:tc>
        <w:tc>
          <w:tcPr>
            <w:tcW w:type="dxa" w:w="3456"/>
            <w:tcBorders>
              <w:bottom w:val="single" w:sz="6" w:color="1B1A17"/>
            </w:tcBorders>
          </w:tcPr>
          <w:p>
            <w:pPr>
              <w:spacing w:before="40" w:after="40"/>
              <w:jc w:val="left"/>
            </w:pPr>
            <w:r/>
            <w:r>
              <w:rPr>
                <w:rFonts w:ascii="Cambria" w:hAnsi="Cambria"/>
                <w:b/>
                <w:sz w:val="19"/>
              </w:rPr>
              <w:t>Reference</w:t>
            </w:r>
          </w:p>
        </w:tc>
      </w:tr>
      <w:tr>
        <w:tc>
          <w:tcPr>
            <w:tcW w:type="dxa" w:w="3600"/>
          </w:tcPr>
          <w:p>
            <w:pPr>
              <w:spacing w:before="40" w:after="40"/>
              <w:jc w:val="left"/>
            </w:pPr>
            <w:r/>
            <w:r>
              <w:rPr>
                <w:rFonts w:ascii="Cambria" w:hAnsi="Cambria"/>
                <w:b/>
                <w:sz w:val="19"/>
              </w:rPr>
              <w:t>Development IoU, spatial head</w:t>
            </w:r>
          </w:p>
        </w:tc>
        <w:tc>
          <w:tcPr>
            <w:tcW w:type="dxa" w:w="2448"/>
          </w:tcPr>
          <w:p>
            <w:pPr>
              <w:spacing w:before="40" w:after="40"/>
              <w:jc w:val="left"/>
            </w:pPr>
            <w:r/>
            <w:r>
              <w:rPr>
                <w:rFonts w:ascii="Cambria" w:hAnsi="Cambria"/>
                <w:b/>
                <w:sz w:val="19"/>
              </w:rPr>
              <w:t>0.2065 ± 0.0072</w:t>
            </w:r>
          </w:p>
        </w:tc>
        <w:tc>
          <w:tcPr>
            <w:tcW w:type="dxa" w:w="3456"/>
          </w:tcPr>
          <w:p>
            <w:pPr>
              <w:spacing w:before="40" w:after="40"/>
              <w:jc w:val="left"/>
            </w:pPr>
            <w:r/>
            <w:r>
              <w:rPr>
                <w:rFonts w:ascii="Cambria" w:hAnsi="Cambria"/>
                <w:b/>
                <w:sz w:val="19"/>
              </w:rPr>
              <w:t>CLIPSeg 0.1849; human masks 0.1511</w:t>
            </w:r>
          </w:p>
        </w:tc>
      </w:tr>
      <w:tr>
        <w:tc>
          <w:tcPr>
            <w:tcW w:type="dxa" w:w="3600"/>
          </w:tcPr>
          <w:p>
            <w:pPr>
              <w:spacing w:before="40" w:after="40"/>
              <w:jc w:val="left"/>
            </w:pPr>
            <w:r/>
            <w:r>
              <w:rPr>
                <w:rFonts w:ascii="Cambria" w:hAnsi="Cambria"/>
                <w:b w:val="0"/>
                <w:sz w:val="19"/>
              </w:rPr>
              <w:t>Development IoU, global head</w:t>
            </w:r>
          </w:p>
        </w:tc>
        <w:tc>
          <w:tcPr>
            <w:tcW w:type="dxa" w:w="2448"/>
          </w:tcPr>
          <w:p>
            <w:pPr>
              <w:spacing w:before="40" w:after="40"/>
              <w:jc w:val="left"/>
            </w:pPr>
            <w:r/>
            <w:r>
              <w:rPr>
                <w:rFonts w:ascii="Cambria" w:hAnsi="Cambria"/>
                <w:b w:val="0"/>
                <w:sz w:val="19"/>
              </w:rPr>
              <w:t>0.1907 ± 0.0053</w:t>
            </w:r>
          </w:p>
        </w:tc>
        <w:tc>
          <w:tcPr>
            <w:tcW w:type="dxa" w:w="3456"/>
          </w:tcPr>
          <w:p>
            <w:pPr>
              <w:spacing w:before="40" w:after="40"/>
              <w:jc w:val="left"/>
            </w:pPr>
            <w:r/>
            <w:r>
              <w:rPr>
                <w:rFonts w:ascii="Cambria" w:hAnsi="Cambria"/>
                <w:b w:val="0"/>
                <w:sz w:val="19"/>
              </w:rPr>
              <w:t>Also exceeds CLIPSeg</w:t>
            </w:r>
          </w:p>
        </w:tc>
      </w:tr>
      <w:tr>
        <w:tc>
          <w:tcPr>
            <w:tcW w:type="dxa" w:w="3600"/>
          </w:tcPr>
          <w:p>
            <w:pPr>
              <w:spacing w:before="40" w:after="40"/>
              <w:jc w:val="left"/>
            </w:pPr>
            <w:r/>
            <w:r>
              <w:rPr>
                <w:rFonts w:ascii="Cambria" w:hAnsi="Cambria"/>
                <w:b w:val="0"/>
                <w:sz w:val="19"/>
              </w:rPr>
              <w:t>Precision / Recall / F1</w:t>
            </w:r>
          </w:p>
        </w:tc>
        <w:tc>
          <w:tcPr>
            <w:tcW w:type="dxa" w:w="2448"/>
          </w:tcPr>
          <w:p>
            <w:pPr>
              <w:spacing w:before="40" w:after="40"/>
              <w:jc w:val="left"/>
            </w:pPr>
            <w:r/>
            <w:r>
              <w:rPr>
                <w:rFonts w:ascii="Cambria" w:hAnsi="Cambria"/>
                <w:b w:val="0"/>
                <w:sz w:val="19"/>
              </w:rPr>
              <w:t>0.3126 / 0.3878 / 0.2976</w:t>
            </w:r>
          </w:p>
        </w:tc>
        <w:tc>
          <w:tcPr>
            <w:tcW w:type="dxa" w:w="3456"/>
          </w:tcPr>
          <w:p>
            <w:pPr>
              <w:spacing w:before="40" w:after="40"/>
              <w:jc w:val="left"/>
            </w:pPr>
            <w:r/>
            <w:r>
              <w:rPr>
                <w:rFonts w:ascii="Cambria" w:hAnsi="Cambria"/>
                <w:b w:val="0"/>
                <w:sz w:val="19"/>
              </w:rPr>
              <w:t>Predicted area 11.70% against true 9.58%</w:t>
            </w:r>
          </w:p>
        </w:tc>
      </w:tr>
      <w:tr>
        <w:tc>
          <w:tcPr>
            <w:tcW w:type="dxa" w:w="3600"/>
          </w:tcPr>
          <w:p>
            <w:pPr>
              <w:spacing w:before="40" w:after="40"/>
              <w:jc w:val="left"/>
            </w:pPr>
            <w:r/>
            <w:r>
              <w:rPr>
                <w:rFonts w:ascii="Cambria" w:hAnsi="Cambria"/>
                <w:b w:val="0"/>
                <w:sz w:val="19"/>
              </w:rPr>
              <w:t>With threshold selected on train-validation</w:t>
            </w:r>
          </w:p>
        </w:tc>
        <w:tc>
          <w:tcPr>
            <w:tcW w:type="dxa" w:w="2448"/>
          </w:tcPr>
          <w:p>
            <w:pPr>
              <w:spacing w:before="40" w:after="40"/>
              <w:jc w:val="left"/>
            </w:pPr>
            <w:r/>
            <w:r>
              <w:rPr>
                <w:rFonts w:ascii="Cambria" w:hAnsi="Cambria"/>
                <w:b w:val="0"/>
                <w:sz w:val="19"/>
              </w:rPr>
              <w:t>0.2185 ± 0.0051</w:t>
            </w:r>
          </w:p>
        </w:tc>
        <w:tc>
          <w:tcPr>
            <w:tcW w:type="dxa" w:w="3456"/>
          </w:tcPr>
          <w:p>
            <w:pPr>
              <w:spacing w:before="40" w:after="40"/>
              <w:jc w:val="left"/>
            </w:pPr>
            <w:r/>
            <w:r>
              <w:rPr>
                <w:rFonts w:ascii="Cambria" w:hAnsi="Cambria"/>
                <w:b w:val="0"/>
                <w:sz w:val="19"/>
              </w:rPr>
              <w:t>Paired p = 2.9 × 10⁻⁷</w:t>
            </w:r>
          </w:p>
        </w:tc>
      </w:tr>
      <w:tr>
        <w:tc>
          <w:tcPr>
            <w:tcW w:type="dxa" w:w="3600"/>
          </w:tcPr>
          <w:p>
            <w:pPr>
              <w:spacing w:before="40" w:after="40"/>
              <w:jc w:val="left"/>
            </w:pPr>
            <w:r/>
            <w:r>
              <w:rPr>
                <w:rFonts w:ascii="Cambria" w:hAnsi="Cambria"/>
                <w:b w:val="0"/>
                <w:sz w:val="19"/>
              </w:rPr>
              <w:t>Spatial against global head</w:t>
            </w:r>
          </w:p>
        </w:tc>
        <w:tc>
          <w:tcPr>
            <w:tcW w:type="dxa" w:w="2448"/>
          </w:tcPr>
          <w:p>
            <w:pPr>
              <w:spacing w:before="40" w:after="40"/>
              <w:jc w:val="left"/>
            </w:pPr>
            <w:r/>
            <w:r>
              <w:rPr>
                <w:rFonts w:ascii="Cambria" w:hAnsi="Cambria"/>
                <w:b w:val="0"/>
                <w:sz w:val="19"/>
              </w:rPr>
              <w:t>+0.0158, p = 5.4 × 10⁻⁶</w:t>
            </w:r>
          </w:p>
        </w:tc>
        <w:tc>
          <w:tcPr>
            <w:tcW w:type="dxa" w:w="3456"/>
          </w:tcPr>
          <w:p>
            <w:pPr>
              <w:spacing w:before="40" w:after="40"/>
              <w:jc w:val="left"/>
            </w:pPr>
            <w:r/>
            <w:r>
              <w:rPr>
                <w:rFonts w:ascii="Cambria" w:hAnsi="Cambria"/>
                <w:b w:val="0"/>
                <w:sz w:val="19"/>
              </w:rPr>
              <w:t>Cohen's d = 2.50</w:t>
            </w:r>
          </w:p>
        </w:tc>
      </w:tr>
      <w:tr>
        <w:tc>
          <w:tcPr>
            <w:tcW w:type="dxa" w:w="3600"/>
          </w:tcPr>
          <w:p>
            <w:pPr>
              <w:spacing w:before="40" w:after="40"/>
              <w:jc w:val="left"/>
            </w:pPr>
            <w:r/>
            <w:r>
              <w:rPr>
                <w:rFonts w:ascii="Cambria" w:hAnsi="Cambria"/>
                <w:b w:val="0"/>
                <w:sz w:val="19"/>
              </w:rPr>
              <w:t>Insertion</w:t>
            </w:r>
          </w:p>
        </w:tc>
        <w:tc>
          <w:tcPr>
            <w:tcW w:type="dxa" w:w="2448"/>
          </w:tcPr>
          <w:p>
            <w:pPr>
              <w:spacing w:before="40" w:after="40"/>
              <w:jc w:val="left"/>
            </w:pPr>
            <w:r/>
            <w:r>
              <w:rPr>
                <w:rFonts w:ascii="Cambria" w:hAnsi="Cambria"/>
                <w:b w:val="0"/>
                <w:sz w:val="19"/>
              </w:rPr>
              <w:t>0.1186</w:t>
            </w:r>
          </w:p>
        </w:tc>
        <w:tc>
          <w:tcPr>
            <w:tcW w:type="dxa" w:w="3456"/>
          </w:tcPr>
          <w:p>
            <w:pPr>
              <w:spacing w:before="40" w:after="40"/>
              <w:jc w:val="left"/>
            </w:pPr>
            <w:r/>
            <w:r>
              <w:rPr>
                <w:rFonts w:ascii="Cambria" w:hAnsi="Cambria"/>
                <w:b w:val="0"/>
                <w:sz w:val="19"/>
              </w:rPr>
              <w:t>CLIPSeg 0.054; ceiling 0.2119</w:t>
            </w:r>
          </w:p>
        </w:tc>
      </w:tr>
      <w:tr>
        <w:tc>
          <w:tcPr>
            <w:tcW w:type="dxa" w:w="3600"/>
          </w:tcPr>
          <w:p>
            <w:pPr>
              <w:spacing w:before="40" w:after="40"/>
              <w:jc w:val="left"/>
            </w:pPr>
            <w:r/>
            <w:r>
              <w:rPr>
                <w:rFonts w:ascii="Cambria" w:hAnsi="Cambria"/>
                <w:b w:val="0"/>
                <w:sz w:val="19"/>
              </w:rPr>
              <w:t>Per-instruction latency</w:t>
            </w:r>
          </w:p>
        </w:tc>
        <w:tc>
          <w:tcPr>
            <w:tcW w:type="dxa" w:w="2448"/>
          </w:tcPr>
          <w:p>
            <w:pPr>
              <w:spacing w:before="40" w:after="40"/>
              <w:jc w:val="left"/>
            </w:pPr>
            <w:r/>
            <w:r>
              <w:rPr>
                <w:rFonts w:ascii="Cambria" w:hAnsi="Cambria"/>
                <w:b w:val="0"/>
                <w:sz w:val="19"/>
              </w:rPr>
              <w:t>5.30 ms</w:t>
            </w:r>
          </w:p>
        </w:tc>
        <w:tc>
          <w:tcPr>
            <w:tcW w:type="dxa" w:w="3456"/>
          </w:tcPr>
          <w:p>
            <w:pPr>
              <w:spacing w:before="40" w:after="40"/>
              <w:jc w:val="left"/>
            </w:pPr>
            <w:r/>
            <w:r>
              <w:rPr>
                <w:rFonts w:ascii="Cambria" w:hAnsi="Cambria"/>
                <w:b w:val="0"/>
                <w:sz w:val="19"/>
              </w:rPr>
              <w:t>CLIPSeg 54.3 ms; 10.3× at 352 px</w:t>
            </w:r>
          </w:p>
        </w:tc>
      </w:tr>
      <w:tr>
        <w:tc>
          <w:tcPr>
            <w:tcW w:type="dxa" w:w="3600"/>
          </w:tcPr>
          <w:p>
            <w:pPr>
              <w:spacing w:before="40" w:after="40"/>
              <w:jc w:val="left"/>
            </w:pPr>
            <w:r/>
            <w:r>
              <w:rPr>
                <w:rFonts w:ascii="Cambria" w:hAnsi="Cambria"/>
                <w:b w:val="0"/>
                <w:sz w:val="19"/>
              </w:rPr>
              <w:t>Trainable parameters</w:t>
            </w:r>
          </w:p>
        </w:tc>
        <w:tc>
          <w:tcPr>
            <w:tcW w:type="dxa" w:w="2448"/>
          </w:tcPr>
          <w:p>
            <w:pPr>
              <w:spacing w:before="40" w:after="40"/>
              <w:jc w:val="left"/>
            </w:pPr>
            <w:r/>
            <w:r>
              <w:rPr>
                <w:rFonts w:ascii="Cambria" w:hAnsi="Cambria"/>
                <w:b w:val="0"/>
                <w:sz w:val="19"/>
              </w:rPr>
              <w:t>4,693,633</w:t>
            </w:r>
          </w:p>
        </w:tc>
        <w:tc>
          <w:tcPr>
            <w:tcW w:type="dxa" w:w="3456"/>
          </w:tcPr>
          <w:p>
            <w:pPr>
              <w:spacing w:before="40" w:after="40"/>
              <w:jc w:val="left"/>
            </w:pPr>
            <w:r/>
            <w:r>
              <w:rPr>
                <w:rFonts w:ascii="Cambria" w:hAnsi="Cambria"/>
                <w:b w:val="0"/>
                <w:sz w:val="19"/>
              </w:rPr>
              <w:t>CLIPSeg 150,747,746; 32× fewer</w:t>
            </w:r>
          </w:p>
        </w:tc>
      </w:tr>
      <w:tr>
        <w:tc>
          <w:tcPr>
            <w:tcW w:type="dxa" w:w="3600"/>
          </w:tcPr>
          <w:p>
            <w:pPr>
              <w:spacing w:before="40" w:after="40"/>
              <w:jc w:val="left"/>
            </w:pPr>
            <w:r/>
            <w:r>
              <w:rPr>
                <w:rFonts w:ascii="Cambria" w:hAnsi="Cambria"/>
                <w:b w:val="0"/>
                <w:sz w:val="19"/>
              </w:rPr>
              <w:t>Stage 2, value of localization</w:t>
            </w:r>
          </w:p>
        </w:tc>
        <w:tc>
          <w:tcPr>
            <w:tcW w:type="dxa" w:w="2448"/>
          </w:tcPr>
          <w:p>
            <w:pPr>
              <w:spacing w:before="40" w:after="40"/>
              <w:jc w:val="left"/>
            </w:pPr>
            <w:r/>
            <w:r>
              <w:rPr>
                <w:rFonts w:ascii="Cambria" w:hAnsi="Cambria"/>
                <w:b w:val="0"/>
                <w:sz w:val="19"/>
              </w:rPr>
              <w:t>+30.1% against +9.1%</w:t>
            </w:r>
          </w:p>
        </w:tc>
        <w:tc>
          <w:tcPr>
            <w:tcW w:type="dxa" w:w="3456"/>
          </w:tcPr>
          <w:p>
            <w:pPr>
              <w:spacing w:before="40" w:after="40"/>
              <w:jc w:val="left"/>
            </w:pPr>
            <w:r/>
            <w:r>
              <w:rPr>
                <w:rFonts w:ascii="Cambria" w:hAnsi="Cambria"/>
                <w:b w:val="0"/>
                <w:sz w:val="19"/>
              </w:rPr>
              <w:t>Factor of 3.3 over whole-frame editing</w:t>
            </w:r>
          </w:p>
        </w:tc>
      </w:tr>
      <w:tr>
        <w:tc>
          <w:tcPr>
            <w:tcW w:type="dxa" w:w="3600"/>
          </w:tcPr>
          <w:p>
            <w:pPr>
              <w:spacing w:before="40" w:after="40"/>
              <w:jc w:val="left"/>
            </w:pPr>
            <w:r/>
            <w:r>
              <w:rPr>
                <w:rFonts w:ascii="Cambria" w:hAnsi="Cambria"/>
                <w:b w:val="0"/>
                <w:sz w:val="19"/>
              </w:rPr>
              <w:t>Training set</w:t>
            </w:r>
          </w:p>
        </w:tc>
        <w:tc>
          <w:tcPr>
            <w:tcW w:type="dxa" w:w="2448"/>
          </w:tcPr>
          <w:p>
            <w:pPr>
              <w:spacing w:before="40" w:after="40"/>
              <w:jc w:val="left"/>
            </w:pPr>
            <w:r/>
            <w:r>
              <w:rPr>
                <w:rFonts w:ascii="Cambria" w:hAnsi="Cambria"/>
                <w:b w:val="0"/>
                <w:sz w:val="19"/>
              </w:rPr>
              <w:t>8,306 turns</w:t>
            </w:r>
          </w:p>
        </w:tc>
        <w:tc>
          <w:tcPr>
            <w:tcW w:type="dxa" w:w="3456"/>
          </w:tcPr>
          <w:p>
            <w:pPr>
              <w:spacing w:before="40" w:after="40"/>
              <w:jc w:val="left"/>
            </w:pPr>
            <w:r/>
            <w:r>
              <w:rPr>
                <w:rFonts w:ascii="Cambria" w:hAnsi="Cambria"/>
                <w:b w:val="0"/>
                <w:sz w:val="19"/>
              </w:rPr>
              <w:t>51 shards; no image shared with the held-out set</w:t>
            </w:r>
          </w:p>
        </w:tc>
      </w:tr>
    </w:tbl>
    <w:p>
      <w:pPr>
        <w:spacing w:after="80"/>
      </w:pPr>
    </w:p>
    <w:p>
      <w:pPr>
        <w:pStyle w:val="Heading1"/>
      </w:pPr>
      <w:r>
        <w:t>5  Validation and Corrective Actions</w:t>
      </w:r>
    </w:p>
    <w:p>
      <w:pPr>
        <w:spacing w:after="120"/>
        <w:jc w:val="both"/>
      </w:pPr>
      <w:r>
        <w:rPr>
          <w:b w:val="0"/>
          <w:i w:val="0"/>
          <w:sz w:val="22"/>
        </w:rPr>
        <w:t>We made four corrections. We record them in full because the alternative would render the surviving results unverifiable.</w:t>
      </w:r>
    </w:p>
    <w:p>
      <w:pPr>
        <w:spacing w:after="120"/>
        <w:jc w:val="both"/>
      </w:pPr>
      <w:r>
        <w:rPr>
          <w:b w:val="0"/>
          <w:i w:val="0"/>
          <w:sz w:val="22"/>
        </w:rPr>
        <w:t>5.1  Contamination of the training cache. An overnight script contained a copy operation merging the development partition into the training cache, so that the model was trained on the partition subsequently used for evaluation. We found it when a baseline scored 0.3743 against a training-time figure of 0.1397, a discrepancy too large to be attributable to a difference in metric. We withdrew the affected headline and the claim that our supervision beat human annotation, then re-established both on a disjoint split.</w:t>
      </w:r>
    </w:p>
    <w:p>
      <w:pPr>
        <w:spacing w:after="120"/>
        <w:jc w:val="both"/>
      </w:pPr>
      <w:r>
        <w:rPr>
          <w:b w:val="0"/>
          <w:i w:val="0"/>
          <w:sz w:val="22"/>
        </w:rPr>
        <w:t>5.2  Selection on the evaluation set. An earlier evaluation selected the best epoch by development IoU and concluded that the spatial head was inferior to the global head, 0.1373 against 0.1533. Selecting on a held-out slice of the training partition reverses the ordering significantly. So selection on the evaluation set does not just inflate a result. It can flip it.</w:t>
      </w:r>
    </w:p>
    <w:p>
      <w:pPr>
        <w:spacing w:after="120"/>
        <w:jc w:val="both"/>
      </w:pPr>
      <w:r>
        <w:rPr>
          <w:b w:val="0"/>
          <w:i w:val="0"/>
          <w:sz w:val="22"/>
        </w:rPr>
        <w:t>5.3  Extensions rejected by their own controls. Two proposed additions to the prototype basis, a free-space basis and a geometric basis, were each required to exceed a random basis of equal dimensionality. The geometric basis exceeded neither the random control (+0.0035, p = 0.33) nor the plain spatial head (−0.0030, p = 0.47). We removed both, and the gap they addressed is still open.</w:t>
      </w:r>
    </w:p>
    <w:p>
      <w:pPr>
        <w:spacing w:after="120"/>
        <w:jc w:val="both"/>
      </w:pPr>
      <w:r>
        <w:rPr>
          <w:b w:val="0"/>
          <w:i w:val="0"/>
          <w:sz w:val="22"/>
        </w:rPr>
        <w:t>5.4  A claim subsequently qualified. Experiment 08 concluded that additional data would not assist insertion, on the basis of a per-kind test at approximately 500 insertion samples. With 1,828 samples insertion improved from 44 to 56 percent of its ceiling. The ceiling itself is unchanged. The surviving claim is that the basis bounds insertion at 0.212, not that data does not assist insertion.</w:t>
      </w:r>
    </w:p>
    <w:p>
      <w:pPr>
        <w:spacing w:after="120"/>
        <w:jc w:val="both"/>
      </w:pPr>
      <w:r>
        <w:rPr>
          <w:b w:val="0"/>
          <w:i w:val="0"/>
          <w:sz w:val="22"/>
        </w:rPr>
        <w:t>We applied two further checks before accepting any result. The partitions were verified image-disjoint by computing the SHA-1 digest of every encoded source and target image on both sides, yielding zero of 794 development images present among 13,317 training images. Separately, the latency comparison was re-measured at matched resolution after it was found that the original figure compared the present system at 640 pixels against CLIPSeg at its native 352, and had been measured on the global head rather than the head reported.</w:t>
      </w:r>
    </w:p>
    <w:p>
      <w:pPr>
        <w:pStyle w:val="Heading1"/>
      </w:pPr>
      <w:r>
        <w:t>6  Repository Structure</w:t>
      </w:r>
    </w:p>
    <w:p>
      <w:pPr>
        <w:spacing w:after="60"/>
      </w:pPr>
      <w:r>
        <w:rPr>
          <w:i/>
          <w:color w:val="5A5852"/>
          <w:sz w:val="19"/>
        </w:rPr>
        <w:t>Table 4. Principal files. Repository: github.com/Amritha902/edit-region-prediction</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4536"/>
        <w:gridCol w:w="4536"/>
      </w:tblGrid>
      <w:tr>
        <w:tc>
          <w:tcPr>
            <w:tcW w:type="dxa" w:w="3168"/>
            <w:tcBorders>
              <w:bottom w:val="single" w:sz="6" w:color="1B1A17"/>
            </w:tcBorders>
          </w:tcPr>
          <w:p>
            <w:pPr>
              <w:spacing w:before="40" w:after="40"/>
              <w:jc w:val="left"/>
            </w:pPr>
            <w:r/>
            <w:r>
              <w:rPr>
                <w:rFonts w:ascii="Cambria" w:hAnsi="Cambria"/>
                <w:b/>
                <w:sz w:val="19"/>
              </w:rPr>
              <w:t>Path</w:t>
            </w:r>
          </w:p>
        </w:tc>
        <w:tc>
          <w:tcPr>
            <w:tcW w:type="dxa" w:w="6336"/>
            <w:tcBorders>
              <w:bottom w:val="single" w:sz="6" w:color="1B1A17"/>
            </w:tcBorders>
          </w:tcPr>
          <w:p>
            <w:pPr>
              <w:spacing w:before="40" w:after="40"/>
              <w:jc w:val="left"/>
            </w:pPr>
            <w:r/>
            <w:r>
              <w:rPr>
                <w:rFonts w:ascii="Cambria" w:hAnsi="Cambria"/>
                <w:b/>
                <w:sz w:val="19"/>
              </w:rPr>
              <w:t>Contents</w:t>
            </w:r>
          </w:p>
        </w:tc>
      </w:tr>
      <w:tr>
        <w:tc>
          <w:tcPr>
            <w:tcW w:type="dxa" w:w="3168"/>
          </w:tcPr>
          <w:p>
            <w:pPr>
              <w:spacing w:before="40" w:after="40"/>
              <w:jc w:val="left"/>
            </w:pPr>
            <w:r/>
            <w:r>
              <w:rPr>
                <w:rFonts w:ascii="Cambria" w:hAnsi="Cambria"/>
                <w:b w:val="0"/>
                <w:sz w:val="19"/>
              </w:rPr>
              <w:t>train/model.py</w:t>
            </w:r>
          </w:p>
        </w:tc>
        <w:tc>
          <w:tcPr>
            <w:tcW w:type="dxa" w:w="6336"/>
          </w:tcPr>
          <w:p>
            <w:pPr>
              <w:spacing w:before="40" w:after="40"/>
              <w:jc w:val="left"/>
            </w:pPr>
            <w:r/>
            <w:r>
              <w:rPr>
                <w:rFonts w:ascii="Cambria" w:hAnsi="Cambria"/>
                <w:b w:val="0"/>
                <w:sz w:val="19"/>
              </w:rPr>
              <w:t>Global-coefficient head and frozen backbone wrapper</w:t>
            </w:r>
          </w:p>
        </w:tc>
      </w:tr>
      <w:tr>
        <w:tc>
          <w:tcPr>
            <w:tcW w:type="dxa" w:w="3168"/>
          </w:tcPr>
          <w:p>
            <w:pPr>
              <w:spacing w:before="40" w:after="40"/>
              <w:jc w:val="left"/>
            </w:pPr>
            <w:r/>
            <w:r>
              <w:rPr>
                <w:rFonts w:ascii="Cambria" w:hAnsi="Cambria"/>
                <w:b w:val="0"/>
                <w:sz w:val="19"/>
              </w:rPr>
              <w:t>train/model_v2.py</w:t>
            </w:r>
          </w:p>
        </w:tc>
        <w:tc>
          <w:tcPr>
            <w:tcW w:type="dxa" w:w="6336"/>
          </w:tcPr>
          <w:p>
            <w:pPr>
              <w:spacing w:before="40" w:after="40"/>
              <w:jc w:val="left"/>
            </w:pPr>
            <w:r/>
            <w:r>
              <w:rPr>
                <w:rFonts w:ascii="Cambria" w:hAnsi="Cambria"/>
                <w:b w:val="0"/>
                <w:sz w:val="19"/>
              </w:rPr>
              <w:t>Spatial coefficient field</w:t>
            </w:r>
          </w:p>
        </w:tc>
      </w:tr>
      <w:tr>
        <w:tc>
          <w:tcPr>
            <w:tcW w:type="dxa" w:w="3168"/>
          </w:tcPr>
          <w:p>
            <w:pPr>
              <w:spacing w:before="40" w:after="40"/>
              <w:jc w:val="left"/>
            </w:pPr>
            <w:r/>
            <w:r>
              <w:rPr>
                <w:rFonts w:ascii="Cambria" w:hAnsi="Cambria"/>
                <w:b w:val="0"/>
                <w:sz w:val="19"/>
              </w:rPr>
              <w:t>train/dataset.py</w:t>
            </w:r>
          </w:p>
        </w:tc>
        <w:tc>
          <w:tcPr>
            <w:tcW w:type="dxa" w:w="6336"/>
          </w:tcPr>
          <w:p>
            <w:pPr>
              <w:spacing w:before="40" w:after="40"/>
              <w:jc w:val="left"/>
            </w:pPr>
            <w:r/>
            <w:r>
              <w:rPr>
                <w:rFonts w:ascii="Cambria" w:hAnsi="Cambria"/>
                <w:b w:val="0"/>
                <w:sz w:val="19"/>
              </w:rPr>
              <w:t>Dataset loader, target derivation, degeneracy filter</w:t>
            </w:r>
          </w:p>
        </w:tc>
      </w:tr>
      <w:tr>
        <w:tc>
          <w:tcPr>
            <w:tcW w:type="dxa" w:w="3168"/>
          </w:tcPr>
          <w:p>
            <w:pPr>
              <w:spacing w:before="40" w:after="40"/>
              <w:jc w:val="left"/>
            </w:pPr>
            <w:r/>
            <w:r>
              <w:rPr>
                <w:rFonts w:ascii="Cambria" w:hAnsi="Cambria"/>
                <w:b w:val="0"/>
                <w:sz w:val="19"/>
              </w:rPr>
              <w:t>train/precompute_full.py</w:t>
            </w:r>
          </w:p>
        </w:tc>
        <w:tc>
          <w:tcPr>
            <w:tcW w:type="dxa" w:w="6336"/>
          </w:tcPr>
          <w:p>
            <w:pPr>
              <w:spacing w:before="40" w:after="40"/>
              <w:jc w:val="left"/>
            </w:pPr>
            <w:r/>
            <w:r>
              <w:rPr>
                <w:rFonts w:ascii="Cambria" w:hAnsi="Cambria"/>
                <w:b w:val="0"/>
                <w:sz w:val="19"/>
              </w:rPr>
              <w:t>Frozen-feature cache over all 51 shards, memory-mapped and resumable</w:t>
            </w:r>
          </w:p>
        </w:tc>
      </w:tr>
      <w:tr>
        <w:tc>
          <w:tcPr>
            <w:tcW w:type="dxa" w:w="3168"/>
          </w:tcPr>
          <w:p>
            <w:pPr>
              <w:spacing w:before="40" w:after="40"/>
              <w:jc w:val="left"/>
            </w:pPr>
            <w:r/>
            <w:r>
              <w:rPr>
                <w:rFonts w:ascii="Cambria" w:hAnsi="Cambria"/>
                <w:b w:val="0"/>
                <w:sz w:val="19"/>
              </w:rPr>
              <w:t>train/clean_eval_full.py</w:t>
            </w:r>
          </w:p>
        </w:tc>
        <w:tc>
          <w:tcPr>
            <w:tcW w:type="dxa" w:w="6336"/>
          </w:tcPr>
          <w:p>
            <w:pPr>
              <w:spacing w:before="40" w:after="40"/>
              <w:jc w:val="left"/>
            </w:pPr>
            <w:r/>
            <w:r>
              <w:rPr>
                <w:rFonts w:ascii="Cambria" w:hAnsi="Cambria"/>
                <w:b w:val="0"/>
                <w:sz w:val="19"/>
              </w:rPr>
              <w:t>The twelve-seed protocol with per-epoch curve logging</w:t>
            </w:r>
          </w:p>
        </w:tc>
      </w:tr>
      <w:tr>
        <w:tc>
          <w:tcPr>
            <w:tcW w:type="dxa" w:w="3168"/>
          </w:tcPr>
          <w:p>
            <w:pPr>
              <w:spacing w:before="40" w:after="40"/>
              <w:jc w:val="left"/>
            </w:pPr>
            <w:r/>
            <w:r>
              <w:rPr>
                <w:rFonts w:ascii="Cambria" w:hAnsi="Cambria"/>
                <w:b w:val="0"/>
                <w:sz w:val="19"/>
              </w:rPr>
              <w:t>train/leakage_check.py</w:t>
            </w:r>
          </w:p>
        </w:tc>
        <w:tc>
          <w:tcPr>
            <w:tcW w:type="dxa" w:w="6336"/>
          </w:tcPr>
          <w:p>
            <w:pPr>
              <w:spacing w:before="40" w:after="40"/>
              <w:jc w:val="left"/>
            </w:pPr>
            <w:r/>
            <w:r>
              <w:rPr>
                <w:rFonts w:ascii="Cambria" w:hAnsi="Cambria"/>
                <w:b w:val="0"/>
                <w:sz w:val="19"/>
              </w:rPr>
              <w:t>Image-level partition disjointness audit</w:t>
            </w:r>
          </w:p>
        </w:tc>
      </w:tr>
      <w:tr>
        <w:tc>
          <w:tcPr>
            <w:tcW w:type="dxa" w:w="3168"/>
          </w:tcPr>
          <w:p>
            <w:pPr>
              <w:spacing w:before="40" w:after="40"/>
              <w:jc w:val="left"/>
            </w:pPr>
            <w:r/>
            <w:r>
              <w:rPr>
                <w:rFonts w:ascii="Cambria" w:hAnsi="Cambria"/>
                <w:b w:val="0"/>
                <w:sz w:val="19"/>
              </w:rPr>
              <w:t>train/metrics_full.py</w:t>
            </w:r>
          </w:p>
        </w:tc>
        <w:tc>
          <w:tcPr>
            <w:tcW w:type="dxa" w:w="6336"/>
          </w:tcPr>
          <w:p>
            <w:pPr>
              <w:spacing w:before="40" w:after="40"/>
              <w:jc w:val="left"/>
            </w:pPr>
            <w:r/>
            <w:r>
              <w:rPr>
                <w:rFonts w:ascii="Cambria" w:hAnsi="Cambria"/>
                <w:b w:val="0"/>
                <w:sz w:val="19"/>
              </w:rPr>
              <w:t>Precision, recall, F1, threshold sweep, confidence intervals, effect size</w:t>
            </w:r>
          </w:p>
        </w:tc>
      </w:tr>
      <w:tr>
        <w:tc>
          <w:tcPr>
            <w:tcW w:type="dxa" w:w="3168"/>
          </w:tcPr>
          <w:p>
            <w:pPr>
              <w:spacing w:before="40" w:after="40"/>
              <w:jc w:val="left"/>
            </w:pPr>
            <w:r/>
            <w:r>
              <w:rPr>
                <w:rFonts w:ascii="Cambria" w:hAnsi="Cambria"/>
                <w:b w:val="0"/>
                <w:sz w:val="19"/>
              </w:rPr>
              <w:t>train/threshold_select.py</w:t>
            </w:r>
          </w:p>
        </w:tc>
        <w:tc>
          <w:tcPr>
            <w:tcW w:type="dxa" w:w="6336"/>
          </w:tcPr>
          <w:p>
            <w:pPr>
              <w:spacing w:before="40" w:after="40"/>
              <w:jc w:val="left"/>
            </w:pPr>
            <w:r/>
            <w:r>
              <w:rPr>
                <w:rFonts w:ascii="Cambria" w:hAnsi="Cambria"/>
                <w:b w:val="0"/>
                <w:sz w:val="19"/>
              </w:rPr>
              <w:t>Threshold selected on train-validation and applied once</w:t>
            </w:r>
          </w:p>
        </w:tc>
      </w:tr>
      <w:tr>
        <w:tc>
          <w:tcPr>
            <w:tcW w:type="dxa" w:w="3168"/>
          </w:tcPr>
          <w:p>
            <w:pPr>
              <w:spacing w:before="40" w:after="40"/>
              <w:jc w:val="left"/>
            </w:pPr>
            <w:r/>
            <w:r>
              <w:rPr>
                <w:rFonts w:ascii="Cambria" w:hAnsi="Cambria"/>
                <w:b w:val="0"/>
                <w:sz w:val="19"/>
              </w:rPr>
              <w:t>train/latency_v2.py</w:t>
            </w:r>
          </w:p>
        </w:tc>
        <w:tc>
          <w:tcPr>
            <w:tcW w:type="dxa" w:w="6336"/>
          </w:tcPr>
          <w:p>
            <w:pPr>
              <w:spacing w:before="40" w:after="40"/>
              <w:jc w:val="left"/>
            </w:pPr>
            <w:r/>
            <w:r>
              <w:rPr>
                <w:rFonts w:ascii="Cambria" w:hAnsi="Cambria"/>
                <w:b w:val="0"/>
                <w:sz w:val="19"/>
              </w:rPr>
              <w:t>Both heads, resolution-matched against the baseline</w:t>
            </w:r>
          </w:p>
        </w:tc>
      </w:tr>
      <w:tr>
        <w:tc>
          <w:tcPr>
            <w:tcW w:type="dxa" w:w="3168"/>
          </w:tcPr>
          <w:p>
            <w:pPr>
              <w:spacing w:before="40" w:after="40"/>
              <w:jc w:val="left"/>
            </w:pPr>
            <w:r/>
            <w:r>
              <w:rPr>
                <w:rFonts w:ascii="Cambria" w:hAnsi="Cambria"/>
                <w:b w:val="0"/>
                <w:sz w:val="19"/>
              </w:rPr>
              <w:t>train/stage2*.py</w:t>
            </w:r>
          </w:p>
        </w:tc>
        <w:tc>
          <w:tcPr>
            <w:tcW w:type="dxa" w:w="6336"/>
          </w:tcPr>
          <w:p>
            <w:pPr>
              <w:spacing w:before="40" w:after="40"/>
              <w:jc w:val="left"/>
            </w:pPr>
            <w:r/>
            <w:r>
              <w:rPr>
                <w:rFonts w:ascii="Cambria" w:hAnsi="Cambria"/>
                <w:b w:val="0"/>
                <w:sz w:val="19"/>
              </w:rPr>
              <w:t>Gated editing and the dilation sweep</w:t>
            </w:r>
          </w:p>
        </w:tc>
      </w:tr>
      <w:tr>
        <w:tc>
          <w:tcPr>
            <w:tcW w:type="dxa" w:w="3168"/>
          </w:tcPr>
          <w:p>
            <w:pPr>
              <w:spacing w:before="40" w:after="40"/>
              <w:jc w:val="left"/>
            </w:pPr>
            <w:r/>
            <w:r>
              <w:rPr>
                <w:rFonts w:ascii="Cambria" w:hAnsi="Cambria"/>
                <w:b w:val="0"/>
                <w:sz w:val="19"/>
              </w:rPr>
              <w:t>experiments/exp*/FINDINGS.md</w:t>
            </w:r>
          </w:p>
        </w:tc>
        <w:tc>
          <w:tcPr>
            <w:tcW w:type="dxa" w:w="6336"/>
          </w:tcPr>
          <w:p>
            <w:pPr>
              <w:spacing w:before="40" w:after="40"/>
              <w:jc w:val="left"/>
            </w:pPr>
            <w:r/>
            <w:r>
              <w:rPr>
                <w:rFonts w:ascii="Cambria" w:hAnsi="Cambria"/>
                <w:b w:val="0"/>
                <w:sz w:val="19"/>
              </w:rPr>
              <w:t>One write-up per experiment, including those that failed</w:t>
            </w:r>
          </w:p>
        </w:tc>
      </w:tr>
      <w:tr>
        <w:tc>
          <w:tcPr>
            <w:tcW w:type="dxa" w:w="3168"/>
          </w:tcPr>
          <w:p>
            <w:pPr>
              <w:spacing w:before="40" w:after="40"/>
              <w:jc w:val="left"/>
            </w:pPr>
            <w:r/>
            <w:r>
              <w:rPr>
                <w:rFonts w:ascii="Cambria" w:hAnsi="Cambria"/>
                <w:b w:val="0"/>
                <w:sz w:val="19"/>
              </w:rPr>
              <w:t>PROVENANCE.md</w:t>
            </w:r>
          </w:p>
        </w:tc>
        <w:tc>
          <w:tcPr>
            <w:tcW w:type="dxa" w:w="6336"/>
          </w:tcPr>
          <w:p>
            <w:pPr>
              <w:spacing w:before="40" w:after="40"/>
              <w:jc w:val="left"/>
            </w:pPr>
            <w:r/>
            <w:r>
              <w:rPr>
                <w:rFonts w:ascii="Cambria" w:hAnsi="Cambria"/>
                <w:b w:val="0"/>
                <w:sz w:val="19"/>
              </w:rPr>
              <w:t>Machine, library versions, exact commands and measured timings</w:t>
            </w:r>
          </w:p>
        </w:tc>
      </w:tr>
    </w:tbl>
    <w:p>
      <w:pPr>
        <w:spacing w:after="80"/>
      </w:pPr>
    </w:p>
    <w:p>
      <w:pPr>
        <w:pStyle w:val="Heading1"/>
      </w:pPr>
      <w:r>
        <w:t>7  Environment and Reproduction</w:t>
      </w:r>
    </w:p>
    <w:p>
      <w:pPr>
        <w:spacing w:after="120"/>
        <w:jc w:val="both"/>
      </w:pPr>
      <w:r>
        <w:rPr>
          <w:b w:val="0"/>
          <w:i w:val="0"/>
          <w:sz w:val="22"/>
        </w:rPr>
        <w:t>We produced every result on a single machine: Apple M5, 10 cores, 26 GB unified memory, macOS 26.6.2, PyTorch 2.13.0 on the Metal backend, NumPy 2.2.6, OpenCV 5.0.0, Ultralytics 8.3.209, SciPy 1.15.3, Python 3.10.20.</w:t>
      </w:r>
    </w:p>
    <w:p>
      <w:pPr>
        <w:spacing w:after="120"/>
        <w:jc w:val="both"/>
      </w:pPr>
      <w:r>
        <w:rPr>
          <w:b w:val="0"/>
          <w:i w:val="0"/>
          <w:sz w:val="22"/>
        </w:rPr>
        <w:t>Measured wall times: feature precomputation over 8,807 rows, 35.0 minutes; partition audit over 55 shards, approximately 9 minutes; spatial-head training, 37 to 40 minutes per seed; global-head training, approximately 32 minutes per seed. Total compute is approximately 21 hours.</w:t>
      </w:r>
    </w:p>
    <w:p>
      <w:pPr>
        <w:pStyle w:val="Heading1"/>
      </w:pPr>
      <w:r>
        <w:t>8  Open Problems and Future Work</w:t>
      </w:r>
    </w:p>
    <w:p>
      <w:pPr>
        <w:pStyle w:val="ListNumber"/>
        <w:spacing w:after="80"/>
      </w:pPr>
      <w:r>
        <w:rPr>
          <w:sz w:val="22"/>
        </w:rPr>
        <w:t>The insertion ceiling. The bound of 0.212 is a property of the present basis, of which 56 percent is attained. Raising it requires a basis capable of spanning empty space, and the single attempt at this was rejected by its control. This is the research problem and the basis of any claim to novelty.</w:t>
      </w:r>
    </w:p>
    <w:p>
      <w:pPr>
        <w:pStyle w:val="ListNumber"/>
        <w:spacing w:after="80"/>
      </w:pPr>
      <w:r>
        <w:rPr>
          <w:sz w:val="22"/>
        </w:rPr>
        <w:t>Hyperparameter selection. All values were selected at 2,278 samples and reused unchanged at 8,306 so that training-set size would be the only variable. The reported figures are therefore a lower bound. A re-sweep is now inexpensive, since approximately 10 epochs suffice rather than 60.</w:t>
      </w:r>
    </w:p>
    <w:p>
      <w:pPr>
        <w:pStyle w:val="ListNumber"/>
        <w:spacing w:after="80"/>
      </w:pPr>
      <w:r>
        <w:rPr>
          <w:sz w:val="22"/>
        </w:rPr>
        <w:t>Stage 2 recall. The tuned prediction attains +14.2 percent net against +18.5 percent for the MagicBrush mask. Those masks are substantially too large yet retain more of the edit.</w:t>
      </w:r>
    </w:p>
    <w:p>
      <w:pPr>
        <w:pStyle w:val="ListNumber"/>
        <w:spacing w:after="80"/>
      </w:pPr>
      <w:r>
        <w:rPr>
          <w:sz w:val="22"/>
        </w:rPr>
        <w:t>Baseline parity. CLIPSeg is evaluated at its default operating point. A like-for-like comparison would require a held-out partition on which to tune it.</w:t>
      </w:r>
    </w:p>
    <w:p>
      <w:pPr>
        <w:pStyle w:val="ListNumber"/>
        <w:spacing w:after="80"/>
      </w:pPr>
      <w:r>
        <w:rPr>
          <w:sz w:val="22"/>
        </w:rPr>
        <w:t>Accuracy at 352 pixels is unmeasured, so the resolution-matched latency figure is a latency comparison only.</w:t>
      </w:r>
    </w:p>
    <w:p>
      <w:pPr>
        <w:pStyle w:val="Heading1"/>
      </w:pPr>
      <w:r>
        <w:t>9  Companion Documents</w:t>
      </w:r>
    </w:p>
    <w:p>
      <w:pPr>
        <w:spacing w:after="60"/>
      </w:pPr>
      <w:r>
        <w:rPr>
          <w:i/>
          <w:color w:val="5A5852"/>
          <w:sz w:val="19"/>
        </w:rPr>
        <w:t>Table 5. The submission set.</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4536"/>
        <w:gridCol w:w="4536"/>
      </w:tblGrid>
      <w:tr>
        <w:tc>
          <w:tcPr>
            <w:tcW w:type="dxa" w:w="2880"/>
            <w:tcBorders>
              <w:bottom w:val="single" w:sz="6" w:color="1B1A17"/>
            </w:tcBorders>
          </w:tcPr>
          <w:p>
            <w:pPr>
              <w:spacing w:before="40" w:after="40"/>
              <w:jc w:val="left"/>
            </w:pPr>
            <w:r/>
            <w:r>
              <w:rPr>
                <w:rFonts w:ascii="Cambria" w:hAnsi="Cambria"/>
                <w:b/>
                <w:sz w:val="19"/>
              </w:rPr>
              <w:t>Document</w:t>
            </w:r>
          </w:p>
        </w:tc>
        <w:tc>
          <w:tcPr>
            <w:tcW w:type="dxa" w:w="6624"/>
            <w:tcBorders>
              <w:bottom w:val="single" w:sz="6" w:color="1B1A17"/>
            </w:tcBorders>
          </w:tcPr>
          <w:p>
            <w:pPr>
              <w:spacing w:before="40" w:after="40"/>
              <w:jc w:val="left"/>
            </w:pPr>
            <w:r/>
            <w:r>
              <w:rPr>
                <w:rFonts w:ascii="Cambria" w:hAnsi="Cambria"/>
                <w:b/>
                <w:sz w:val="19"/>
              </w:rPr>
              <w:t>Contents</w:t>
            </w:r>
          </w:p>
        </w:tc>
      </w:tr>
      <w:tr>
        <w:tc>
          <w:tcPr>
            <w:tcW w:type="dxa" w:w="2880"/>
          </w:tcPr>
          <w:p>
            <w:pPr>
              <w:spacing w:before="40" w:after="40"/>
              <w:jc w:val="left"/>
            </w:pPr>
            <w:r/>
            <w:r>
              <w:rPr>
                <w:rFonts w:ascii="Cambria" w:hAnsi="Cambria"/>
                <w:b w:val="0"/>
                <w:sz w:val="19"/>
              </w:rPr>
              <w:t>Technical Report</w:t>
            </w:r>
          </w:p>
        </w:tc>
        <w:tc>
          <w:tcPr>
            <w:tcW w:type="dxa" w:w="6624"/>
          </w:tcPr>
          <w:p>
            <w:pPr>
              <w:spacing w:before="40" w:after="40"/>
              <w:jc w:val="left"/>
            </w:pPr>
            <w:r/>
            <w:r>
              <w:rPr>
                <w:rFonts w:ascii="Cambria" w:hAnsi="Cambria"/>
                <w:b w:val="0"/>
                <w:sz w:val="19"/>
              </w:rPr>
              <w:t>Method, protocol, complete results, statistics, limitations and reproduction</w:t>
            </w:r>
          </w:p>
        </w:tc>
      </w:tr>
      <w:tr>
        <w:tc>
          <w:tcPr>
            <w:tcW w:type="dxa" w:w="2880"/>
          </w:tcPr>
          <w:p>
            <w:pPr>
              <w:spacing w:before="40" w:after="40"/>
              <w:jc w:val="left"/>
            </w:pPr>
            <w:r/>
            <w:r>
              <w:rPr>
                <w:rFonts w:ascii="Cambria" w:hAnsi="Cambria"/>
                <w:b w:val="0"/>
                <w:sz w:val="19"/>
              </w:rPr>
              <w:t>Literature Survey</w:t>
            </w:r>
          </w:p>
        </w:tc>
        <w:tc>
          <w:tcPr>
            <w:tcW w:type="dxa" w:w="6624"/>
          </w:tcPr>
          <w:p>
            <w:pPr>
              <w:spacing w:before="40" w:after="40"/>
              <w:jc w:val="left"/>
            </w:pPr>
            <w:r/>
            <w:r>
              <w:rPr>
                <w:rFonts w:ascii="Cambria" w:hAnsi="Cambria"/>
                <w:b w:val="0"/>
                <w:sz w:val="19"/>
              </w:rPr>
              <w:t>Forty-five works from 2024 to 2026, nine clusters, the four gaps and comparable-baseline positioning</w:t>
            </w:r>
          </w:p>
        </w:tc>
      </w:tr>
      <w:tr>
        <w:tc>
          <w:tcPr>
            <w:tcW w:type="dxa" w:w="2880"/>
          </w:tcPr>
          <w:p>
            <w:pPr>
              <w:spacing w:before="40" w:after="40"/>
              <w:jc w:val="left"/>
            </w:pPr>
            <w:r/>
            <w:r>
              <w:rPr>
                <w:rFonts w:ascii="Cambria" w:hAnsi="Cambria"/>
                <w:b w:val="0"/>
                <w:sz w:val="19"/>
              </w:rPr>
              <w:t>Consolidated Project Report</w:t>
            </w:r>
          </w:p>
        </w:tc>
        <w:tc>
          <w:tcPr>
            <w:tcW w:type="dxa" w:w="6624"/>
          </w:tcPr>
          <w:p>
            <w:pPr>
              <w:spacing w:before="40" w:after="40"/>
              <w:jc w:val="left"/>
            </w:pPr>
            <w:r/>
            <w:r>
              <w:rPr>
                <w:rFonts w:ascii="Cambria" w:hAnsi="Cambria"/>
                <w:b w:val="0"/>
                <w:sz w:val="19"/>
              </w:rPr>
              <w:t>This document: experimental record, corrective actions, repository structure and open problems</w:t>
            </w:r>
          </w:p>
        </w:tc>
      </w:tr>
      <w:tr>
        <w:tc>
          <w:tcPr>
            <w:tcW w:type="dxa" w:w="2880"/>
          </w:tcPr>
          <w:p>
            <w:pPr>
              <w:spacing w:before="40" w:after="40"/>
              <w:jc w:val="left"/>
            </w:pPr>
            <w:r/>
            <w:r>
              <w:rPr>
                <w:rFonts w:ascii="Cambria" w:hAnsi="Cambria"/>
                <w:b w:val="0"/>
                <w:sz w:val="19"/>
              </w:rPr>
              <w:t>Presentation</w:t>
            </w:r>
          </w:p>
        </w:tc>
        <w:tc>
          <w:tcPr>
            <w:tcW w:type="dxa" w:w="6624"/>
          </w:tcPr>
          <w:p>
            <w:pPr>
              <w:spacing w:before="40" w:after="40"/>
              <w:jc w:val="left"/>
            </w:pPr>
            <w:r/>
            <w:r>
              <w:rPr>
                <w:rFonts w:ascii="Cambria" w:hAnsi="Cambria"/>
                <w:b w:val="0"/>
                <w:sz w:val="19"/>
              </w:rPr>
              <w:t>Thirteen slides with speaker notes</w:t>
            </w:r>
          </w:p>
        </w:tc>
      </w:tr>
    </w:tbl>
    <w:p>
      <w:pPr>
        <w:spacing w:after="80"/>
      </w:pP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i w:val="0"/>
      <w:color w:val="1B1A1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i w:val="0"/>
      <w:color w:val="1B1A1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i w:val="0"/>
      <w:color w:val="1B1A1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