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b/>
          <w:i w:val="0"/>
          <w:sz w:val="40"/>
        </w:rPr>
        <w:t>DA2 — writing notes</w:t>
      </w:r>
    </w:p>
    <w:p>
      <w:pPr>
        <w:spacing w:after="360"/>
        <w:jc w:val="center"/>
      </w:pPr>
      <w:r>
        <w:rPr>
          <w:b w:val="0"/>
          <w:i/>
          <w:color w:val="5A5852"/>
          <w:sz w:val="25"/>
        </w:rPr>
        <w:t>Facts, numbers and structure for the three required sections</w:t>
      </w:r>
    </w:p>
    <w:p>
      <w:pPr>
        <w:spacing w:after="120"/>
        <w:jc w:val="center"/>
      </w:pPr>
      <w:r>
        <w:rPr>
          <w:b w:val="0"/>
          <w:i w:val="0"/>
          <w:color w:val="5A5852"/>
          <w:sz w:val="22"/>
        </w:rPr>
        <w:t>These are notes to write FROM, not text to copy. Every bullet is a fact or a number from your own experiments — the sentences have to be yours. Turnitin checks both similarity and AI score, and both must be under 10%.</w:t>
      </w:r>
    </w:p>
    <w:p>
      <w:pPr>
        <w:spacing w:after="400"/>
        <w:jc w:val="center"/>
      </w:pPr>
      <w:r>
        <w:rPr>
          <w:b w:val="0"/>
          <w:i/>
          <w:color w:val="5A5852"/>
          <w:sz w:val="22"/>
        </w:rPr>
        <w:t>Deadline 17 Sep · 2 upload attempts · final document to Teams</w:t>
      </w:r>
    </w:p>
    <w:p>
      <w:r>
        <w:br w:type="page"/>
      </w:r>
    </w:p>
    <w:p>
      <w:pPr>
        <w:pStyle w:val="Heading1"/>
      </w:pPr>
      <w:r>
        <w:t>1  Introduction — what to cover</w:t>
      </w:r>
    </w:p>
    <w:p>
      <w:pPr>
        <w:spacing w:after="160"/>
      </w:pPr>
      <w:r>
        <w:rPr>
          <w:i/>
          <w:color w:val="5A5852"/>
          <w:sz w:val="20"/>
        </w:rPr>
        <w:t>Aim for roughly 500–700 words. Order below works; the wording must not be mine.</w:t>
      </w:r>
    </w:p>
    <w:p>
      <w:pPr>
        <w:pStyle w:val="Heading2"/>
      </w:pPr>
      <w:r>
        <w:t>The problem</w:t>
      </w:r>
    </w:p>
    <w:p>
      <w:pPr>
        <w:pStyle w:val="ListBullet"/>
        <w:spacing w:after="40"/>
      </w:pPr>
      <w:r>
        <w:rPr>
          <w:sz w:val="21"/>
        </w:rPr>
        <w:t>An editor is told WHAT to change, never WHERE.</w:t>
      </w:r>
    </w:p>
    <w:p>
      <w:pPr>
        <w:pStyle w:val="ListBullet"/>
        <w:spacing w:after="40"/>
      </w:pPr>
      <w:r>
        <w:rPr>
          <w:sz w:val="21"/>
        </w:rPr>
        <w:t>Diffusion editors (InstructPix2Pix, Qwen-Image-Edit, FLUX) denoise the whole frame.</w:t>
      </w:r>
    </w:p>
    <w:p>
      <w:pPr>
        <w:pStyle w:val="ListBullet"/>
        <w:spacing w:after="40"/>
      </w:pPr>
      <w:r>
        <w:rPr>
          <w:sz w:val="21"/>
        </w:rPr>
        <w:t>Two failures follow: the intended edit comes out weak, and unrelated regions drift in colour/texture.</w:t>
      </w:r>
    </w:p>
    <w:p>
      <w:pPr>
        <w:pStyle w:val="ListBullet"/>
        <w:spacing w:after="40"/>
      </w:pPr>
      <w:r>
        <w:rPr>
          <w:sz w:val="21"/>
        </w:rPr>
        <w:t>Fix: predict the region first, gate the editor to it. Splits the task into localization, then editing.</w:t>
      </w:r>
    </w:p>
    <w:p>
      <w:pPr>
        <w:pStyle w:val="Heading2"/>
      </w:pPr>
      <w:r>
        <w:t>The hard case — this is your hook</w:t>
      </w:r>
    </w:p>
    <w:p>
      <w:pPr>
        <w:pStyle w:val="ListBullet"/>
        <w:spacing w:after="40"/>
      </w:pPr>
      <w:r>
        <w:rPr>
          <w:sz w:val="21"/>
        </w:rPr>
        <w:t>“Put a hat on the dog” names an object that is not in the image.</w:t>
      </w:r>
    </w:p>
    <w:p>
      <w:pPr>
        <w:pStyle w:val="ListBullet"/>
        <w:spacing w:after="40"/>
      </w:pPr>
      <w:r>
        <w:rPr>
          <w:sz w:val="21"/>
        </w:rPr>
        <w:t>There is no source region to point at.</w:t>
      </w:r>
    </w:p>
    <w:p>
      <w:pPr>
        <w:pStyle w:val="ListBullet"/>
        <w:spacing w:after="40"/>
      </w:pPr>
      <w:r>
        <w:rPr>
          <w:sz w:val="21"/>
        </w:rPr>
        <w:t>Every method that works by referring to visible content fails on this class.</w:t>
      </w:r>
    </w:p>
    <w:p>
      <w:pPr>
        <w:pStyle w:val="ListBullet"/>
        <w:spacing w:after="40"/>
      </w:pPr>
      <w:r>
        <w:rPr>
          <w:sz w:val="21"/>
        </w:rPr>
        <w:t>Referring segmentation returns what a phrase DENOTES — for that instruction it returns the dog; the correct answer is the empty space above it.</w:t>
      </w:r>
    </w:p>
    <w:p>
      <w:pPr>
        <w:pStyle w:val="Heading2"/>
      </w:pPr>
      <w:r>
        <w:t>Base paper and the gap</w:t>
      </w:r>
    </w:p>
    <w:p>
      <w:pPr>
        <w:pStyle w:val="ListBullet"/>
        <w:spacing w:after="40"/>
      </w:pPr>
      <w:r>
        <w:rPr>
          <w:sz w:val="21"/>
        </w:rPr>
        <w:t>AdaptEdit, arXiv:2604.23763, April 2026 — the only work that trains a predictor to ground the region from the instruction.</w:t>
      </w:r>
    </w:p>
    <w:p>
      <w:pPr>
        <w:pStyle w:val="ListBullet"/>
        <w:spacing w:after="40"/>
      </w:pPr>
      <w:r>
        <w:rPr>
          <w:sz w:val="21"/>
        </w:rPr>
        <w:t>Scale: 20.43 B frozen diffusion transformer + 4.67 B adapters + 351 M condition encoder.</w:t>
      </w:r>
    </w:p>
    <w:p>
      <w:pPr>
        <w:pStyle w:val="ListBullet"/>
        <w:spacing w:after="40"/>
      </w:pPr>
      <w:r>
        <w:rPr>
          <w:sz w:val="21"/>
        </w:rPr>
        <w:t>Cannot be reproduced on a 26 GB laptop.</w:t>
      </w:r>
    </w:p>
    <w:p>
      <w:pPr>
        <w:pStyle w:val="ListBullet"/>
        <w:spacing w:after="40"/>
      </w:pPr>
      <w:r>
        <w:rPr>
          <w:sz w:val="21"/>
        </w:rPr>
        <w:t>It reports NO mask IoU — the MaskPredictor is never scored directly.</w:t>
      </w:r>
    </w:p>
    <w:p>
      <w:pPr>
        <w:pStyle w:val="ListBullet"/>
        <w:spacing w:after="40"/>
      </w:pPr>
      <w:r>
        <w:rPr>
          <w:sz w:val="21"/>
        </w:rPr>
        <w:t>Its own limitations section names our gap: geometry-changing edits with no localized source region.</w:t>
      </w:r>
    </w:p>
    <w:p>
      <w:pPr>
        <w:pStyle w:val="ListBullet"/>
        <w:spacing w:after="40"/>
      </w:pPr>
      <w:r>
        <w:rPr>
          <w:sz w:val="21"/>
        </w:rPr>
        <w:t>Its masks come from MagicBrush human annotation and rendered text boxes — explicitly not pixel differences.</w:t>
      </w:r>
    </w:p>
    <w:p>
      <w:pPr>
        <w:pStyle w:val="Heading2"/>
      </w:pPr>
      <w:r>
        <w:t>Why this is a data-science problem</w:t>
      </w:r>
    </w:p>
    <w:p>
      <w:pPr>
        <w:pStyle w:val="ListBullet"/>
        <w:spacing w:after="40"/>
      </w:pPr>
      <w:r>
        <w:rPr>
          <w:sz w:val="21"/>
        </w:rPr>
        <w:t>No benchmark scores a PREDICTED edit region. LocateEdit-Bench scores edits that already happened.</w:t>
      </w:r>
    </w:p>
    <w:p>
      <w:pPr>
        <w:pStyle w:val="ListBullet"/>
        <w:spacing w:after="40"/>
      </w:pPr>
      <w:r>
        <w:rPr>
          <w:sz w:val="21"/>
        </w:rPr>
        <w:t>That absence is why a 2026 paper built around a MaskPredictor can omit a mask IoU without objection.</w:t>
      </w:r>
    </w:p>
    <w:p>
      <w:pPr>
        <w:pStyle w:val="Heading2"/>
      </w:pPr>
      <w:r>
        <w:t>Objectives — state these as a numbered list</w:t>
      </w:r>
    </w:p>
    <w:p>
      <w:pPr>
        <w:pStyle w:val="ListBullet"/>
        <w:spacing w:after="40"/>
      </w:pPr>
      <w:r>
        <w:rPr>
          <w:sz w:val="21"/>
        </w:rPr>
        <w:t>Test whether an off-the-shelf segmentation + retrieval pipeline suffices, and characterise how it fails.</w:t>
      </w:r>
    </w:p>
    <w:p>
      <w:pPr>
        <w:pStyle w:val="ListBullet"/>
        <w:spacing w:after="40"/>
      </w:pPr>
      <w:r>
        <w:rPr>
          <w:sz w:val="21"/>
        </w:rPr>
        <w:t>Construct supervision that does not depend on human region annotation.</w:t>
      </w:r>
    </w:p>
    <w:p>
      <w:pPr>
        <w:pStyle w:val="ListBullet"/>
        <w:spacing w:after="40"/>
      </w:pPr>
      <w:r>
        <w:rPr>
          <w:sz w:val="21"/>
        </w:rPr>
        <w:t>Train a predictor over frozen features within one laptop's compute.</w:t>
      </w:r>
    </w:p>
    <w:p>
      <w:pPr>
        <w:pStyle w:val="ListBullet"/>
        <w:spacing w:after="40"/>
      </w:pPr>
      <w:r>
        <w:rPr>
          <w:sz w:val="21"/>
        </w:rPr>
        <w:t>Evaluate the predicted region directly — the measurement the base paper omits.</w:t>
      </w:r>
    </w:p>
    <w:p>
      <w:pPr>
        <w:pStyle w:val="ListBullet"/>
        <w:spacing w:after="40"/>
      </w:pPr>
      <w:r>
        <w:rPr>
          <w:sz w:val="21"/>
        </w:rPr>
        <w:t>Determine whether predicting the region improves the resulting edit, and by how much.</w:t>
      </w:r>
    </w:p>
    <w:p>
      <w:pPr>
        <w:pStyle w:val="ListBullet"/>
        <w:spacing w:after="40"/>
      </w:pPr>
      <w:r>
        <w:rPr>
          <w:sz w:val="21"/>
        </w:rPr>
        <w:t>Establish the upper bound the representation imposes, and report the fraction reached.</w:t>
      </w:r>
    </w:p>
    <w:p>
      <w:r>
        <w:br w:type="page"/>
      </w:r>
    </w:p>
    <w:p>
      <w:pPr>
        <w:pStyle w:val="Heading1"/>
      </w:pPr>
      <w:r>
        <w:t>2  Literature Survey — what to cover</w:t>
      </w:r>
    </w:p>
    <w:p>
      <w:pPr>
        <w:spacing w:after="160"/>
      </w:pPr>
      <w:r>
        <w:rPr>
          <w:i/>
          <w:color w:val="5A5852"/>
          <w:sz w:val="20"/>
        </w:rPr>
        <w:t>Roughly 900–1200 words. 45 works, all 2024–2026. Cite with the links from the survey file.</w:t>
      </w:r>
    </w:p>
    <w:p>
      <w:pPr>
        <w:pStyle w:val="Heading2"/>
      </w:pPr>
      <w:r>
        <w:t>Open with the classification — this is the strongest framing</w:t>
      </w:r>
    </w:p>
    <w:p>
      <w:pPr>
        <w:pStyle w:val="ListBullet"/>
        <w:spacing w:after="40"/>
      </w:pPr>
      <w:r>
        <w:rPr>
          <w:sz w:val="21"/>
        </w:rPr>
        <w:t>Sorting 45 works by what each DOES with the edit region beats a chronological reading.</w:t>
      </w:r>
    </w:p>
    <w:p>
      <w:pPr>
        <w:pStyle w:val="ListBullet"/>
        <w:spacing w:after="40"/>
      </w:pPr>
      <w:r>
        <w:rPr>
          <w:sz w:val="21"/>
        </w:rPr>
        <w:t>17 works CONSUME a region given to them — NEP takes the mask as an input; MaskFlow builds it into the objective; LazyDiffusion needs a user-drawn mask.</w:t>
      </w:r>
    </w:p>
    <w:p>
      <w:pPr>
        <w:pStyle w:val="ListBullet"/>
        <w:spacing w:after="40"/>
      </w:pPr>
      <w:r>
        <w:rPr>
          <w:sz w:val="21"/>
        </w:rPr>
        <w:t>11 works READ a region out of a running generator — WhereEdit aggregates cross-attention; RegionE infers it after denoising starts. Unsupervised, and blind to empty space.</w:t>
      </w:r>
    </w:p>
    <w:p>
      <w:pPr>
        <w:pStyle w:val="ListBullet"/>
        <w:spacing w:after="40"/>
      </w:pPr>
      <w:r>
        <w:rPr>
          <w:sz w:val="21"/>
        </w:rPr>
        <w:t>Only 2 works PREDICT a region from the instruction — AdaptEdit, and MADiff which is fashion-only.</w:t>
      </w:r>
    </w:p>
    <w:p>
      <w:pPr>
        <w:pStyle w:val="ListBullet"/>
        <w:spacing w:after="40"/>
      </w:pPr>
      <w:r>
        <w:rPr>
          <w:sz w:val="21"/>
        </w:rPr>
        <w:t>15 works score or frame the problem, and none scores a predicted region.</w:t>
      </w:r>
    </w:p>
    <w:p>
      <w:pPr>
        <w:pStyle w:val="ListBullet"/>
        <w:spacing w:after="40"/>
      </w:pPr>
      <w:r>
        <w:rPr>
          <w:sz w:val="21"/>
        </w:rPr>
        <w:t>One line to land: of 45 recent works, two produce the region from language.</w:t>
      </w:r>
    </w:p>
    <w:p>
      <w:pPr>
        <w:pStyle w:val="Heading2"/>
      </w:pPr>
      <w:r>
        <w:t>Cluster notes — one short paragraph each</w:t>
      </w:r>
    </w:p>
    <w:p>
      <w:pPr>
        <w:pStyle w:val="ListBullet"/>
        <w:spacing w:after="40"/>
      </w:pPr>
      <w:r>
        <w:rPr>
          <w:sz w:val="21"/>
        </w:rPr>
        <w:t>Instruction editors (9): excellent at editing, silent on localization. Step1X-Edit 19 B, Qwen 20 B, FLUX 12–32 B. NEP makes the asymmetry explicit by taking the mask as input.</w:t>
      </w:r>
    </w:p>
    <w:p>
      <w:pPr>
        <w:pStyle w:val="ListBullet"/>
        <w:spacing w:after="40"/>
      </w:pPr>
      <w:r>
        <w:rPr>
          <w:sz w:val="21"/>
        </w:rPr>
        <w:t>Edit localization (7): splits into attention-readers and region-consumers. WhereEdit states outright it does not handle adding into empty regions.</w:t>
      </w:r>
    </w:p>
    <w:p>
      <w:pPr>
        <w:pStyle w:val="ListBullet"/>
        <w:spacing w:after="40"/>
      </w:pPr>
      <w:r>
        <w:rPr>
          <w:sz w:val="21"/>
        </w:rPr>
        <w:t>Insertion and affordance (4): the field solves insertion GIVEN a location. MADD needs a position prompt; Add-it is training-free so placement emerges. Patents say the same in legal terms — US12561956 requires “an original image with a marked region”.</w:t>
      </w:r>
    </w:p>
    <w:p>
      <w:pPr>
        <w:pStyle w:val="ListBullet"/>
        <w:spacing w:after="40"/>
      </w:pPr>
      <w:r>
        <w:rPr>
          <w:sz w:val="21"/>
        </w:rPr>
        <w:t>Region-aware efficiency (3): RegionE, SpotEdit, LazyDiffusion all exploit a region for speed and all assume it arrives from elsewhere. Useful to you: this proves a cheap per-instruction query is a recognised structure.</w:t>
      </w:r>
    </w:p>
    <w:p>
      <w:pPr>
        <w:pStyle w:val="ListBullet"/>
        <w:spacing w:after="40"/>
      </w:pPr>
      <w:r>
        <w:rPr>
          <w:sz w:val="21"/>
        </w:rPr>
        <w:t>Text-guided segmentation (5): referring semantics are the wrong semantics. CLIPSeg gets 0.1849 overall but 0.054 on insertion. VespaSeg proves lightweight text-conditioned segmentation works.</w:t>
      </w:r>
    </w:p>
    <w:p>
      <w:pPr>
        <w:pStyle w:val="ListBullet"/>
        <w:spacing w:after="40"/>
      </w:pPr>
      <w:r>
        <w:rPr>
          <w:sz w:val="21"/>
        </w:rPr>
        <w:t>Benchmarks (4): LocateEdit-Bench scores 231 K already-edited images — post-hoc forensics, not prediction.</w:t>
      </w:r>
    </w:p>
    <w:p>
      <w:pPr>
        <w:pStyle w:val="ListBullet"/>
        <w:spacing w:after="40"/>
      </w:pPr>
      <w:r>
        <w:rPr>
          <w:sz w:val="21"/>
        </w:rPr>
        <w:t>Planning and reasoning (4): X-Planner and RePlan decompose instructions semantically, never to pixels, and need an MLLM in the loop.</w:t>
      </w:r>
    </w:p>
    <w:p>
      <w:pPr>
        <w:pStyle w:val="ListBullet"/>
        <w:spacing w:after="40"/>
      </w:pPr>
      <w:r>
        <w:rPr>
          <w:sz w:val="21"/>
        </w:rPr>
        <w:t>Structured scene representations (6): I2E and layer-wise memory represent things that EXIST. None makes empty space addressable.</w:t>
      </w:r>
    </w:p>
    <w:p>
      <w:pPr>
        <w:pStyle w:val="ListBullet"/>
        <w:spacing w:after="40"/>
      </w:pPr>
      <w:r>
        <w:rPr>
          <w:sz w:val="21"/>
        </w:rPr>
        <w:t>Surveys (3): the 2026 instruction-editing survey confirms localization is treated as a sub-component, never a first-class output.</w:t>
      </w:r>
    </w:p>
    <w:p>
      <w:pPr>
        <w:pStyle w:val="Heading2"/>
      </w:pPr>
      <w:r>
        <w:t>The four gaps — state each with evidence AND your measurement</w:t>
      </w:r>
    </w:p>
    <w:p>
      <w:pPr>
        <w:pStyle w:val="ListBullet"/>
        <w:spacing w:after="40"/>
      </w:pPr>
      <w:r>
        <w:rPr>
          <w:sz w:val="21"/>
        </w:rPr>
        <w:t>G1 Producing a region is unsolved while editing given one is not. Your evidence: FastSAM + CLIP selection scores 0 of 7, failing on granularity, spatial language, and insertion in principle.</w:t>
      </w:r>
    </w:p>
    <w:p>
      <w:pPr>
        <w:pStyle w:val="ListBullet"/>
        <w:spacing w:after="40"/>
      </w:pPr>
      <w:r>
        <w:rPr>
          <w:sz w:val="21"/>
        </w:rPr>
        <w:t>G2 The edit region is often not an object. Evidence: the base paper says so itself; WhereEdit says so. Your measurement: CLIPSeg 0.1849 overall but 0.054 on insertion.</w:t>
      </w:r>
    </w:p>
    <w:p>
      <w:pPr>
        <w:pStyle w:val="ListBullet"/>
        <w:spacing w:after="40"/>
      </w:pPr>
      <w:r>
        <w:rPr>
          <w:sz w:val="21"/>
        </w:rPr>
        <w:t>G3 Supervision binds harder than architecture. Your measurement: MagicBrush masks cover 62.4% of the frame against a true 10.3% — 9.1x too large, precision 15.8%, worst on insertions at 11.9x.</w:t>
      </w:r>
    </w:p>
    <w:p>
      <w:pPr>
        <w:pStyle w:val="ListBullet"/>
        <w:spacing w:after="40"/>
      </w:pPr>
      <w:r>
        <w:rPr>
          <w:sz w:val="21"/>
        </w:rPr>
        <w:t>G4 Nothing scores a predicted region. Evidence: LocateEdit-Bench, GEdit-Bench, the affordance benchmark — all score something downstream of the region.</w:t>
      </w:r>
    </w:p>
    <w:p>
      <w:pPr>
        <w:pStyle w:val="Heading2"/>
      </w:pPr>
      <w:r>
        <w:t>What each line of work improves vs never reports</w:t>
      </w:r>
    </w:p>
    <w:p>
      <w:pPr>
        <w:pStyle w:val="ListBullet"/>
        <w:spacing w:after="40"/>
      </w:pPr>
      <w:r>
        <w:rPr>
          <w:sz w:val="21"/>
        </w:rPr>
        <w:t>Instruction editors improve GEdit-Bench category scores; never report mask IoU.</w:t>
      </w:r>
    </w:p>
    <w:p>
      <w:pPr>
        <w:pStyle w:val="ListBullet"/>
        <w:spacing w:after="40"/>
      </w:pPr>
      <w:r>
        <w:rPr>
          <w:sz w:val="21"/>
        </w:rPr>
        <w:t>AdaptEdit improves text_change 8.53, subject-add 8.28; never scores its own MaskPredictor.</w:t>
      </w:r>
    </w:p>
    <w:p>
      <w:pPr>
        <w:pStyle w:val="ListBullet"/>
        <w:spacing w:after="40"/>
      </w:pPr>
      <w:r>
        <w:rPr>
          <w:sz w:val="21"/>
        </w:rPr>
        <w:t>Attention readers improve edit quality with no training; never report IoU against a true changed region.</w:t>
      </w:r>
    </w:p>
    <w:p>
      <w:pPr>
        <w:pStyle w:val="ListBullet"/>
        <w:spacing w:after="40"/>
      </w:pPr>
      <w:r>
        <w:rPr>
          <w:sz w:val="21"/>
        </w:rPr>
        <w:t>Region-aware efficiency improves wall-clock; never says where the region comes from.</w:t>
      </w:r>
    </w:p>
    <w:p>
      <w:pPr>
        <w:pStyle w:val="ListBullet"/>
        <w:spacing w:after="40"/>
      </w:pPr>
      <w:r>
        <w:rPr>
          <w:sz w:val="21"/>
        </w:rPr>
        <w:t>Referring segmenters improve RefCOCO-style IoU on denoted objects — the wrong target for editing.</w:t>
      </w:r>
    </w:p>
    <w:p>
      <w:pPr>
        <w:pStyle w:val="Heading2"/>
      </w:pPr>
      <w:r>
        <w:t>Close with your position</w:t>
      </w:r>
    </w:p>
    <w:p>
      <w:pPr>
        <w:pStyle w:val="ListBullet"/>
        <w:spacing w:after="40"/>
      </w:pPr>
      <w:r>
        <w:rPr>
          <w:sz w:val="21"/>
        </w:rPr>
        <w:t>Available to claim: predicting the region from the instruction is nearly vacant; deriving supervision from pixel differences appears unattempted here; reporting a mask IoU is novel by absence.</w:t>
      </w:r>
    </w:p>
    <w:p>
      <w:pPr>
        <w:pStyle w:val="ListBullet"/>
        <w:spacing w:after="40"/>
      </w:pPr>
      <w:r>
        <w:rPr>
          <w:sz w:val="21"/>
        </w:rPr>
        <w:t>NOT available to claim: the mechanism. FiLM and BCE+Dice are AdaptEdit's choices too. Say so — it is stronger than pretending otherwise.</w:t>
      </w:r>
    </w:p>
    <w:p>
      <w:pPr>
        <w:pStyle w:val="ListBullet"/>
        <w:spacing w:after="40"/>
      </w:pPr>
      <w:r>
        <w:rPr>
          <w:sz w:val="21"/>
        </w:rPr>
        <w:t>Honest limit: 39 of the 45 are from 2025–2026, so the area moves fast. Rest the claim on the measured bound, which is a property of the representation.</w:t>
      </w:r>
    </w:p>
    <w:p>
      <w:r>
        <w:br w:type="page"/>
      </w:r>
    </w:p>
    <w:p>
      <w:pPr>
        <w:pStyle w:val="Heading1"/>
      </w:pPr>
      <w:r>
        <w:t>3  Methodology — what to cover</w:t>
      </w:r>
    </w:p>
    <w:p>
      <w:pPr>
        <w:spacing w:after="160"/>
      </w:pPr>
      <w:r>
        <w:rPr>
          <w:i/>
          <w:color w:val="5A5852"/>
          <w:sz w:val="20"/>
        </w:rPr>
        <w:t>Roughly 900–1200 words. This section is mostly facts, so it is the easiest to write in your own words.</w:t>
      </w:r>
    </w:p>
    <w:p>
      <w:pPr>
        <w:pStyle w:val="Heading2"/>
      </w:pPr>
      <w:r>
        <w:t>Frozen feature extraction</w:t>
      </w:r>
    </w:p>
    <w:p>
      <w:pPr>
        <w:pStyle w:val="ListBullet"/>
        <w:spacing w:after="40"/>
      </w:pPr>
      <w:r>
        <w:rPr>
          <w:sz w:val="21"/>
        </w:rPr>
        <w:t>YOLOv8x-seg (FastSAM) backbone, frozen, used only as a feature source.</w:t>
      </w:r>
    </w:p>
    <w:p>
      <w:pPr>
        <w:pStyle w:val="ListBullet"/>
        <w:spacing w:after="40"/>
      </w:pPr>
      <w:r>
        <w:rPr>
          <w:sz w:val="21"/>
        </w:rPr>
        <w:t>Gives 32 mask prototypes at stride 4 — 160 x 160 maps for a 640 x 640 input.</w:t>
      </w:r>
    </w:p>
    <w:p>
      <w:pPr>
        <w:pStyle w:val="ListBullet"/>
        <w:spacing w:after="40"/>
      </w:pPr>
      <w:r>
        <w:rPr>
          <w:sz w:val="21"/>
        </w:rPr>
        <w:t>Plus a 640-dimensional image context vector from the SPPF layer.</w:t>
      </w:r>
    </w:p>
    <w:p>
      <w:pPr>
        <w:pStyle w:val="ListBullet"/>
        <w:spacing w:after="40"/>
      </w:pPr>
      <w:r>
        <w:rPr>
          <w:sz w:val="21"/>
        </w:rPr>
        <w:t>Instruction encoded by a frozen CLIP text encoder to 512 dimensions.</w:t>
      </w:r>
    </w:p>
    <w:p>
      <w:pPr>
        <w:pStyle w:val="ListBullet"/>
        <w:spacing w:after="40"/>
      </w:pPr>
      <w:r>
        <w:rPr>
          <w:sz w:val="21"/>
        </w:rPr>
        <w:t>Prototypes are spatial basis functions: any mask is a linear combination of them through a sigmoid.</w:t>
      </w:r>
    </w:p>
    <w:p>
      <w:pPr>
        <w:pStyle w:val="ListBullet"/>
        <w:spacing w:after="40"/>
      </w:pPr>
      <w:r>
        <w:rPr>
          <w:sz w:val="21"/>
        </w:rPr>
        <w:t>Neither backbone trains. Only the head learns — that is what makes it run on one laptop.</w:t>
      </w:r>
    </w:p>
    <w:p>
      <w:pPr>
        <w:pStyle w:val="Heading2"/>
      </w:pPr>
      <w:r>
        <w:t>Two heads</w:t>
      </w:r>
    </w:p>
    <w:p>
      <w:pPr>
        <w:pStyle w:val="ListBullet"/>
        <w:spacing w:after="40"/>
      </w:pPr>
      <w:r>
        <w:rPr>
          <w:sz w:val="21"/>
        </w:rPr>
        <w:t>v1, global coefficients: one 32-d vector + bias per image-instruction pair. Text modulates image context by FiLM; an MLP emits coefficients. 1,399,073 parameters. Same combination applies everywhere in the frame.</w:t>
      </w:r>
    </w:p>
    <w:p>
      <w:pPr>
        <w:pStyle w:val="ListBullet"/>
        <w:spacing w:after="40"/>
      </w:pPr>
      <w:r>
        <w:rPr>
          <w:sz w:val="21"/>
        </w:rPr>
        <w:t>v2, spatial field: a 20 x 20 field of coefficients, bilinearly upsampled, plus a global branch. 4,693,633 parameters. Different locations can use different prototype mixtures.</w:t>
      </w:r>
    </w:p>
    <w:p>
      <w:pPr>
        <w:pStyle w:val="ListBullet"/>
        <w:spacing w:after="40"/>
      </w:pPr>
      <w:r>
        <w:rPr>
          <w:sz w:val="21"/>
        </w:rPr>
        <w:t>Why v2: a single vector forces one mixture everywhere, which suits objects and not empty space. An earlier experiment showed v1 saturating at 1.4 M, so width was never the constraint — expressiveness was.</w:t>
      </w:r>
    </w:p>
    <w:p>
      <w:pPr>
        <w:pStyle w:val="Heading2"/>
      </w:pPr>
      <w:r>
        <w:t>Supervision — explain WHY, this is your contribution</w:t>
      </w:r>
    </w:p>
    <w:p>
      <w:pPr>
        <w:pStyle w:val="ListBullet"/>
        <w:spacing w:after="40"/>
      </w:pPr>
      <w:r>
        <w:rPr>
          <w:sz w:val="21"/>
        </w:rPr>
        <w:t>Do NOT use MagicBrush's own masks as targets: 62.4% of frame against 10.3% true change.</w:t>
      </w:r>
    </w:p>
    <w:p>
      <w:pPr>
        <w:pStyle w:val="ListBullet"/>
        <w:spacing w:after="40"/>
      </w:pPr>
      <w:r>
        <w:rPr>
          <w:sz w:val="21"/>
        </w:rPr>
        <w:t>Instead derive the target from the real source/target image pair by CIE76 colour difference in L*a*b*.</w:t>
      </w:r>
    </w:p>
    <w:p>
      <w:pPr>
        <w:pStyle w:val="ListBullet"/>
        <w:spacing w:after="40"/>
      </w:pPr>
      <w:r>
        <w:rPr>
          <w:sz w:val="21"/>
        </w:rPr>
        <w:t>Threshold 12.0, chosen from a noise-robustness sweep (holds at sigma=8).</w:t>
      </w:r>
    </w:p>
    <w:p>
      <w:pPr>
        <w:pStyle w:val="ListBullet"/>
        <w:spacing w:after="40"/>
      </w:pPr>
      <w:r>
        <w:rPr>
          <w:sz w:val="21"/>
        </w:rPr>
        <w:t>Morphological open then close with a 5 x 5 kernel; drop connected components under 40 px.</w:t>
      </w:r>
    </w:p>
    <w:p>
      <w:pPr>
        <w:pStyle w:val="ListBullet"/>
        <w:spacing w:after="40"/>
      </w:pPr>
      <w:r>
        <w:rPr>
          <w:sz w:val="21"/>
        </w:rPr>
        <w:t>Reject samples whose changed area is outside 0.4%–45% — too small to learn, or a whole-frame restyle.</w:t>
      </w:r>
    </w:p>
    <w:p>
      <w:pPr>
        <w:pStyle w:val="ListBullet"/>
        <w:spacing w:after="40"/>
      </w:pPr>
      <w:r>
        <w:rPr>
          <w:sz w:val="21"/>
        </w:rPr>
        <w:t>The idea in one line: where a hat LANDED is ground truth for where a hat SHOULD GO.</w:t>
      </w:r>
    </w:p>
    <w:p>
      <w:pPr>
        <w:pStyle w:val="ListBullet"/>
        <w:spacing w:after="40"/>
      </w:pPr>
      <w:r>
        <w:rPr>
          <w:sz w:val="21"/>
        </w:rPr>
        <w:t>Worth mentioning: MagicBrush masks are bright = PRESERVE. Assuming the opposite gave IoU 0.001 before it was caught.</w:t>
      </w:r>
    </w:p>
    <w:p>
      <w:pPr>
        <w:pStyle w:val="Heading2"/>
      </w:pPr>
      <w:r>
        <w:t>Loss and optimisation</w:t>
      </w:r>
    </w:p>
    <w:p>
      <w:pPr>
        <w:pStyle w:val="ListBullet"/>
        <w:spacing w:after="40"/>
      </w:pPr>
      <w:r>
        <w:rPr>
          <w:sz w:val="21"/>
        </w:rPr>
        <w:t>BCE + 2 x Dice. Gradient-norm clipping at 1.0.</w:t>
      </w:r>
    </w:p>
    <w:p>
      <w:pPr>
        <w:pStyle w:val="ListBullet"/>
        <w:spacing w:after="40"/>
      </w:pPr>
      <w:r>
        <w:rPr>
          <w:sz w:val="21"/>
        </w:rPr>
        <w:t>AdamW, learning rate 1e-3 cosine to zero, weight decay 0.01, batch 32, 60 epochs.</w:t>
      </w:r>
    </w:p>
    <w:p>
      <w:pPr>
        <w:pStyle w:val="ListBullet"/>
        <w:spacing w:after="40"/>
      </w:pPr>
      <w:r>
        <w:rPr>
          <w:sz w:val="21"/>
        </w:rPr>
        <w:t>12 seeds (1368, 1–11), seeding torch, numpy, random and the Metal generator.</w:t>
      </w:r>
    </w:p>
    <w:p>
      <w:pPr>
        <w:pStyle w:val="Heading2"/>
      </w:pPr>
      <w:r>
        <w:t>Dataset</w:t>
      </w:r>
    </w:p>
    <w:p>
      <w:pPr>
        <w:pStyle w:val="ListBullet"/>
        <w:spacing w:after="40"/>
      </w:pPr>
      <w:r>
        <w:rPr>
          <w:sz w:val="21"/>
        </w:rPr>
        <w:t>MagicBrush: all 51 training shards, all 4 dev shards, 25 GB of Parquet.</w:t>
      </w:r>
    </w:p>
    <w:p>
      <w:pPr>
        <w:pStyle w:val="ListBullet"/>
        <w:spacing w:after="40"/>
      </w:pPr>
      <w:r>
        <w:rPr>
          <w:sz w:val="21"/>
        </w:rPr>
        <w:t>8,807 rows -&gt; 8,306 usable after filtering (501 rejected as degenerate).</w:t>
      </w:r>
    </w:p>
    <w:p>
      <w:pPr>
        <w:pStyle w:val="ListBullet"/>
        <w:spacing w:after="40"/>
      </w:pPr>
      <w:r>
        <w:rPr>
          <w:sz w:val="21"/>
        </w:rPr>
        <w:t>Kinds: modify 6,045, insert 1,828, remove 433.</w:t>
      </w:r>
    </w:p>
    <w:p>
      <w:pPr>
        <w:pStyle w:val="ListBullet"/>
        <w:spacing w:after="40"/>
      </w:pPr>
      <w:r>
        <w:rPr>
          <w:sz w:val="21"/>
        </w:rPr>
        <w:t>Held-out dev: 528 turns -&gt; 503 usable.</w:t>
      </w:r>
    </w:p>
    <w:p>
      <w:pPr>
        <w:pStyle w:val="Heading2"/>
      </w:pPr>
      <w:r>
        <w:t>Split integrity — a strong thing to include</w:t>
      </w:r>
    </w:p>
    <w:p>
      <w:pPr>
        <w:pStyle w:val="ListBullet"/>
        <w:spacing w:after="40"/>
      </w:pPr>
      <w:r>
        <w:rPr>
          <w:sz w:val="21"/>
        </w:rPr>
        <w:t>MagicBrush is multi-turn: one photograph yields several successive edits.</w:t>
      </w:r>
    </w:p>
    <w:p>
      <w:pPr>
        <w:pStyle w:val="ListBullet"/>
        <w:spacing w:after="40"/>
      </w:pPr>
      <w:r>
        <w:rPr>
          <w:sz w:val="21"/>
        </w:rPr>
        <w:t>If the split were by turn rather than by image, the same photo would sit on both sides.</w:t>
      </w:r>
    </w:p>
    <w:p>
      <w:pPr>
        <w:pStyle w:val="ListBullet"/>
        <w:spacing w:after="40"/>
      </w:pPr>
      <w:r>
        <w:rPr>
          <w:sz w:val="21"/>
        </w:rPr>
        <w:t>So every source and target image was hashed (SHA-1) on both sides and intersected.</w:t>
      </w:r>
    </w:p>
    <w:p>
      <w:pPr>
        <w:pStyle w:val="ListBullet"/>
        <w:spacing w:after="40"/>
      </w:pPr>
      <w:r>
        <w:rPr>
          <w:sz w:val="21"/>
        </w:rPr>
        <w:t>Result: 794 distinct dev images, 13,317 distinct train images, 0 overlap.</w:t>
      </w:r>
    </w:p>
    <w:p>
      <w:pPr>
        <w:pStyle w:val="ListBullet"/>
        <w:spacing w:after="40"/>
      </w:pPr>
      <w:r>
        <w:rPr>
          <w:sz w:val="21"/>
        </w:rPr>
        <w:t>Say that this was run BEFORE the results were trusted, not afterwards to defend them.</w:t>
      </w:r>
    </w:p>
    <w:p>
      <w:pPr>
        <w:pStyle w:val="Heading2"/>
      </w:pPr>
      <w:r>
        <w:t>Protocol</w:t>
      </w:r>
    </w:p>
    <w:p>
      <w:pPr>
        <w:pStyle w:val="ListBullet"/>
        <w:spacing w:after="40"/>
      </w:pPr>
      <w:r>
        <w:rPr>
          <w:sz w:val="21"/>
        </w:rPr>
        <w:t>Checkpoint epoch selected on a held-out 15% slice of TRAIN, never on dev.</w:t>
      </w:r>
    </w:p>
    <w:p>
      <w:pPr>
        <w:pStyle w:val="ListBullet"/>
        <w:spacing w:after="40"/>
      </w:pPr>
      <w:r>
        <w:rPr>
          <w:sz w:val="21"/>
        </w:rPr>
        <w:t>Dev evaluated exactly once per seed, at full resolution against the undilated target.</w:t>
      </w:r>
    </w:p>
    <w:p>
      <w:pPr>
        <w:pStyle w:val="ListBullet"/>
        <w:spacing w:after="40"/>
      </w:pPr>
      <w:r>
        <w:rPr>
          <w:sz w:val="21"/>
        </w:rPr>
        <w:t>Welch t-test on seed means; one-sample t-tests against fixed baselines.</w:t>
      </w:r>
    </w:p>
    <w:p>
      <w:pPr>
        <w:pStyle w:val="ListBullet"/>
        <w:spacing w:after="40"/>
      </w:pPr>
      <w:r>
        <w:rPr>
          <w:sz w:val="21"/>
        </w:rPr>
        <w:t>Frozen features precomputed once into memory-mapped arrays (13.8 GB) so each epoch touches only the head.</w:t>
      </w:r>
    </w:p>
    <w:p>
      <w:pPr>
        <w:pStyle w:val="Heading2"/>
      </w:pPr>
      <w:r>
        <w:t>Why each design choice — examiners ask this</w:t>
      </w:r>
    </w:p>
    <w:p>
      <w:pPr>
        <w:pStyle w:val="ListBullet"/>
        <w:spacing w:after="40"/>
      </w:pPr>
      <w:r>
        <w:rPr>
          <w:sz w:val="21"/>
        </w:rPr>
        <w:t>Predict coefficients rather than select a mask: selection can only return an object already present, so insertion is impossible in principle. Evidence: 0 of 7.</w:t>
      </w:r>
    </w:p>
    <w:p>
      <w:pPr>
        <w:pStyle w:val="ListBullet"/>
        <w:spacing w:after="40"/>
      </w:pPr>
      <w:r>
        <w:rPr>
          <w:sz w:val="21"/>
        </w:rPr>
        <w:t>Freeze both backbones: the backbone depends on the image alone, so pay for it once and run the head per instruction. Evidence: 5.30 ms vs CLIPSeg's 54.3 ms.</w:t>
      </w:r>
    </w:p>
    <w:p>
      <w:pPr>
        <w:pStyle w:val="ListBullet"/>
        <w:spacing w:after="40"/>
      </w:pPr>
      <w:r>
        <w:rPr>
          <w:sz w:val="21"/>
        </w:rPr>
        <w:t>Derive targets by colour difference: the dataset's masks are 9.1x too large, so training on them teaches the wrong region.</w:t>
      </w:r>
    </w:p>
    <w:p>
      <w:pPr>
        <w:pStyle w:val="ListBullet"/>
        <w:spacing w:after="40"/>
      </w:pPr>
      <w:r>
        <w:rPr>
          <w:sz w:val="21"/>
        </w:rPr>
        <w:t>Spatial field over global vector: one vector forces a single mixture everywhere. Evidence: insert 0.1186 vs 0.0972.</w:t>
      </w:r>
    </w:p>
    <w:p>
      <w:r>
        <w:br w:type="page"/>
      </w:r>
    </w:p>
    <w:p>
      <w:pPr>
        <w:pStyle w:val="Heading1"/>
      </w:pPr>
      <w:r>
        <w:t>Writing checklist</w:t>
      </w:r>
    </w:p>
    <w:p>
      <w:pPr>
        <w:pStyle w:val="ListNumber"/>
        <w:spacing w:after="40"/>
      </w:pPr>
      <w:r>
        <w:rPr>
          <w:sz w:val="21"/>
        </w:rPr>
        <w:t>Write each section in your own words with these notes beside you — do not paste sentences from any document.</w:t>
      </w:r>
    </w:p>
    <w:p>
      <w:pPr>
        <w:pStyle w:val="ListNumber"/>
        <w:spacing w:after="40"/>
      </w:pPr>
      <w:r>
        <w:rPr>
          <w:sz w:val="21"/>
        </w:rPr>
        <w:t>Numbers are facts and cannot be plagiarised; the sentences around them must be yours.</w:t>
      </w:r>
    </w:p>
    <w:p>
      <w:pPr>
        <w:pStyle w:val="ListNumber"/>
        <w:spacing w:after="40"/>
      </w:pPr>
      <w:r>
        <w:rPr>
          <w:sz w:val="21"/>
        </w:rPr>
        <w:t>Quote the base paper's limitation directly and put it in quotation marks with the citation — a quoted, attributed line is not plagiarism.</w:t>
      </w:r>
    </w:p>
    <w:p>
      <w:pPr>
        <w:pStyle w:val="ListNumber"/>
        <w:spacing w:after="40"/>
      </w:pPr>
      <w:r>
        <w:rPr>
          <w:sz w:val="21"/>
        </w:rPr>
        <w:t>Cite all 45 works with links; a reference list raises similarity slightly but that is expected and excluded in most Turnitin settings.</w:t>
      </w:r>
    </w:p>
    <w:p>
      <w:pPr>
        <w:pStyle w:val="ListNumber"/>
        <w:spacing w:after="40"/>
      </w:pPr>
      <w:r>
        <w:rPr>
          <w:sz w:val="21"/>
        </w:rPr>
        <w:t>Upload once, read the report, fix what it flags, upload the second time. Only two attempts.</w:t>
      </w:r>
    </w:p>
    <w:p>
      <w:pPr>
        <w:pStyle w:val="ListNumber"/>
        <w:spacing w:after="40"/>
      </w:pPr>
      <w:r>
        <w:rPr>
          <w:sz w:val="21"/>
        </w:rPr>
        <w:t>Deadline 17 Sep. Final document goes to Teams, not Turnitin.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i w:val="0"/>
      <w:color w:val="1B1A1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i w:val="0"/>
      <w:color w:val="1B1A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i w:val="0"/>
      <w:color w:val="1B1A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