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520"/>
        <w:jc w:val="center"/>
      </w:pPr>
      <w:r>
        <w:rPr>
          <w:b w:val="0"/>
          <w:i/>
          <w:color w:val="5A5852"/>
          <w:sz w:val="22"/>
        </w:rPr>
        <w:t>Technical Report</w:t>
      </w:r>
    </w:p>
    <w:p>
      <w:pPr>
        <w:spacing w:after="200"/>
        <w:jc w:val="center"/>
      </w:pPr>
      <w:r>
        <w:rPr>
          <w:rFonts w:ascii="Cambria" w:hAnsi="Cambria"/>
          <w:b/>
          <w:sz w:val="42"/>
        </w:rPr>
        <w:t>Disentangling Localization from Editing in Instruction-Guided Image Manipulation</w:t>
      </w:r>
    </w:p>
    <w:p>
      <w:pPr>
        <w:spacing w:after="800"/>
        <w:jc w:val="center"/>
      </w:pPr>
      <w:r>
        <w:rPr>
          <w:b w:val="0"/>
          <w:i/>
          <w:color w:val="5A5852"/>
          <w:sz w:val="25"/>
        </w:rPr>
        <w:t>A frozen-backbone edit-region predictor, measured against its representational ceiling</w:t>
      </w:r>
    </w:p>
    <w:p>
      <w:pPr>
        <w:spacing w:after="60"/>
        <w:jc w:val="center"/>
      </w:pPr>
      <w:r>
        <w:rPr>
          <w:b w:val="0"/>
          <w:i w:val="0"/>
          <w:sz w:val="24"/>
        </w:rPr>
        <w:t>Amritha S    23BEC1368</w:t>
      </w:r>
    </w:p>
    <w:p>
      <w:pPr>
        <w:spacing w:after="60"/>
        <w:jc w:val="center"/>
      </w:pPr>
      <w:r>
        <w:rPr>
          <w:b w:val="0"/>
          <w:i w:val="0"/>
          <w:sz w:val="24"/>
        </w:rPr>
        <w:t>Yugeshwaran P    23BEC1404</w:t>
      </w:r>
    </w:p>
    <w:p>
      <w:pPr>
        <w:spacing w:after="60"/>
        <w:jc w:val="center"/>
      </w:pPr>
      <w:r>
        <w:rPr>
          <w:b w:val="0"/>
          <w:i w:val="0"/>
          <w:sz w:val="12"/>
        </w:rPr>
      </w:r>
    </w:p>
    <w:p>
      <w:pPr>
        <w:spacing w:after="60"/>
        <w:jc w:val="center"/>
      </w:pPr>
      <w:r>
        <w:rPr>
          <w:b w:val="0"/>
          <w:i/>
          <w:sz w:val="22"/>
        </w:rPr>
        <w:t>Guide: Dr. Saranya M (54783)</w:t>
      </w:r>
    </w:p>
    <w:p>
      <w:pPr>
        <w:spacing w:after="60"/>
        <w:jc w:val="center"/>
      </w:pPr>
      <w:r>
        <w:rPr>
          <w:b w:val="0"/>
          <w:i/>
          <w:sz w:val="22"/>
        </w:rPr>
        <w:t>School of Electronics Engineering</w:t>
      </w:r>
    </w:p>
    <w:p>
      <w:pPr>
        <w:spacing w:after="60"/>
        <w:jc w:val="center"/>
      </w:pPr>
      <w:r>
        <w:rPr>
          <w:b w:val="0"/>
          <w:i/>
          <w:sz w:val="22"/>
        </w:rPr>
        <w:t>Vellore Institute of Technology, Chennai</w:t>
      </w:r>
    </w:p>
    <w:p>
      <w:pPr>
        <w:spacing w:after="60"/>
        <w:jc w:val="center"/>
      </w:pPr>
      <w:r>
        <w:rPr>
          <w:b w:val="0"/>
          <w:i w:val="0"/>
          <w:sz w:val="12"/>
        </w:rPr>
      </w:r>
    </w:p>
    <w:p>
      <w:pPr>
        <w:spacing w:after="60"/>
        <w:jc w:val="center"/>
      </w:pPr>
      <w:r>
        <w:rPr>
          <w:b w:val="0"/>
          <w:i w:val="0"/>
          <w:sz w:val="22"/>
        </w:rPr>
        <w:t>Foundations of Data Science — Review 1</w:t>
      </w:r>
    </w:p>
    <w:p>
      <w:pPr>
        <w:spacing w:after="60"/>
        <w:jc w:val="center"/>
      </w:pPr>
      <w:r>
        <w:rPr>
          <w:b w:val="0"/>
          <w:i w:val="0"/>
          <w:sz w:val="22"/>
        </w:rPr>
        <w:t>14 September 2026</w:t>
      </w:r>
    </w:p>
    <w:p>
      <w:r>
        <w:br w:type="page"/>
      </w:r>
    </w:p>
    <w:p>
      <w:pPr>
        <w:spacing w:after="200"/>
      </w:pPr>
      <w:r>
        <w:rPr>
          <w:b/>
          <w:sz w:val="24"/>
        </w:rPr>
        <w:t>CONTENTS</w:t>
      </w:r>
    </w:p>
    <w:p>
      <w:pPr>
        <w:spacing w:after="40"/>
        <w:ind w:left="0"/>
      </w:pPr>
      <w:r>
        <w:rPr>
          <w:b/>
          <w:sz w:val="21"/>
        </w:rPr>
        <w:t xml:space="preserve">1   </w:t>
      </w:r>
      <w:r>
        <w:rPr>
          <w:b/>
          <w:sz w:val="21"/>
        </w:rPr>
        <w:t>Introduction</w:t>
      </w:r>
    </w:p>
    <w:p>
      <w:pPr>
        <w:spacing w:after="40"/>
        <w:ind w:left="403"/>
      </w:pPr>
      <w:r>
        <w:rPr>
          <w:b w:val="0"/>
          <w:sz w:val="21"/>
        </w:rPr>
        <w:t xml:space="preserve">1.1   </w:t>
      </w:r>
      <w:r>
        <w:rPr>
          <w:b w:val="0"/>
          <w:sz w:val="21"/>
        </w:rPr>
        <w:t>What we build</w:t>
      </w:r>
    </w:p>
    <w:p>
      <w:pPr>
        <w:spacing w:after="40"/>
        <w:ind w:left="403"/>
      </w:pPr>
      <w:r>
        <w:rPr>
          <w:b w:val="0"/>
          <w:sz w:val="21"/>
        </w:rPr>
        <w:t xml:space="preserve">1.2   </w:t>
      </w:r>
      <w:r>
        <w:rPr>
          <w:b w:val="0"/>
          <w:sz w:val="21"/>
        </w:rPr>
        <w:t>Why this design</w:t>
      </w:r>
    </w:p>
    <w:p>
      <w:pPr>
        <w:spacing w:after="40"/>
        <w:ind w:left="0"/>
      </w:pPr>
      <w:r>
        <w:rPr>
          <w:b/>
          <w:sz w:val="21"/>
        </w:rPr>
        <w:t xml:space="preserve">2   </w:t>
      </w:r>
      <w:r>
        <w:rPr>
          <w:b/>
          <w:sz w:val="21"/>
        </w:rPr>
        <w:t>Literature Review</w:t>
      </w:r>
    </w:p>
    <w:p>
      <w:pPr>
        <w:spacing w:after="40"/>
        <w:ind w:left="0"/>
      </w:pPr>
      <w:r>
        <w:rPr>
          <w:b/>
          <w:sz w:val="21"/>
        </w:rPr>
        <w:t xml:space="preserve">3   </w:t>
      </w:r>
      <w:r>
        <w:rPr>
          <w:b/>
          <w:sz w:val="21"/>
        </w:rPr>
        <w:t>Problem Statement and Objectives</w:t>
      </w:r>
    </w:p>
    <w:p>
      <w:pPr>
        <w:spacing w:after="40"/>
        <w:ind w:left="0"/>
      </w:pPr>
      <w:r>
        <w:rPr>
          <w:b/>
          <w:sz w:val="21"/>
        </w:rPr>
        <w:t xml:space="preserve">4   </w:t>
      </w:r>
      <w:r>
        <w:rPr>
          <w:b/>
          <w:sz w:val="21"/>
        </w:rPr>
        <w:t>Methodology</w:t>
      </w:r>
    </w:p>
    <w:p>
      <w:pPr>
        <w:spacing w:after="40"/>
        <w:ind w:left="403"/>
      </w:pPr>
      <w:r>
        <w:rPr>
          <w:b w:val="0"/>
          <w:sz w:val="21"/>
        </w:rPr>
        <w:t xml:space="preserve">4.1   </w:t>
      </w:r>
      <w:r>
        <w:rPr>
          <w:b w:val="0"/>
          <w:sz w:val="21"/>
        </w:rPr>
        <w:t>Frozen feature extraction</w:t>
      </w:r>
    </w:p>
    <w:p>
      <w:pPr>
        <w:spacing w:after="40"/>
        <w:ind w:left="403"/>
      </w:pPr>
      <w:r>
        <w:rPr>
          <w:b w:val="0"/>
          <w:sz w:val="21"/>
        </w:rPr>
        <w:t xml:space="preserve">4.2   </w:t>
      </w:r>
      <w:r>
        <w:rPr>
          <w:b w:val="0"/>
          <w:sz w:val="21"/>
        </w:rPr>
        <w:t>Global coefficient head (v1)</w:t>
      </w:r>
    </w:p>
    <w:p>
      <w:pPr>
        <w:spacing w:after="40"/>
        <w:ind w:left="403"/>
      </w:pPr>
      <w:r>
        <w:rPr>
          <w:b w:val="0"/>
          <w:sz w:val="21"/>
        </w:rPr>
        <w:t xml:space="preserve">4.3   </w:t>
      </w:r>
      <w:r>
        <w:rPr>
          <w:b w:val="0"/>
          <w:sz w:val="21"/>
        </w:rPr>
        <w:t>Spatial coefficient field (v2)</w:t>
      </w:r>
    </w:p>
    <w:p>
      <w:pPr>
        <w:spacing w:after="40"/>
        <w:ind w:left="403"/>
      </w:pPr>
      <w:r>
        <w:rPr>
          <w:b w:val="0"/>
          <w:sz w:val="21"/>
        </w:rPr>
        <w:t xml:space="preserve">4.4   </w:t>
      </w:r>
      <w:r>
        <w:rPr>
          <w:b w:val="0"/>
          <w:sz w:val="21"/>
        </w:rPr>
        <w:t>Supervision and loss</w:t>
      </w:r>
    </w:p>
    <w:p>
      <w:pPr>
        <w:spacing w:after="40"/>
        <w:ind w:left="0"/>
      </w:pPr>
      <w:r>
        <w:rPr>
          <w:b/>
          <w:sz w:val="21"/>
        </w:rPr>
        <w:t xml:space="preserve">5   </w:t>
      </w:r>
      <w:r>
        <w:rPr>
          <w:b/>
          <w:sz w:val="21"/>
        </w:rPr>
        <w:t>Dataset</w:t>
      </w:r>
    </w:p>
    <w:p>
      <w:pPr>
        <w:spacing w:after="40"/>
        <w:ind w:left="403"/>
      </w:pPr>
      <w:r>
        <w:rPr>
          <w:b w:val="0"/>
          <w:sz w:val="21"/>
        </w:rPr>
        <w:t xml:space="preserve">5.1   </w:t>
      </w:r>
      <w:r>
        <w:rPr>
          <w:b w:val="0"/>
          <w:sz w:val="21"/>
        </w:rPr>
        <w:t>Split integrity</w:t>
      </w:r>
    </w:p>
    <w:p>
      <w:pPr>
        <w:spacing w:after="40"/>
        <w:ind w:left="0"/>
      </w:pPr>
      <w:r>
        <w:rPr>
          <w:b/>
          <w:sz w:val="21"/>
        </w:rPr>
        <w:t xml:space="preserve">6   </w:t>
      </w:r>
      <w:r>
        <w:rPr>
          <w:b/>
          <w:sz w:val="21"/>
        </w:rPr>
        <w:t>Experimental Protocol</w:t>
      </w:r>
    </w:p>
    <w:p>
      <w:pPr>
        <w:spacing w:after="40"/>
        <w:ind w:left="403"/>
      </w:pPr>
      <w:r>
        <w:rPr>
          <w:b w:val="0"/>
          <w:sz w:val="21"/>
        </w:rPr>
        <w:t xml:space="preserve">6.1   </w:t>
      </w:r>
      <w:r>
        <w:rPr>
          <w:b w:val="0"/>
          <w:sz w:val="21"/>
        </w:rPr>
        <w:t>Configuration</w:t>
      </w:r>
    </w:p>
    <w:p>
      <w:pPr>
        <w:spacing w:after="40"/>
        <w:ind w:left="0"/>
      </w:pPr>
      <w:r>
        <w:rPr>
          <w:b/>
          <w:sz w:val="21"/>
        </w:rPr>
        <w:t xml:space="preserve">7   </w:t>
      </w:r>
      <w:r>
        <w:rPr>
          <w:b/>
          <w:sz w:val="21"/>
        </w:rPr>
        <w:t>Results and Discussion</w:t>
      </w:r>
    </w:p>
    <w:p>
      <w:pPr>
        <w:spacing w:after="40"/>
        <w:ind w:left="403"/>
      </w:pPr>
      <w:r>
        <w:rPr>
          <w:b w:val="0"/>
          <w:sz w:val="21"/>
        </w:rPr>
        <w:t xml:space="preserve">7.1   </w:t>
      </w:r>
      <w:r>
        <w:rPr>
          <w:b w:val="0"/>
          <w:sz w:val="21"/>
        </w:rPr>
        <w:t>Accuracy</w:t>
      </w:r>
    </w:p>
    <w:p>
      <w:pPr>
        <w:spacing w:after="40"/>
        <w:ind w:left="403"/>
      </w:pPr>
      <w:r>
        <w:rPr>
          <w:b w:val="0"/>
          <w:sz w:val="21"/>
        </w:rPr>
        <w:t xml:space="preserve">7.2   </w:t>
      </w:r>
      <w:r>
        <w:rPr>
          <w:b w:val="0"/>
          <w:sz w:val="21"/>
        </w:rPr>
        <w:t>Full metric suite</w:t>
      </w:r>
    </w:p>
    <w:p>
      <w:pPr>
        <w:spacing w:after="40"/>
        <w:ind w:left="403"/>
      </w:pPr>
      <w:r>
        <w:rPr>
          <w:b w:val="0"/>
          <w:sz w:val="21"/>
        </w:rPr>
        <w:t xml:space="preserve">7.3   </w:t>
      </w:r>
      <w:r>
        <w:rPr>
          <w:b w:val="0"/>
          <w:sz w:val="21"/>
        </w:rPr>
        <w:t>Operating point</w:t>
      </w:r>
    </w:p>
    <w:p>
      <w:pPr>
        <w:spacing w:after="40"/>
        <w:ind w:left="403"/>
      </w:pPr>
      <w:r>
        <w:rPr>
          <w:b w:val="0"/>
          <w:sz w:val="21"/>
        </w:rPr>
        <w:t xml:space="preserve">7.4   </w:t>
      </w:r>
      <w:r>
        <w:rPr>
          <w:b w:val="0"/>
          <w:sz w:val="21"/>
        </w:rPr>
        <w:t>Per edit kind</w:t>
      </w:r>
    </w:p>
    <w:p>
      <w:pPr>
        <w:spacing w:after="40"/>
        <w:ind w:left="403"/>
      </w:pPr>
      <w:r>
        <w:rPr>
          <w:b w:val="0"/>
          <w:sz w:val="21"/>
        </w:rPr>
        <w:t xml:space="preserve">7.5   </w:t>
      </w:r>
      <w:r>
        <w:rPr>
          <w:b w:val="0"/>
          <w:sz w:val="21"/>
        </w:rPr>
        <w:t>Representational ceiling</w:t>
      </w:r>
    </w:p>
    <w:p>
      <w:pPr>
        <w:spacing w:after="40"/>
        <w:ind w:left="403"/>
      </w:pPr>
      <w:r>
        <w:rPr>
          <w:b w:val="0"/>
          <w:sz w:val="21"/>
        </w:rPr>
        <w:t xml:space="preserve">7.6   </w:t>
      </w:r>
      <w:r>
        <w:rPr>
          <w:b w:val="0"/>
          <w:sz w:val="21"/>
        </w:rPr>
        <w:t>Training dynamics and ablations</w:t>
      </w:r>
    </w:p>
    <w:p>
      <w:pPr>
        <w:spacing w:after="40"/>
        <w:ind w:left="403"/>
      </w:pPr>
      <w:r>
        <w:rPr>
          <w:b w:val="0"/>
          <w:sz w:val="21"/>
        </w:rPr>
        <w:t xml:space="preserve">7.7   </w:t>
      </w:r>
      <w:r>
        <w:rPr>
          <w:b w:val="0"/>
          <w:sz w:val="21"/>
        </w:rPr>
        <w:t>Latency</w:t>
      </w:r>
    </w:p>
    <w:p>
      <w:pPr>
        <w:spacing w:after="40"/>
        <w:ind w:left="0"/>
      </w:pPr>
      <w:r>
        <w:rPr>
          <w:b/>
          <w:sz w:val="21"/>
        </w:rPr>
        <w:t xml:space="preserve">8   </w:t>
      </w:r>
      <w:r>
        <w:rPr>
          <w:b/>
          <w:sz w:val="21"/>
        </w:rPr>
        <w:t>Stage 2: Editing Within the Predicted Region</w:t>
      </w:r>
    </w:p>
    <w:p>
      <w:pPr>
        <w:spacing w:after="40"/>
        <w:ind w:left="0"/>
      </w:pPr>
      <w:r>
        <w:rPr>
          <w:b/>
          <w:sz w:val="21"/>
        </w:rPr>
        <w:t xml:space="preserve">9   </w:t>
      </w:r>
      <w:r>
        <w:rPr>
          <w:b/>
          <w:sz w:val="21"/>
        </w:rPr>
        <w:t>Validation and Corrective Actions</w:t>
      </w:r>
    </w:p>
    <w:p>
      <w:pPr>
        <w:spacing w:after="40"/>
        <w:ind w:left="0"/>
      </w:pPr>
      <w:r>
        <w:rPr>
          <w:b/>
          <w:sz w:val="21"/>
        </w:rPr>
        <w:t xml:space="preserve">10   </w:t>
      </w:r>
      <w:r>
        <w:rPr>
          <w:b/>
          <w:sz w:val="21"/>
        </w:rPr>
        <w:t>Limitations</w:t>
      </w:r>
    </w:p>
    <w:p>
      <w:pPr>
        <w:spacing w:after="40"/>
        <w:ind w:left="0"/>
      </w:pPr>
      <w:r>
        <w:rPr>
          <w:b/>
          <w:sz w:val="21"/>
        </w:rPr>
        <w:t xml:space="preserve">11   </w:t>
      </w:r>
      <w:r>
        <w:rPr>
          <w:b/>
          <w:sz w:val="21"/>
        </w:rPr>
        <w:t>Conclusion and Future Work</w:t>
      </w:r>
    </w:p>
    <w:p>
      <w:pPr>
        <w:spacing w:after="40"/>
        <w:ind w:left="0"/>
      </w:pPr>
      <w:r>
        <w:rPr>
          <w:b/>
          <w:sz w:val="21"/>
        </w:rPr>
        <w:t xml:space="preserve">A   </w:t>
      </w:r>
      <w:r>
        <w:rPr>
          <w:b/>
          <w:sz w:val="21"/>
        </w:rPr>
        <w:t>Appendix A — Complete Configuration</w:t>
      </w:r>
    </w:p>
    <w:p>
      <w:pPr>
        <w:spacing w:after="40"/>
        <w:ind w:left="0"/>
      </w:pPr>
      <w:r>
        <w:rPr>
          <w:b/>
          <w:sz w:val="21"/>
        </w:rPr>
        <w:t xml:space="preserve">B   </w:t>
      </w:r>
      <w:r>
        <w:rPr>
          <w:b/>
          <w:sz w:val="21"/>
        </w:rPr>
        <w:t>Appendix B — Reproduction</w:t>
      </w:r>
    </w:p>
    <w:p>
      <w:r>
        <w:br w:type="page"/>
      </w:r>
    </w:p>
    <w:p>
      <w:pPr>
        <w:pStyle w:val="Heading1"/>
      </w:pPr>
      <w:r>
        <w:t>Abstract</w:t>
      </w:r>
    </w:p>
    <w:p>
      <w:pPr>
        <w:spacing w:after="120"/>
        <w:jc w:val="both"/>
      </w:pPr>
      <w:r>
        <w:rPr>
          <w:b w:val="0"/>
          <w:i w:val="0"/>
          <w:sz w:val="22"/>
        </w:rPr>
        <w:t>Instruction-guided image editors apply a diffusion model to the whole frame and rely on the model to decide, implicitly, which pixels should change. The base paper for this work, AdaptEdit (arXiv:2604.23763), makes that decision explicit through a learned MaskPredictor, and states in its own limitations section the case it cannot address: edits that add an object where no source region exists. AdaptEdit reports no mask IoU, and at 20.43 billion frozen parameters with approximately 5.0 billion trainable it cannot be reproduced on available hardware.</w:t>
      </w:r>
    </w:p>
    <w:p>
      <w:pPr>
        <w:spacing w:after="120"/>
        <w:jc w:val="both"/>
      </w:pPr>
      <w:r>
        <w:rPr>
          <w:b w:val="0"/>
          <w:i w:val="0"/>
          <w:sz w:val="22"/>
        </w:rPr>
        <w:t>This work reimplements its mechanism at a scale that can be run and verified, and supplies the measurement the base paper omits. A 4.69 million parameter head predicts a spatial field of coefficients over 32 frozen FastSAM prototypes, conditioned on a CLIP text embedding. Trained on 8,306 MagicBrush turns on a single Apple M5, it attains IoU 0.2065 ± 0.0072 across 12 seeds on 503 held-out turns, exceeding CLIPSeg (0.1849, 150.7 million parameters) and the human annotations distributed with MagicBrush (0.1511), at 32 times fewer trainable parameters and 10.3 times lower per-instruction latency.</w:t>
      </w:r>
    </w:p>
    <w:p>
      <w:pPr>
        <w:spacing w:after="120"/>
        <w:jc w:val="both"/>
      </w:pPr>
      <w:r>
        <w:rPr>
          <w:b w:val="0"/>
          <w:i w:val="0"/>
          <w:sz w:val="22"/>
        </w:rPr>
        <w:t>The principal contribution is a negative and quantitative one. Fitting coefficients directly to ground truth by least squares bounds the IoU attainable by any predictor over this basis: 0.212 for insertion against 0.433 for removal. Insertion, the case this work addresses, carries the lowest ceiling because prototypes trained to segment objects span empty space poorly. The present model reaches 56 percent of that bound. The remaining shortfall is representational rather than statistical, and additional data cannot close it.</w:t>
      </w:r>
    </w:p>
    <w:p>
      <w:pPr>
        <w:pStyle w:val="Heading1"/>
      </w:pPr>
      <w:r>
        <w:t>1  Introduction</w:t>
      </w:r>
    </w:p>
    <w:p>
      <w:pPr>
        <w:spacing w:after="120"/>
        <w:jc w:val="both"/>
      </w:pPr>
      <w:r>
        <w:rPr>
          <w:b w:val="0"/>
          <w:i w:val="0"/>
          <w:sz w:val="22"/>
        </w:rPr>
        <w:t>An editor is told what to change. It is never told where. Systems like InstructPix2Pix denoise the whole frame and leave the region implicit, which costs twice over: the edit lands weakly, and unrelated parts of the image drift.</w:t>
      </w:r>
    </w:p>
    <w:p>
      <w:pPr>
        <w:spacing w:after="120"/>
        <w:jc w:val="both"/>
      </w:pPr>
      <w:r>
        <w:rPr>
          <w:b w:val="0"/>
          <w:i w:val="0"/>
          <w:sz w:val="22"/>
        </w:rPr>
        <w:t>So predict the region first, then gate the editor to it. Localization, then editing. This report is about localization; Section 8 checks that it is worth doing.</w:t>
      </w:r>
    </w:p>
    <w:p>
      <w:pPr>
        <w:spacing w:after="120"/>
        <w:jc w:val="both"/>
      </w:pPr>
      <w:r>
        <w:rPr>
          <w:b w:val="0"/>
          <w:i w:val="0"/>
          <w:sz w:val="22"/>
        </w:rPr>
        <w:t>One case makes the problem hard. “Put a hat on the dog” names something that is not in the picture. There is no source region to find, and every method that works by pointing at visible content fails here.</w:t>
      </w:r>
    </w:p>
    <w:p>
      <w:pPr>
        <w:pStyle w:val="Heading2"/>
      </w:pPr>
      <w:r>
        <w:t>1.1  What we build</w:t>
      </w:r>
    </w:p>
    <w:p>
      <w:pPr>
        <w:spacing w:after="120"/>
        <w:jc w:val="both"/>
      </w:pPr>
      <w:r>
        <w:rPr>
          <w:b w:val="0"/>
          <w:i w:val="0"/>
          <w:sz w:val="22"/>
        </w:rPr>
        <w:t>A 4.69 M parameter head. It takes a CLIP embedding of the instruction and 32 frozen FastSAM prototypes, and predicts a 20 × 20 field of coefficients over those prototypes. The weighted sum is the mask. Nothing else trains.</w:t>
      </w:r>
    </w:p>
    <w:p>
      <w:pPr>
        <w:spacing w:after="60"/>
      </w:pPr>
      <w:r>
        <w:rPr>
          <w:i/>
          <w:color w:val="5A5852"/>
          <w:sz w:val="19"/>
        </w:rPr>
        <w:t>Table 1. The system in one view.</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3888"/>
            <w:tcBorders>
              <w:bottom w:val="single" w:sz="6" w:color="1B1A17"/>
            </w:tcBorders>
          </w:tcPr>
          <w:p>
            <w:pPr>
              <w:spacing w:before="40" w:after="40"/>
              <w:jc w:val="left"/>
            </w:pPr>
            <w:r/>
            <w:r>
              <w:rPr>
                <w:rFonts w:ascii="Cambria" w:hAnsi="Cambria"/>
                <w:b/>
                <w:sz w:val="19"/>
              </w:rPr>
              <w:t>Stage</w:t>
            </w:r>
          </w:p>
        </w:tc>
        <w:tc>
          <w:tcPr>
            <w:tcW w:type="dxa" w:w="2160"/>
            <w:tcBorders>
              <w:bottom w:val="single" w:sz="6" w:color="1B1A17"/>
            </w:tcBorders>
          </w:tcPr>
          <w:p>
            <w:pPr>
              <w:spacing w:before="40" w:after="40"/>
              <w:jc w:val="right"/>
            </w:pPr>
            <w:r/>
            <w:r>
              <w:rPr>
                <w:rFonts w:ascii="Cambria" w:hAnsi="Cambria"/>
                <w:b/>
                <w:sz w:val="19"/>
              </w:rPr>
              <w:t>Runs</w:t>
            </w:r>
          </w:p>
        </w:tc>
        <w:tc>
          <w:tcPr>
            <w:tcW w:type="dxa" w:w="1584"/>
            <w:tcBorders>
              <w:bottom w:val="single" w:sz="6" w:color="1B1A17"/>
            </w:tcBorders>
          </w:tcPr>
          <w:p>
            <w:pPr>
              <w:spacing w:before="40" w:after="40"/>
              <w:jc w:val="right"/>
            </w:pPr>
            <w:r/>
            <w:r>
              <w:rPr>
                <w:rFonts w:ascii="Cambria" w:hAnsi="Cambria"/>
                <w:b/>
                <w:sz w:val="19"/>
              </w:rPr>
              <w:t>Cost</w:t>
            </w:r>
          </w:p>
        </w:tc>
        <w:tc>
          <w:tcPr>
            <w:tcW w:type="dxa" w:w="1872"/>
            <w:tcBorders>
              <w:bottom w:val="single" w:sz="6" w:color="1B1A17"/>
            </w:tcBorders>
          </w:tcPr>
          <w:p>
            <w:pPr>
              <w:spacing w:before="40" w:after="40"/>
              <w:jc w:val="right"/>
            </w:pPr>
            <w:r/>
            <w:r>
              <w:rPr>
                <w:rFonts w:ascii="Cambria" w:hAnsi="Cambria"/>
                <w:b/>
                <w:sz w:val="19"/>
              </w:rPr>
              <w:t>Trained?</w:t>
            </w:r>
          </w:p>
        </w:tc>
      </w:tr>
      <w:tr>
        <w:tc>
          <w:tcPr>
            <w:tcW w:type="dxa" w:w="3888"/>
          </w:tcPr>
          <w:p>
            <w:pPr>
              <w:spacing w:before="40" w:after="40"/>
              <w:jc w:val="left"/>
            </w:pPr>
            <w:r/>
            <w:r>
              <w:rPr>
                <w:rFonts w:ascii="Cambria" w:hAnsi="Cambria"/>
                <w:b w:val="0"/>
                <w:sz w:val="19"/>
              </w:rPr>
              <w:t>FastSAM backbone → 32 prototypes</w:t>
            </w:r>
          </w:p>
        </w:tc>
        <w:tc>
          <w:tcPr>
            <w:tcW w:type="dxa" w:w="2160"/>
          </w:tcPr>
          <w:p>
            <w:pPr>
              <w:spacing w:before="40" w:after="40"/>
              <w:jc w:val="right"/>
            </w:pPr>
            <w:r/>
            <w:r>
              <w:rPr>
                <w:rFonts w:ascii="Cambria" w:hAnsi="Cambria"/>
                <w:b w:val="0"/>
                <w:sz w:val="19"/>
              </w:rPr>
              <w:t>once per image</w:t>
            </w:r>
          </w:p>
        </w:tc>
        <w:tc>
          <w:tcPr>
            <w:tcW w:type="dxa" w:w="1584"/>
          </w:tcPr>
          <w:p>
            <w:pPr>
              <w:spacing w:before="40" w:after="40"/>
              <w:jc w:val="right"/>
            </w:pPr>
            <w:r/>
            <w:r>
              <w:rPr>
                <w:rFonts w:ascii="Cambria" w:hAnsi="Cambria"/>
                <w:b w:val="0"/>
                <w:sz w:val="19"/>
              </w:rPr>
              <w:t>33.6 ms</w:t>
            </w:r>
          </w:p>
        </w:tc>
        <w:tc>
          <w:tcPr>
            <w:tcW w:type="dxa" w:w="1872"/>
          </w:tcPr>
          <w:p>
            <w:pPr>
              <w:spacing w:before="40" w:after="40"/>
              <w:jc w:val="right"/>
            </w:pPr>
            <w:r/>
            <w:r>
              <w:rPr>
                <w:rFonts w:ascii="Cambria" w:hAnsi="Cambria"/>
                <w:b w:val="0"/>
                <w:sz w:val="19"/>
              </w:rPr>
              <w:t>frozen</w:t>
            </w:r>
          </w:p>
        </w:tc>
      </w:tr>
      <w:tr>
        <w:tc>
          <w:tcPr>
            <w:tcW w:type="dxa" w:w="3888"/>
          </w:tcPr>
          <w:p>
            <w:pPr>
              <w:spacing w:before="40" w:after="40"/>
              <w:jc w:val="left"/>
            </w:pPr>
            <w:r/>
            <w:r>
              <w:rPr>
                <w:rFonts w:ascii="Cambria" w:hAnsi="Cambria"/>
                <w:b w:val="0"/>
                <w:sz w:val="19"/>
              </w:rPr>
              <w:t>CLIP text encoder → 512-d</w:t>
            </w:r>
          </w:p>
        </w:tc>
        <w:tc>
          <w:tcPr>
            <w:tcW w:type="dxa" w:w="2160"/>
          </w:tcPr>
          <w:p>
            <w:pPr>
              <w:spacing w:before="40" w:after="40"/>
              <w:jc w:val="right"/>
            </w:pPr>
            <w:r/>
            <w:r>
              <w:rPr>
                <w:rFonts w:ascii="Cambria" w:hAnsi="Cambria"/>
                <w:b w:val="0"/>
                <w:sz w:val="19"/>
              </w:rPr>
              <w:t>once per instruction</w:t>
            </w:r>
          </w:p>
        </w:tc>
        <w:tc>
          <w:tcPr>
            <w:tcW w:type="dxa" w:w="1584"/>
          </w:tcPr>
          <w:p>
            <w:pPr>
              <w:spacing w:before="40" w:after="40"/>
              <w:jc w:val="right"/>
            </w:pPr>
            <w:r/>
            <w:r>
              <w:rPr>
                <w:rFonts w:ascii="Cambria" w:hAnsi="Cambria"/>
                <w:b w:val="0"/>
                <w:sz w:val="19"/>
              </w:rPr>
              <w:t>included below</w:t>
            </w:r>
          </w:p>
        </w:tc>
        <w:tc>
          <w:tcPr>
            <w:tcW w:type="dxa" w:w="1872"/>
          </w:tcPr>
          <w:p>
            <w:pPr>
              <w:spacing w:before="40" w:after="40"/>
              <w:jc w:val="right"/>
            </w:pPr>
            <w:r/>
            <w:r>
              <w:rPr>
                <w:rFonts w:ascii="Cambria" w:hAnsi="Cambria"/>
                <w:b w:val="0"/>
                <w:sz w:val="19"/>
              </w:rPr>
              <w:t>frozen</w:t>
            </w:r>
          </w:p>
        </w:tc>
      </w:tr>
      <w:tr>
        <w:tc>
          <w:tcPr>
            <w:tcW w:type="dxa" w:w="3888"/>
          </w:tcPr>
          <w:p>
            <w:pPr>
              <w:spacing w:before="40" w:after="40"/>
              <w:jc w:val="left"/>
            </w:pPr>
            <w:r/>
            <w:r>
              <w:rPr>
                <w:rFonts w:ascii="Cambria" w:hAnsi="Cambria"/>
                <w:b w:val="0"/>
                <w:sz w:val="19"/>
              </w:rPr>
              <w:t>Coefficient head → mask</w:t>
            </w:r>
          </w:p>
        </w:tc>
        <w:tc>
          <w:tcPr>
            <w:tcW w:type="dxa" w:w="2160"/>
          </w:tcPr>
          <w:p>
            <w:pPr>
              <w:spacing w:before="40" w:after="40"/>
              <w:jc w:val="right"/>
            </w:pPr>
            <w:r/>
            <w:r>
              <w:rPr>
                <w:rFonts w:ascii="Cambria" w:hAnsi="Cambria"/>
                <w:b w:val="0"/>
                <w:sz w:val="19"/>
              </w:rPr>
              <w:t>once per instruction</w:t>
            </w:r>
          </w:p>
        </w:tc>
        <w:tc>
          <w:tcPr>
            <w:tcW w:type="dxa" w:w="1584"/>
          </w:tcPr>
          <w:p>
            <w:pPr>
              <w:spacing w:before="40" w:after="40"/>
              <w:jc w:val="right"/>
            </w:pPr>
            <w:r/>
            <w:r>
              <w:rPr>
                <w:rFonts w:ascii="Cambria" w:hAnsi="Cambria"/>
                <w:b w:val="0"/>
                <w:sz w:val="19"/>
              </w:rPr>
              <w:t>5.30 ms</w:t>
            </w:r>
          </w:p>
        </w:tc>
        <w:tc>
          <w:tcPr>
            <w:tcW w:type="dxa" w:w="1872"/>
          </w:tcPr>
          <w:p>
            <w:pPr>
              <w:spacing w:before="40" w:after="40"/>
              <w:jc w:val="right"/>
            </w:pPr>
            <w:r/>
            <w:r>
              <w:rPr>
                <w:rFonts w:ascii="Cambria" w:hAnsi="Cambria"/>
                <w:b w:val="0"/>
                <w:sz w:val="19"/>
              </w:rPr>
              <w:t>4.69 M params</w:t>
            </w:r>
          </w:p>
        </w:tc>
      </w:tr>
    </w:tbl>
    <w:p>
      <w:pPr>
        <w:spacing w:after="80"/>
      </w:pPr>
    </w:p>
    <w:p>
      <w:pPr>
        <w:pStyle w:val="Heading2"/>
      </w:pPr>
      <w:r>
        <w:t>1.2  Why this design</w:t>
      </w:r>
    </w:p>
    <w:p>
      <w:pPr>
        <w:spacing w:after="120"/>
        <w:jc w:val="both"/>
      </w:pPr>
      <w:r>
        <w:rPr>
          <w:b w:val="0"/>
          <w:i w:val="0"/>
          <w:sz w:val="22"/>
        </w:rPr>
        <w:t>Three choices, each forced by something we measured.</w:t>
      </w:r>
    </w:p>
    <w:p>
      <w:pPr>
        <w:spacing w:after="60"/>
      </w:pPr>
      <w:r>
        <w:rPr>
          <w:i/>
          <w:color w:val="5A5852"/>
          <w:sz w:val="19"/>
        </w:rPr>
        <w:t>Table 2. Design decisions and the evidence behind each.</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2448"/>
            <w:tcBorders>
              <w:bottom w:val="single" w:sz="6" w:color="1B1A17"/>
            </w:tcBorders>
          </w:tcPr>
          <w:p>
            <w:pPr>
              <w:spacing w:before="40" w:after="40"/>
              <w:jc w:val="left"/>
            </w:pPr>
            <w:r/>
            <w:r>
              <w:rPr>
                <w:rFonts w:ascii="Cambria" w:hAnsi="Cambria"/>
                <w:b/>
                <w:sz w:val="19"/>
              </w:rPr>
              <w:t>Choice</w:t>
            </w:r>
          </w:p>
        </w:tc>
        <w:tc>
          <w:tcPr>
            <w:tcW w:type="dxa" w:w="4320"/>
            <w:tcBorders>
              <w:bottom w:val="single" w:sz="6" w:color="1B1A17"/>
            </w:tcBorders>
          </w:tcPr>
          <w:p>
            <w:pPr>
              <w:spacing w:before="40" w:after="40"/>
              <w:jc w:val="left"/>
            </w:pPr>
            <w:r/>
            <w:r>
              <w:rPr>
                <w:rFonts w:ascii="Cambria" w:hAnsi="Cambria"/>
                <w:b/>
                <w:sz w:val="19"/>
              </w:rPr>
              <w:t>Why</w:t>
            </w:r>
          </w:p>
        </w:tc>
        <w:tc>
          <w:tcPr>
            <w:tcW w:type="dxa" w:w="2736"/>
            <w:tcBorders>
              <w:bottom w:val="single" w:sz="6" w:color="1B1A17"/>
            </w:tcBorders>
          </w:tcPr>
          <w:p>
            <w:pPr>
              <w:spacing w:before="40" w:after="40"/>
              <w:jc w:val="left"/>
            </w:pPr>
            <w:r/>
            <w:r>
              <w:rPr>
                <w:rFonts w:ascii="Cambria" w:hAnsi="Cambria"/>
                <w:b/>
                <w:sz w:val="19"/>
              </w:rPr>
              <w:t>Evidence</w:t>
            </w:r>
          </w:p>
        </w:tc>
      </w:tr>
      <w:tr>
        <w:tc>
          <w:tcPr>
            <w:tcW w:type="dxa" w:w="2448"/>
          </w:tcPr>
          <w:p>
            <w:pPr>
              <w:spacing w:before="40" w:after="40"/>
              <w:jc w:val="left"/>
            </w:pPr>
            <w:r/>
            <w:r>
              <w:rPr>
                <w:rFonts w:ascii="Cambria" w:hAnsi="Cambria"/>
                <w:b w:val="0"/>
                <w:sz w:val="19"/>
              </w:rPr>
              <w:t>Predict coefficients, do not select a mask</w:t>
            </w:r>
          </w:p>
        </w:tc>
        <w:tc>
          <w:tcPr>
            <w:tcW w:type="dxa" w:w="4320"/>
          </w:tcPr>
          <w:p>
            <w:pPr>
              <w:spacing w:before="40" w:after="40"/>
              <w:jc w:val="left"/>
            </w:pPr>
            <w:r/>
            <w:r>
              <w:rPr>
                <w:rFonts w:ascii="Cambria" w:hAnsi="Cambria"/>
                <w:b w:val="0"/>
                <w:sz w:val="19"/>
              </w:rPr>
              <w:t>Selecting from existing masks can only ever return an object that is already there, so insertion is impossible in principle</w:t>
            </w:r>
          </w:p>
        </w:tc>
        <w:tc>
          <w:tcPr>
            <w:tcW w:type="dxa" w:w="2736"/>
          </w:tcPr>
          <w:p>
            <w:pPr>
              <w:spacing w:before="40" w:after="40"/>
              <w:jc w:val="left"/>
            </w:pPr>
            <w:r/>
            <w:r>
              <w:rPr>
                <w:rFonts w:ascii="Cambria" w:hAnsi="Cambria"/>
                <w:b w:val="0"/>
                <w:sz w:val="19"/>
              </w:rPr>
              <w:t>Exp 01: FastSAM + CLIP selection scores 0 of 7</w:t>
            </w:r>
          </w:p>
        </w:tc>
      </w:tr>
      <w:tr>
        <w:tc>
          <w:tcPr>
            <w:tcW w:type="dxa" w:w="2448"/>
          </w:tcPr>
          <w:p>
            <w:pPr>
              <w:spacing w:before="40" w:after="40"/>
              <w:jc w:val="left"/>
            </w:pPr>
            <w:r/>
            <w:r>
              <w:rPr>
                <w:rFonts w:ascii="Cambria" w:hAnsi="Cambria"/>
                <w:b w:val="0"/>
                <w:sz w:val="19"/>
              </w:rPr>
              <w:t>Freeze both backbones</w:t>
            </w:r>
          </w:p>
        </w:tc>
        <w:tc>
          <w:tcPr>
            <w:tcW w:type="dxa" w:w="4320"/>
          </w:tcPr>
          <w:p>
            <w:pPr>
              <w:spacing w:before="40" w:after="40"/>
              <w:jc w:val="left"/>
            </w:pPr>
            <w:r/>
            <w:r>
              <w:rPr>
                <w:rFonts w:ascii="Cambria" w:hAnsi="Cambria"/>
                <w:b w:val="0"/>
                <w:sz w:val="19"/>
              </w:rPr>
              <w:t>The backbone is the same for every instruction on an image. Freezing it lets us pay for it once and run the head per instruction</w:t>
            </w:r>
          </w:p>
        </w:tc>
        <w:tc>
          <w:tcPr>
            <w:tcW w:type="dxa" w:w="2736"/>
          </w:tcPr>
          <w:p>
            <w:pPr>
              <w:spacing w:before="40" w:after="40"/>
              <w:jc w:val="left"/>
            </w:pPr>
            <w:r/>
            <w:r>
              <w:rPr>
                <w:rFonts w:ascii="Cambria" w:hAnsi="Cambria"/>
                <w:b w:val="0"/>
                <w:sz w:val="19"/>
              </w:rPr>
              <w:t>5.30 ms per instruction against CLIPSeg's 54.3 ms</w:t>
            </w:r>
          </w:p>
        </w:tc>
      </w:tr>
      <w:tr>
        <w:tc>
          <w:tcPr>
            <w:tcW w:type="dxa" w:w="2448"/>
          </w:tcPr>
          <w:p>
            <w:pPr>
              <w:spacing w:before="40" w:after="40"/>
              <w:jc w:val="left"/>
            </w:pPr>
            <w:r/>
            <w:r>
              <w:rPr>
                <w:rFonts w:ascii="Cambria" w:hAnsi="Cambria"/>
                <w:b w:val="0"/>
                <w:sz w:val="19"/>
              </w:rPr>
              <w:t>Derive targets by colour difference</w:t>
            </w:r>
          </w:p>
        </w:tc>
        <w:tc>
          <w:tcPr>
            <w:tcW w:type="dxa" w:w="4320"/>
          </w:tcPr>
          <w:p>
            <w:pPr>
              <w:spacing w:before="40" w:after="40"/>
              <w:jc w:val="left"/>
            </w:pPr>
            <w:r/>
            <w:r>
              <w:rPr>
                <w:rFonts w:ascii="Cambria" w:hAnsi="Cambria"/>
                <w:b w:val="0"/>
                <w:sz w:val="19"/>
              </w:rPr>
              <w:t>The dataset's own masks are 9.1× larger than the real change, so training on them teaches the wrong region</w:t>
            </w:r>
          </w:p>
        </w:tc>
        <w:tc>
          <w:tcPr>
            <w:tcW w:type="dxa" w:w="2736"/>
          </w:tcPr>
          <w:p>
            <w:pPr>
              <w:spacing w:before="40" w:after="40"/>
              <w:jc w:val="left"/>
            </w:pPr>
            <w:r/>
            <w:r>
              <w:rPr>
                <w:rFonts w:ascii="Cambria" w:hAnsi="Cambria"/>
                <w:b w:val="0"/>
                <w:sz w:val="19"/>
              </w:rPr>
              <w:t>Exp 07: 62.4% of frame against 10.3% true</w:t>
            </w:r>
          </w:p>
        </w:tc>
      </w:tr>
      <w:tr>
        <w:tc>
          <w:tcPr>
            <w:tcW w:type="dxa" w:w="2448"/>
          </w:tcPr>
          <w:p>
            <w:pPr>
              <w:spacing w:before="40" w:after="40"/>
              <w:jc w:val="left"/>
            </w:pPr>
            <w:r/>
            <w:r>
              <w:rPr>
                <w:rFonts w:ascii="Cambria" w:hAnsi="Cambria"/>
                <w:b w:val="0"/>
                <w:sz w:val="19"/>
              </w:rPr>
              <w:t>A spatial field, not one global vector</w:t>
            </w:r>
          </w:p>
        </w:tc>
        <w:tc>
          <w:tcPr>
            <w:tcW w:type="dxa" w:w="4320"/>
          </w:tcPr>
          <w:p>
            <w:pPr>
              <w:spacing w:before="40" w:after="40"/>
              <w:jc w:val="left"/>
            </w:pPr>
            <w:r/>
            <w:r>
              <w:rPr>
                <w:rFonts w:ascii="Cambria" w:hAnsi="Cambria"/>
                <w:b w:val="0"/>
                <w:sz w:val="19"/>
              </w:rPr>
              <w:t>One vector forces every location to use the same prototype mixture, which suits objects and not empty space</w:t>
            </w:r>
          </w:p>
        </w:tc>
        <w:tc>
          <w:tcPr>
            <w:tcW w:type="dxa" w:w="2736"/>
          </w:tcPr>
          <w:p>
            <w:pPr>
              <w:spacing w:before="40" w:after="40"/>
              <w:jc w:val="left"/>
            </w:pPr>
            <w:r/>
            <w:r>
              <w:rPr>
                <w:rFonts w:ascii="Cambria" w:hAnsi="Cambria"/>
                <w:b w:val="0"/>
                <w:sz w:val="19"/>
              </w:rPr>
              <w:t>Insert 0.1186 against 0.0972 for the global head</w:t>
            </w:r>
          </w:p>
        </w:tc>
      </w:tr>
    </w:tbl>
    <w:p>
      <w:pPr>
        <w:spacing w:after="80"/>
      </w:pPr>
    </w:p>
    <w:p>
      <w:pPr>
        <w:pStyle w:val="Heading1"/>
      </w:pPr>
      <w:r>
        <w:t>2  Literature Review</w:t>
      </w:r>
    </w:p>
    <w:p>
      <w:pPr>
        <w:spacing w:after="120"/>
        <w:jc w:val="both"/>
      </w:pPr>
      <w:r>
        <w:rPr>
          <w:b w:val="0"/>
          <w:i w:val="0"/>
          <w:sz w:val="22"/>
        </w:rPr>
        <w:t>We surveyed 45 works from 2024 to 2026; the full matrix is a companion document. Sorting them by what each does with the edit region, not by method, is more revealing than reading them in date order.</w:t>
      </w:r>
    </w:p>
    <w:p>
      <w:pPr>
        <w:spacing w:after="60"/>
      </w:pPr>
      <w:r>
        <w:rPr>
          <w:i/>
          <w:color w:val="5A5852"/>
          <w:sz w:val="19"/>
        </w:rPr>
        <w:t>Table 3. Surveyed works classified by their treatment of the edit region.</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3456"/>
            <w:tcBorders>
              <w:bottom w:val="single" w:sz="6" w:color="1B1A17"/>
            </w:tcBorders>
          </w:tcPr>
          <w:p>
            <w:pPr>
              <w:spacing w:before="40" w:after="40"/>
              <w:jc w:val="left"/>
            </w:pPr>
            <w:r/>
            <w:r>
              <w:rPr>
                <w:rFonts w:ascii="Cambria" w:hAnsi="Cambria"/>
                <w:b/>
                <w:sz w:val="19"/>
              </w:rPr>
              <w:t>Posture</w:t>
            </w:r>
          </w:p>
        </w:tc>
        <w:tc>
          <w:tcPr>
            <w:tcW w:type="dxa" w:w="1008"/>
            <w:tcBorders>
              <w:bottom w:val="single" w:sz="6" w:color="1B1A17"/>
            </w:tcBorders>
          </w:tcPr>
          <w:p>
            <w:pPr>
              <w:spacing w:before="40" w:after="40"/>
              <w:jc w:val="right"/>
            </w:pPr>
            <w:r/>
            <w:r>
              <w:rPr>
                <w:rFonts w:ascii="Cambria" w:hAnsi="Cambria"/>
                <w:b/>
                <w:sz w:val="19"/>
              </w:rPr>
              <w:t>Works</w:t>
            </w:r>
          </w:p>
        </w:tc>
        <w:tc>
          <w:tcPr>
            <w:tcW w:type="dxa" w:w="2448"/>
            <w:tcBorders>
              <w:bottom w:val="single" w:sz="6" w:color="1B1A17"/>
            </w:tcBorders>
          </w:tcPr>
          <w:p>
            <w:pPr>
              <w:spacing w:before="40" w:after="40"/>
              <w:jc w:val="right"/>
            </w:pPr>
            <w:r/>
            <w:r>
              <w:rPr>
                <w:rFonts w:ascii="Cambria" w:hAnsi="Cambria"/>
                <w:b/>
                <w:sz w:val="19"/>
              </w:rPr>
              <w:t>Representative</w:t>
            </w:r>
          </w:p>
        </w:tc>
        <w:tc>
          <w:tcPr>
            <w:tcW w:type="dxa" w:w="2880"/>
            <w:tcBorders>
              <w:bottom w:val="single" w:sz="6" w:color="1B1A17"/>
            </w:tcBorders>
          </w:tcPr>
          <w:p>
            <w:pPr>
              <w:spacing w:before="40" w:after="40"/>
              <w:jc w:val="right"/>
            </w:pPr>
            <w:r/>
            <w:r>
              <w:rPr>
                <w:rFonts w:ascii="Cambria" w:hAnsi="Cambria"/>
                <w:b/>
                <w:sz w:val="19"/>
              </w:rPr>
              <w:t>Implication</w:t>
            </w:r>
          </w:p>
        </w:tc>
      </w:tr>
      <w:tr>
        <w:tc>
          <w:tcPr>
            <w:tcW w:type="dxa" w:w="3456"/>
          </w:tcPr>
          <w:p>
            <w:pPr>
              <w:spacing w:before="40" w:after="40"/>
              <w:jc w:val="left"/>
            </w:pPr>
            <w:r/>
            <w:r>
              <w:rPr>
                <w:rFonts w:ascii="Cambria" w:hAnsi="Cambria"/>
                <w:b w:val="0"/>
                <w:sz w:val="19"/>
              </w:rPr>
              <w:t>Consumes a region supplied to it</w:t>
            </w:r>
          </w:p>
        </w:tc>
        <w:tc>
          <w:tcPr>
            <w:tcW w:type="dxa" w:w="1008"/>
          </w:tcPr>
          <w:p>
            <w:pPr>
              <w:spacing w:before="40" w:after="40"/>
              <w:jc w:val="right"/>
            </w:pPr>
            <w:r/>
            <w:r>
              <w:rPr>
                <w:rFonts w:ascii="Cambria" w:hAnsi="Cambria"/>
                <w:b w:val="0"/>
                <w:sz w:val="19"/>
              </w:rPr>
              <w:t>17</w:t>
            </w:r>
          </w:p>
        </w:tc>
        <w:tc>
          <w:tcPr>
            <w:tcW w:type="dxa" w:w="2448"/>
          </w:tcPr>
          <w:p>
            <w:pPr>
              <w:spacing w:before="40" w:after="40"/>
              <w:jc w:val="right"/>
            </w:pPr>
            <w:r/>
            <w:r>
              <w:rPr>
                <w:rFonts w:ascii="Cambria" w:hAnsi="Cambria"/>
                <w:b w:val="0"/>
                <w:sz w:val="19"/>
              </w:rPr>
              <w:t>NEP, MaskFlow, LazyDiffusion</w:t>
            </w:r>
          </w:p>
        </w:tc>
        <w:tc>
          <w:tcPr>
            <w:tcW w:type="dxa" w:w="2880"/>
          </w:tcPr>
          <w:p>
            <w:pPr>
              <w:spacing w:before="40" w:after="40"/>
              <w:jc w:val="right"/>
            </w:pPr>
            <w:r/>
            <w:r>
              <w:rPr>
                <w:rFonts w:ascii="Cambria" w:hAnsi="Cambria"/>
                <w:b w:val="0"/>
                <w:sz w:val="19"/>
              </w:rPr>
              <w:t>Demand established; supply assumed</w:t>
            </w:r>
          </w:p>
        </w:tc>
      </w:tr>
      <w:tr>
        <w:tc>
          <w:tcPr>
            <w:tcW w:type="dxa" w:w="3456"/>
          </w:tcPr>
          <w:p>
            <w:pPr>
              <w:spacing w:before="40" w:after="40"/>
              <w:jc w:val="left"/>
            </w:pPr>
            <w:r/>
            <w:r>
              <w:rPr>
                <w:rFonts w:ascii="Cambria" w:hAnsi="Cambria"/>
                <w:b w:val="0"/>
                <w:sz w:val="19"/>
              </w:rPr>
              <w:t>Reads a region from model internals</w:t>
            </w:r>
          </w:p>
        </w:tc>
        <w:tc>
          <w:tcPr>
            <w:tcW w:type="dxa" w:w="1008"/>
          </w:tcPr>
          <w:p>
            <w:pPr>
              <w:spacing w:before="40" w:after="40"/>
              <w:jc w:val="right"/>
            </w:pPr>
            <w:r/>
            <w:r>
              <w:rPr>
                <w:rFonts w:ascii="Cambria" w:hAnsi="Cambria"/>
                <w:b w:val="0"/>
                <w:sz w:val="19"/>
              </w:rPr>
              <w:t>11</w:t>
            </w:r>
          </w:p>
        </w:tc>
        <w:tc>
          <w:tcPr>
            <w:tcW w:type="dxa" w:w="2448"/>
          </w:tcPr>
          <w:p>
            <w:pPr>
              <w:spacing w:before="40" w:after="40"/>
              <w:jc w:val="right"/>
            </w:pPr>
            <w:r/>
            <w:r>
              <w:rPr>
                <w:rFonts w:ascii="Cambria" w:hAnsi="Cambria"/>
                <w:b w:val="0"/>
                <w:sz w:val="19"/>
              </w:rPr>
              <w:t>WhereEdit, RegionE</w:t>
            </w:r>
          </w:p>
        </w:tc>
        <w:tc>
          <w:tcPr>
            <w:tcW w:type="dxa" w:w="2880"/>
          </w:tcPr>
          <w:p>
            <w:pPr>
              <w:spacing w:before="40" w:after="40"/>
              <w:jc w:val="right"/>
            </w:pPr>
            <w:r/>
            <w:r>
              <w:rPr>
                <w:rFonts w:ascii="Cambria" w:hAnsi="Cambria"/>
                <w:b w:val="0"/>
                <w:sz w:val="19"/>
              </w:rPr>
              <w:t>Unsupervised; blind to empty space</w:t>
            </w:r>
          </w:p>
        </w:tc>
      </w:tr>
      <w:tr>
        <w:tc>
          <w:tcPr>
            <w:tcW w:type="dxa" w:w="3456"/>
          </w:tcPr>
          <w:p>
            <w:pPr>
              <w:spacing w:before="40" w:after="40"/>
              <w:jc w:val="left"/>
            </w:pPr>
            <w:r/>
            <w:r>
              <w:rPr>
                <w:rFonts w:ascii="Cambria" w:hAnsi="Cambria"/>
                <w:b/>
                <w:sz w:val="19"/>
              </w:rPr>
              <w:t>Predicts a region from the instruction</w:t>
            </w:r>
          </w:p>
        </w:tc>
        <w:tc>
          <w:tcPr>
            <w:tcW w:type="dxa" w:w="1008"/>
          </w:tcPr>
          <w:p>
            <w:pPr>
              <w:spacing w:before="40" w:after="40"/>
              <w:jc w:val="right"/>
            </w:pPr>
            <w:r/>
            <w:r>
              <w:rPr>
                <w:rFonts w:ascii="Cambria" w:hAnsi="Cambria"/>
                <w:b/>
                <w:sz w:val="19"/>
              </w:rPr>
              <w:t>2</w:t>
            </w:r>
          </w:p>
        </w:tc>
        <w:tc>
          <w:tcPr>
            <w:tcW w:type="dxa" w:w="2448"/>
          </w:tcPr>
          <w:p>
            <w:pPr>
              <w:spacing w:before="40" w:after="40"/>
              <w:jc w:val="right"/>
            </w:pPr>
            <w:r/>
            <w:r>
              <w:rPr>
                <w:rFonts w:ascii="Cambria" w:hAnsi="Cambria"/>
                <w:b/>
                <w:sz w:val="19"/>
              </w:rPr>
              <w:t>AdaptEdit, MADiff</w:t>
            </w:r>
          </w:p>
        </w:tc>
        <w:tc>
          <w:tcPr>
            <w:tcW w:type="dxa" w:w="2880"/>
          </w:tcPr>
          <w:p>
            <w:pPr>
              <w:spacing w:before="40" w:after="40"/>
              <w:jc w:val="right"/>
            </w:pPr>
            <w:r/>
            <w:r>
              <w:rPr>
                <w:rFonts w:ascii="Cambria" w:hAnsi="Cambria"/>
                <w:b/>
                <w:sz w:val="19"/>
              </w:rPr>
              <w:t>The formulation adopted here</w:t>
            </w:r>
          </w:p>
        </w:tc>
      </w:tr>
      <w:tr>
        <w:tc>
          <w:tcPr>
            <w:tcW w:type="dxa" w:w="3456"/>
          </w:tcPr>
          <w:p>
            <w:pPr>
              <w:spacing w:before="40" w:after="40"/>
              <w:jc w:val="left"/>
            </w:pPr>
            <w:r/>
            <w:r>
              <w:rPr>
                <w:rFonts w:ascii="Cambria" w:hAnsi="Cambria"/>
                <w:b w:val="0"/>
                <w:sz w:val="19"/>
              </w:rPr>
              <w:t>Scores or frames the problem</w:t>
            </w:r>
          </w:p>
        </w:tc>
        <w:tc>
          <w:tcPr>
            <w:tcW w:type="dxa" w:w="1008"/>
          </w:tcPr>
          <w:p>
            <w:pPr>
              <w:spacing w:before="40" w:after="40"/>
              <w:jc w:val="right"/>
            </w:pPr>
            <w:r/>
            <w:r>
              <w:rPr>
                <w:rFonts w:ascii="Cambria" w:hAnsi="Cambria"/>
                <w:b w:val="0"/>
                <w:sz w:val="19"/>
              </w:rPr>
              <w:t>15</w:t>
            </w:r>
          </w:p>
        </w:tc>
        <w:tc>
          <w:tcPr>
            <w:tcW w:type="dxa" w:w="2448"/>
          </w:tcPr>
          <w:p>
            <w:pPr>
              <w:spacing w:before="40" w:after="40"/>
              <w:jc w:val="right"/>
            </w:pPr>
            <w:r/>
            <w:r>
              <w:rPr>
                <w:rFonts w:ascii="Cambria" w:hAnsi="Cambria"/>
                <w:b w:val="0"/>
                <w:sz w:val="19"/>
              </w:rPr>
              <w:t>LocateEdit-Bench, surveys</w:t>
            </w:r>
          </w:p>
        </w:tc>
        <w:tc>
          <w:tcPr>
            <w:tcW w:type="dxa" w:w="2880"/>
          </w:tcPr>
          <w:p>
            <w:pPr>
              <w:spacing w:before="40" w:after="40"/>
              <w:jc w:val="right"/>
            </w:pPr>
            <w:r/>
            <w:r>
              <w:rPr>
                <w:rFonts w:ascii="Cambria" w:hAnsi="Cambria"/>
                <w:b w:val="0"/>
                <w:sz w:val="19"/>
              </w:rPr>
              <w:t>None scores a predicted region</w:t>
            </w:r>
          </w:p>
        </w:tc>
      </w:tr>
    </w:tbl>
    <w:p>
      <w:pPr>
        <w:spacing w:after="80"/>
      </w:pPr>
    </w:p>
    <w:p>
      <w:pPr>
        <w:spacing w:after="120"/>
        <w:jc w:val="both"/>
      </w:pPr>
      <w:r>
        <w:rPr>
          <w:b w:val="0"/>
          <w:i w:val="0"/>
          <w:sz w:val="22"/>
        </w:rPr>
        <w:t>Two of the 45 train a model to produce the region from language, and one of those only works on fashion images. Four gaps follow: producing a region is unsolved while editing given one is not; the region is often not an object; supervision binds harder than architecture; and nothing scores a predicted region.</w:t>
      </w:r>
    </w:p>
    <w:p>
      <w:pPr>
        <w:pStyle w:val="Heading1"/>
      </w:pPr>
      <w:r>
        <w:t>3  Problem Statement and Objectives</w:t>
      </w:r>
    </w:p>
    <w:p>
      <w:pPr>
        <w:spacing w:after="120"/>
        <w:jc w:val="both"/>
      </w:pPr>
      <w:r>
        <w:rPr>
          <w:b w:val="0"/>
          <w:i w:val="0"/>
          <w:sz w:val="22"/>
        </w:rPr>
        <w:t>Given an image and an editing instruction, predict a binary mask of the pixels that should change — including when no matching object exists in the image.</w:t>
      </w:r>
    </w:p>
    <w:p>
      <w:pPr>
        <w:pStyle w:val="ListNumber"/>
        <w:spacing w:after="60"/>
      </w:pPr>
      <w:r>
        <w:rPr>
          <w:sz w:val="22"/>
        </w:rPr>
        <w:t>To establish whether an off-the-shelf segmentation and retrieval pipeline is sufficient, and if not, to characterise its failure modes.</w:t>
      </w:r>
    </w:p>
    <w:p>
      <w:pPr>
        <w:pStyle w:val="ListNumber"/>
        <w:spacing w:after="60"/>
      </w:pPr>
      <w:r>
        <w:rPr>
          <w:sz w:val="22"/>
        </w:rPr>
        <w:t>To construct supervision for the task that does not depend on human region annotation.</w:t>
      </w:r>
    </w:p>
    <w:p>
      <w:pPr>
        <w:pStyle w:val="ListNumber"/>
        <w:spacing w:after="60"/>
      </w:pPr>
      <w:r>
        <w:rPr>
          <w:sz w:val="22"/>
        </w:rPr>
        <w:t>To design and train a predictor operating over frozen features, within the compute available on a single laptop.</w:t>
      </w:r>
    </w:p>
    <w:p>
      <w:pPr>
        <w:pStyle w:val="ListNumber"/>
        <w:spacing w:after="60"/>
      </w:pPr>
      <w:r>
        <w:rPr>
          <w:sz w:val="22"/>
        </w:rPr>
        <w:t>To evaluate the predicted region directly, a measurement absent from the base paper and from the benchmarks surveyed.</w:t>
      </w:r>
    </w:p>
    <w:p>
      <w:pPr>
        <w:pStyle w:val="ListNumber"/>
        <w:spacing w:after="60"/>
      </w:pPr>
      <w:r>
        <w:rPr>
          <w:sz w:val="22"/>
        </w:rPr>
        <w:t>To determine whether predicting the region improves the resulting edit, and to quantify by how much.</w:t>
      </w:r>
    </w:p>
    <w:p>
      <w:pPr>
        <w:pStyle w:val="ListNumber"/>
        <w:spacing w:after="60"/>
      </w:pPr>
      <w:r>
        <w:rPr>
          <w:sz w:val="22"/>
        </w:rPr>
        <w:t>To establish the upper bound imposed by the chosen representation, and to report the fraction of it attained.</w:t>
      </w:r>
    </w:p>
    <w:p>
      <w:pPr>
        <w:pStyle w:val="Heading1"/>
      </w:pPr>
      <w:r>
        <w:t>4  Methodology</w:t>
      </w:r>
    </w:p>
    <w:p>
      <w:pPr>
        <w:pStyle w:val="Heading2"/>
      </w:pPr>
      <w:r>
        <w:t>4.1  Frozen feature extraction</w:t>
      </w:r>
    </w:p>
    <w:p>
      <w:pPr>
        <w:spacing w:after="120"/>
        <w:jc w:val="both"/>
      </w:pPr>
      <w:r>
        <w:rPr>
          <w:b w:val="0"/>
          <w:i w:val="0"/>
          <w:sz w:val="22"/>
        </w:rPr>
        <w:t>We freeze a YOLOv8x-seg (FastSAM) backbone and use it only as a feature source. It gives 32 mask prototypes at stride 4 — 160 × 160 maps for a 640 × 640 input — plus a 640-d context vector from the SPPF layer. Prototypes are spatial basis functions: any mask is a linear combination of them through a sigmoid. A frozen CLIP encoder turns the instruction into 512 dimensions.</w:t>
      </w:r>
    </w:p>
    <w:p>
      <w:pPr>
        <w:spacing w:after="120"/>
        <w:jc w:val="both"/>
      </w:pPr>
      <w:r>
        <w:rPr>
          <w:b w:val="0"/>
          <w:i w:val="0"/>
          <w:sz w:val="22"/>
        </w:rPr>
        <w:t>We train neither backbone. Only the head learns. That is what makes this run on one laptop, and it is where the parameter and latency numbers in Section 7.7 come from.</w:t>
      </w:r>
    </w:p>
    <w:p>
      <w:pPr>
        <w:pStyle w:val="Heading2"/>
      </w:pPr>
      <w:r>
        <w:t>4.2  Global coefficient head (v1)</w:t>
      </w:r>
    </w:p>
    <w:p>
      <w:pPr>
        <w:spacing w:after="120"/>
        <w:jc w:val="both"/>
      </w:pPr>
      <w:r>
        <w:rPr>
          <w:b w:val="0"/>
          <w:i w:val="0"/>
          <w:sz w:val="22"/>
        </w:rPr>
        <w:t>The first head predicts one 32-d coefficient vector and a bias per image–instruction pair. Text modulates the image context by FiLM; an MLP emits the coefficients; the logits are the prototype-weighted sum. 1,399,073 parameters. The same linear combination applies everywhere in the frame.</w:t>
      </w:r>
    </w:p>
    <w:p>
      <w:pPr>
        <w:pStyle w:val="Heading2"/>
      </w:pPr>
      <w:r>
        <w:t>4.3  Spatial coefficient field (v2)</w:t>
      </w:r>
    </w:p>
    <w:p>
      <w:pPr>
        <w:spacing w:after="120"/>
        <w:jc w:val="both"/>
      </w:pPr>
      <w:r>
        <w:rPr>
          <w:b w:val="0"/>
          <w:i w:val="0"/>
          <w:sz w:val="22"/>
        </w:rPr>
        <w:t>What limits the first head is structural, not a shortage of capacity: a single coefficient vector requires every location to use the same prototype mixture, and a prior experiment found the head saturating at 1.4 million parameters. The second head predicts a 20 × 20 field of coefficients, upsampled bilinearly to prototype resolution, retaining a global branch so that the instruction may still establish an overall prior. The head has 4,693,633 trainable parameters. The hypothesis under test is that a spatially varying combination assists most where the target region is not the extent of a single object, which is the insertion case.</w:t>
      </w:r>
    </w:p>
    <w:p>
      <w:pPr>
        <w:pStyle w:val="Heading2"/>
      </w:pPr>
      <w:r>
        <w:t>4.4  Supervision and loss</w:t>
      </w:r>
    </w:p>
    <w:p>
      <w:pPr>
        <w:spacing w:after="120"/>
        <w:jc w:val="both"/>
      </w:pPr>
      <w:r>
        <w:rPr>
          <w:b w:val="0"/>
          <w:i w:val="0"/>
          <w:sz w:val="22"/>
        </w:rPr>
        <w:t>We minimise BCE plus twice Dice, clipping gradient norm at 1.0.</w:t>
      </w:r>
    </w:p>
    <w:p>
      <w:pPr>
        <w:spacing w:after="120"/>
        <w:jc w:val="both"/>
      </w:pPr>
      <w:r>
        <w:rPr>
          <w:b w:val="0"/>
          <w:i w:val="0"/>
          <w:sz w:val="22"/>
        </w:rPr>
        <w:t>We do not use the MagicBrush annotations as targets. Measured across all 528 development turns, those masks cover 62.4 percent of the frame against a true changed area of 10.3 percent: 9.1 times too large, with precision 15.8 percent, and worst for insertions at 11.9 times. They are regions of interest rather than edit masks. Instead we derive each target from the human-authored source and target pair by CIE76 colour difference in L*a*b* space, thresholded at 12.0 and cleaned by morphological opening and closing with a 5 × 5 kernel followed by removal of connected components below 40 pixels. We reject any sample whose changed area falls outside 0.4 to 45 percent.</w:t>
      </w:r>
    </w:p>
    <w:p>
      <w:pPr>
        <w:pStyle w:val="Heading1"/>
      </w:pPr>
      <w:r>
        <w:t>5  Dataset</w:t>
      </w:r>
    </w:p>
    <w:p>
      <w:pPr>
        <w:spacing w:after="120"/>
        <w:jc w:val="both"/>
      </w:pPr>
      <w:r>
        <w:rPr>
          <w:b w:val="0"/>
          <w:i w:val="0"/>
          <w:sz w:val="22"/>
        </w:rPr>
        <w:t>MagicBrush: all 51 training shards and all 4 development shards, 25 GB of Parquet. Each row holds a source image, a target image, an instruction and a turn index. It is multi-turn, so one photograph yields several successive edits.</w:t>
      </w:r>
    </w:p>
    <w:p>
      <w:pPr>
        <w:spacing w:after="60"/>
      </w:pPr>
      <w:r>
        <w:rPr>
          <w:i/>
          <w:color w:val="5A5852"/>
          <w:sz w:val="19"/>
        </w:rPr>
        <w:t>Table 4. Dataset composition after target derivation and filtering.</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296"/>
        <w:gridCol w:w="1296"/>
        <w:gridCol w:w="1296"/>
        <w:gridCol w:w="1296"/>
        <w:gridCol w:w="1296"/>
        <w:gridCol w:w="1296"/>
        <w:gridCol w:w="1296"/>
      </w:tblGrid>
      <w:tr>
        <w:tc>
          <w:tcPr>
            <w:tcW w:type="dxa" w:w="2736"/>
            <w:tcBorders>
              <w:bottom w:val="single" w:sz="6" w:color="1B1A17"/>
            </w:tcBorders>
          </w:tcPr>
          <w:p>
            <w:pPr>
              <w:spacing w:before="40" w:after="40"/>
              <w:jc w:val="left"/>
            </w:pPr>
            <w:r/>
            <w:r>
              <w:rPr>
                <w:rFonts w:ascii="Cambria" w:hAnsi="Cambria"/>
                <w:b/>
                <w:sz w:val="19"/>
              </w:rPr>
              <w:t>Split</w:t>
            </w:r>
          </w:p>
        </w:tc>
        <w:tc>
          <w:tcPr>
            <w:tcW w:type="dxa" w:w="1152"/>
            <w:tcBorders>
              <w:bottom w:val="single" w:sz="6" w:color="1B1A17"/>
            </w:tcBorders>
          </w:tcPr>
          <w:p>
            <w:pPr>
              <w:spacing w:before="40" w:after="40"/>
              <w:jc w:val="right"/>
            </w:pPr>
            <w:r/>
            <w:r>
              <w:rPr>
                <w:rFonts w:ascii="Cambria" w:hAnsi="Cambria"/>
                <w:b/>
                <w:sz w:val="19"/>
              </w:rPr>
              <w:t>Shards</w:t>
            </w:r>
          </w:p>
        </w:tc>
        <w:tc>
          <w:tcPr>
            <w:tcW w:type="dxa" w:w="1296"/>
            <w:tcBorders>
              <w:bottom w:val="single" w:sz="6" w:color="1B1A17"/>
            </w:tcBorders>
          </w:tcPr>
          <w:p>
            <w:pPr>
              <w:spacing w:before="40" w:after="40"/>
              <w:jc w:val="right"/>
            </w:pPr>
            <w:r/>
            <w:r>
              <w:rPr>
                <w:rFonts w:ascii="Cambria" w:hAnsi="Cambria"/>
                <w:b/>
                <w:sz w:val="19"/>
              </w:rPr>
              <w:t>Rows</w:t>
            </w:r>
          </w:p>
        </w:tc>
        <w:tc>
          <w:tcPr>
            <w:tcW w:type="dxa" w:w="1296"/>
            <w:tcBorders>
              <w:bottom w:val="single" w:sz="6" w:color="1B1A17"/>
            </w:tcBorders>
          </w:tcPr>
          <w:p>
            <w:pPr>
              <w:spacing w:before="40" w:after="40"/>
              <w:jc w:val="right"/>
            </w:pPr>
            <w:r/>
            <w:r>
              <w:rPr>
                <w:rFonts w:ascii="Cambria" w:hAnsi="Cambria"/>
                <w:b/>
                <w:sz w:val="19"/>
              </w:rPr>
              <w:t>Usable</w:t>
            </w:r>
          </w:p>
        </w:tc>
        <w:tc>
          <w:tcPr>
            <w:tcW w:type="dxa" w:w="1152"/>
            <w:tcBorders>
              <w:bottom w:val="single" w:sz="6" w:color="1B1A17"/>
            </w:tcBorders>
          </w:tcPr>
          <w:p>
            <w:pPr>
              <w:spacing w:before="40" w:after="40"/>
              <w:jc w:val="right"/>
            </w:pPr>
            <w:r/>
            <w:r>
              <w:rPr>
                <w:rFonts w:ascii="Cambria" w:hAnsi="Cambria"/>
                <w:b/>
                <w:sz w:val="19"/>
              </w:rPr>
              <w:t>Insert</w:t>
            </w:r>
          </w:p>
        </w:tc>
        <w:tc>
          <w:tcPr>
            <w:tcW w:type="dxa" w:w="1152"/>
            <w:tcBorders>
              <w:bottom w:val="single" w:sz="6" w:color="1B1A17"/>
            </w:tcBorders>
          </w:tcPr>
          <w:p>
            <w:pPr>
              <w:spacing w:before="40" w:after="40"/>
              <w:jc w:val="right"/>
            </w:pPr>
            <w:r/>
            <w:r>
              <w:rPr>
                <w:rFonts w:ascii="Cambria" w:hAnsi="Cambria"/>
                <w:b/>
                <w:sz w:val="19"/>
              </w:rPr>
              <w:t>Modify</w:t>
            </w:r>
          </w:p>
        </w:tc>
        <w:tc>
          <w:tcPr>
            <w:tcW w:type="dxa" w:w="1152"/>
            <w:tcBorders>
              <w:bottom w:val="single" w:sz="6" w:color="1B1A17"/>
            </w:tcBorders>
          </w:tcPr>
          <w:p>
            <w:pPr>
              <w:spacing w:before="40" w:after="40"/>
              <w:jc w:val="right"/>
            </w:pPr>
            <w:r/>
            <w:r>
              <w:rPr>
                <w:rFonts w:ascii="Cambria" w:hAnsi="Cambria"/>
                <w:b/>
                <w:sz w:val="19"/>
              </w:rPr>
              <w:t>Remove</w:t>
            </w:r>
          </w:p>
        </w:tc>
      </w:tr>
      <w:tr>
        <w:tc>
          <w:tcPr>
            <w:tcW w:type="dxa" w:w="2736"/>
          </w:tcPr>
          <w:p>
            <w:pPr>
              <w:spacing w:before="40" w:after="40"/>
              <w:jc w:val="left"/>
            </w:pPr>
            <w:r/>
            <w:r>
              <w:rPr>
                <w:rFonts w:ascii="Cambria" w:hAnsi="Cambria"/>
                <w:b w:val="0"/>
                <w:sz w:val="19"/>
              </w:rPr>
              <w:t>Train</w:t>
            </w:r>
          </w:p>
        </w:tc>
        <w:tc>
          <w:tcPr>
            <w:tcW w:type="dxa" w:w="1152"/>
          </w:tcPr>
          <w:p>
            <w:pPr>
              <w:spacing w:before="40" w:after="40"/>
              <w:jc w:val="right"/>
            </w:pPr>
            <w:r/>
            <w:r>
              <w:rPr>
                <w:rFonts w:ascii="Cambria" w:hAnsi="Cambria"/>
                <w:b w:val="0"/>
                <w:sz w:val="19"/>
              </w:rPr>
              <w:t>51</w:t>
            </w:r>
          </w:p>
        </w:tc>
        <w:tc>
          <w:tcPr>
            <w:tcW w:type="dxa" w:w="1296"/>
          </w:tcPr>
          <w:p>
            <w:pPr>
              <w:spacing w:before="40" w:after="40"/>
              <w:jc w:val="right"/>
            </w:pPr>
            <w:r/>
            <w:r>
              <w:rPr>
                <w:rFonts w:ascii="Cambria" w:hAnsi="Cambria"/>
                <w:b w:val="0"/>
                <w:sz w:val="19"/>
              </w:rPr>
              <w:t>8,807</w:t>
            </w:r>
          </w:p>
        </w:tc>
        <w:tc>
          <w:tcPr>
            <w:tcW w:type="dxa" w:w="1296"/>
          </w:tcPr>
          <w:p>
            <w:pPr>
              <w:spacing w:before="40" w:after="40"/>
              <w:jc w:val="right"/>
            </w:pPr>
            <w:r/>
            <w:r>
              <w:rPr>
                <w:rFonts w:ascii="Cambria" w:hAnsi="Cambria"/>
                <w:b w:val="0"/>
                <w:sz w:val="19"/>
              </w:rPr>
              <w:t>8,306</w:t>
            </w:r>
          </w:p>
        </w:tc>
        <w:tc>
          <w:tcPr>
            <w:tcW w:type="dxa" w:w="1152"/>
          </w:tcPr>
          <w:p>
            <w:pPr>
              <w:spacing w:before="40" w:after="40"/>
              <w:jc w:val="right"/>
            </w:pPr>
            <w:r/>
            <w:r>
              <w:rPr>
                <w:rFonts w:ascii="Cambria" w:hAnsi="Cambria"/>
                <w:b w:val="0"/>
                <w:sz w:val="19"/>
              </w:rPr>
              <w:t>1,828</w:t>
            </w:r>
          </w:p>
        </w:tc>
        <w:tc>
          <w:tcPr>
            <w:tcW w:type="dxa" w:w="1152"/>
          </w:tcPr>
          <w:p>
            <w:pPr>
              <w:spacing w:before="40" w:after="40"/>
              <w:jc w:val="right"/>
            </w:pPr>
            <w:r/>
            <w:r>
              <w:rPr>
                <w:rFonts w:ascii="Cambria" w:hAnsi="Cambria"/>
                <w:b w:val="0"/>
                <w:sz w:val="19"/>
              </w:rPr>
              <w:t>6,045</w:t>
            </w:r>
          </w:p>
        </w:tc>
        <w:tc>
          <w:tcPr>
            <w:tcW w:type="dxa" w:w="1152"/>
          </w:tcPr>
          <w:p>
            <w:pPr>
              <w:spacing w:before="40" w:after="40"/>
              <w:jc w:val="right"/>
            </w:pPr>
            <w:r/>
            <w:r>
              <w:rPr>
                <w:rFonts w:ascii="Cambria" w:hAnsi="Cambria"/>
                <w:b w:val="0"/>
                <w:sz w:val="19"/>
              </w:rPr>
              <w:t>433</w:t>
            </w:r>
          </w:p>
        </w:tc>
      </w:tr>
      <w:tr>
        <w:tc>
          <w:tcPr>
            <w:tcW w:type="dxa" w:w="2736"/>
          </w:tcPr>
          <w:p>
            <w:pPr>
              <w:spacing w:before="40" w:after="40"/>
              <w:jc w:val="left"/>
            </w:pPr>
            <w:r/>
            <w:r>
              <w:rPr>
                <w:rFonts w:ascii="Cambria" w:hAnsi="Cambria"/>
                <w:b w:val="0"/>
                <w:sz w:val="19"/>
              </w:rPr>
              <w:t>Development (held out)</w:t>
            </w:r>
          </w:p>
        </w:tc>
        <w:tc>
          <w:tcPr>
            <w:tcW w:type="dxa" w:w="1152"/>
          </w:tcPr>
          <w:p>
            <w:pPr>
              <w:spacing w:before="40" w:after="40"/>
              <w:jc w:val="right"/>
            </w:pPr>
            <w:r/>
            <w:r>
              <w:rPr>
                <w:rFonts w:ascii="Cambria" w:hAnsi="Cambria"/>
                <w:b w:val="0"/>
                <w:sz w:val="19"/>
              </w:rPr>
              <w:t>4</w:t>
            </w:r>
          </w:p>
        </w:tc>
        <w:tc>
          <w:tcPr>
            <w:tcW w:type="dxa" w:w="1296"/>
          </w:tcPr>
          <w:p>
            <w:pPr>
              <w:spacing w:before="40" w:after="40"/>
              <w:jc w:val="right"/>
            </w:pPr>
            <w:r/>
            <w:r>
              <w:rPr>
                <w:rFonts w:ascii="Cambria" w:hAnsi="Cambria"/>
                <w:b w:val="0"/>
                <w:sz w:val="19"/>
              </w:rPr>
              <w:t>528</w:t>
            </w:r>
          </w:p>
        </w:tc>
        <w:tc>
          <w:tcPr>
            <w:tcW w:type="dxa" w:w="1296"/>
          </w:tcPr>
          <w:p>
            <w:pPr>
              <w:spacing w:before="40" w:after="40"/>
              <w:jc w:val="right"/>
            </w:pPr>
            <w:r/>
            <w:r>
              <w:rPr>
                <w:rFonts w:ascii="Cambria" w:hAnsi="Cambria"/>
                <w:b w:val="0"/>
                <w:sz w:val="19"/>
              </w:rPr>
              <w:t>503</w:t>
            </w:r>
          </w:p>
        </w:tc>
        <w:tc>
          <w:tcPr>
            <w:tcW w:type="dxa" w:w="1152"/>
          </w:tcPr>
          <w:p>
            <w:pPr>
              <w:spacing w:before="40" w:after="40"/>
              <w:jc w:val="right"/>
            </w:pPr>
            <w:r/>
            <w:r>
              <w:rPr>
                <w:rFonts w:ascii="Cambria" w:hAnsi="Cambria"/>
                <w:b w:val="0"/>
                <w:sz w:val="19"/>
              </w:rPr>
              <w:t>—</w:t>
            </w:r>
          </w:p>
        </w:tc>
        <w:tc>
          <w:tcPr>
            <w:tcW w:type="dxa" w:w="1152"/>
          </w:tcPr>
          <w:p>
            <w:pPr>
              <w:spacing w:before="40" w:after="40"/>
              <w:jc w:val="right"/>
            </w:pPr>
            <w:r/>
            <w:r>
              <w:rPr>
                <w:rFonts w:ascii="Cambria" w:hAnsi="Cambria"/>
                <w:b w:val="0"/>
                <w:sz w:val="19"/>
              </w:rPr>
              <w:t>—</w:t>
            </w:r>
          </w:p>
        </w:tc>
        <w:tc>
          <w:tcPr>
            <w:tcW w:type="dxa" w:w="1152"/>
          </w:tcPr>
          <w:p>
            <w:pPr>
              <w:spacing w:before="40" w:after="40"/>
              <w:jc w:val="right"/>
            </w:pPr>
            <w:r/>
            <w:r>
              <w:rPr>
                <w:rFonts w:ascii="Cambria" w:hAnsi="Cambria"/>
                <w:b w:val="0"/>
                <w:sz w:val="19"/>
              </w:rPr>
              <w:t>—</w:t>
            </w:r>
          </w:p>
        </w:tc>
      </w:tr>
    </w:tbl>
    <w:p>
      <w:pPr>
        <w:spacing w:after="80"/>
      </w:pPr>
    </w:p>
    <w:p>
      <w:pPr>
        <w:pStyle w:val="Heading2"/>
      </w:pPr>
      <w:r>
        <w:t>5.1  Split integrity</w:t>
      </w:r>
    </w:p>
    <w:p>
      <w:pPr>
        <w:spacing w:after="120"/>
        <w:jc w:val="both"/>
      </w:pPr>
      <w:r>
        <w:rPr>
          <w:b w:val="0"/>
          <w:i w:val="0"/>
          <w:sz w:val="22"/>
        </w:rPr>
        <w:t>Because the dataset is multi-turn, a split partitioned by turn rather than by image would place the same photograph in both partitions, and increasing the training set would amplify any such contamination. So before accepting any result we hashed every source and target image on both sides with SHA-1 and intersected them.</w:t>
      </w:r>
    </w:p>
    <w:p>
      <w:pPr>
        <w:spacing w:after="60"/>
      </w:pPr>
      <w:r>
        <w:rPr>
          <w:i/>
          <w:color w:val="5A5852"/>
          <w:sz w:val="19"/>
        </w:rPr>
        <w:t>Table 5. Image-level disjointness across all 55 shards.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5184"/>
            <w:tcBorders>
              <w:bottom w:val="single" w:sz="6" w:color="1B1A17"/>
            </w:tcBorders>
          </w:tcPr>
          <w:p>
            <w:pPr>
              <w:spacing w:before="40" w:after="40"/>
              <w:jc w:val="left"/>
            </w:pPr>
            <w:r/>
            <w:r>
              <w:rPr>
                <w:rFonts w:ascii="Cambria" w:hAnsi="Cambria"/>
                <w:b/>
                <w:sz w:val="19"/>
              </w:rPr>
              <w:t>Quantity</w:t>
            </w:r>
          </w:p>
        </w:tc>
        <w:tc>
          <w:tcPr>
            <w:tcW w:type="dxa" w:w="1728"/>
            <w:tcBorders>
              <w:bottom w:val="single" w:sz="6" w:color="1B1A17"/>
            </w:tcBorders>
          </w:tcPr>
          <w:p>
            <w:pPr>
              <w:spacing w:before="40" w:after="40"/>
              <w:jc w:val="right"/>
            </w:pPr>
            <w:r/>
            <w:r>
              <w:rPr>
                <w:rFonts w:ascii="Cambria" w:hAnsi="Cambria"/>
                <w:b/>
                <w:sz w:val="19"/>
              </w:rPr>
              <w:t>Count</w:t>
            </w:r>
          </w:p>
        </w:tc>
      </w:tr>
      <w:tr>
        <w:tc>
          <w:tcPr>
            <w:tcW w:type="dxa" w:w="5184"/>
          </w:tcPr>
          <w:p>
            <w:pPr>
              <w:spacing w:before="40" w:after="40"/>
              <w:jc w:val="left"/>
            </w:pPr>
            <w:r/>
            <w:r>
              <w:rPr>
                <w:rFonts w:ascii="Cambria" w:hAnsi="Cambria"/>
                <w:b w:val="0"/>
                <w:sz w:val="19"/>
              </w:rPr>
              <w:t>Distinct development images</w:t>
            </w:r>
          </w:p>
        </w:tc>
        <w:tc>
          <w:tcPr>
            <w:tcW w:type="dxa" w:w="1728"/>
          </w:tcPr>
          <w:p>
            <w:pPr>
              <w:spacing w:before="40" w:after="40"/>
              <w:jc w:val="right"/>
            </w:pPr>
            <w:r/>
            <w:r>
              <w:rPr>
                <w:rFonts w:ascii="Cambria" w:hAnsi="Cambria"/>
                <w:b w:val="0"/>
                <w:sz w:val="19"/>
              </w:rPr>
              <w:t>794</w:t>
            </w:r>
          </w:p>
        </w:tc>
      </w:tr>
      <w:tr>
        <w:tc>
          <w:tcPr>
            <w:tcW w:type="dxa" w:w="5184"/>
          </w:tcPr>
          <w:p>
            <w:pPr>
              <w:spacing w:before="40" w:after="40"/>
              <w:jc w:val="left"/>
            </w:pPr>
            <w:r/>
            <w:r>
              <w:rPr>
                <w:rFonts w:ascii="Cambria" w:hAnsi="Cambria"/>
                <w:b w:val="0"/>
                <w:sz w:val="19"/>
              </w:rPr>
              <w:t>Distinct training images</w:t>
            </w:r>
          </w:p>
        </w:tc>
        <w:tc>
          <w:tcPr>
            <w:tcW w:type="dxa" w:w="1728"/>
          </w:tcPr>
          <w:p>
            <w:pPr>
              <w:spacing w:before="40" w:after="40"/>
              <w:jc w:val="right"/>
            </w:pPr>
            <w:r/>
            <w:r>
              <w:rPr>
                <w:rFonts w:ascii="Cambria" w:hAnsi="Cambria"/>
                <w:b w:val="0"/>
                <w:sz w:val="19"/>
              </w:rPr>
              <w:t>13,317</w:t>
            </w:r>
          </w:p>
        </w:tc>
      </w:tr>
      <w:tr>
        <w:tc>
          <w:tcPr>
            <w:tcW w:type="dxa" w:w="5184"/>
          </w:tcPr>
          <w:p>
            <w:pPr>
              <w:spacing w:before="40" w:after="40"/>
              <w:jc w:val="left"/>
            </w:pPr>
            <w:r/>
            <w:r>
              <w:rPr>
                <w:rFonts w:ascii="Cambria" w:hAnsi="Cambria"/>
                <w:b/>
                <w:sz w:val="19"/>
              </w:rPr>
              <w:t>Images present in both partitions</w:t>
            </w:r>
          </w:p>
        </w:tc>
        <w:tc>
          <w:tcPr>
            <w:tcW w:type="dxa" w:w="1728"/>
          </w:tcPr>
          <w:p>
            <w:pPr>
              <w:spacing w:before="40" w:after="40"/>
              <w:jc w:val="right"/>
            </w:pPr>
            <w:r/>
            <w:r>
              <w:rPr>
                <w:rFonts w:ascii="Cambria" w:hAnsi="Cambria"/>
                <w:b/>
                <w:sz w:val="19"/>
              </w:rPr>
              <w:t>0</w:t>
            </w:r>
          </w:p>
        </w:tc>
      </w:tr>
    </w:tbl>
    <w:p>
      <w:pPr>
        <w:spacing w:after="80"/>
      </w:pPr>
    </w:p>
    <w:p>
      <w:pPr>
        <w:pStyle w:val="Heading1"/>
      </w:pPr>
      <w:r>
        <w:t>6  Experimental Protocol</w:t>
      </w:r>
    </w:p>
    <w:p>
      <w:pPr>
        <w:spacing w:after="120"/>
        <w:jc w:val="both"/>
      </w:pPr>
      <w:r>
        <w:rPr>
          <w:b w:val="0"/>
          <w:i w:val="0"/>
          <w:sz w:val="22"/>
        </w:rPr>
        <w:t>All results follow one protocol, held constant so that training-set size is the only variable between the two scales evaluated. The checkpoint epoch is selected on a held-out 15 percent slice of the training partition and never on the development set. The development set is evaluated once per seed, at full image resolution against the undilated target. We run twelve seeds, each seeding the PyTorch, NumPy, Python and Metal generators. For significance we use Welch's t-test on seed means, and one-sample t-tests against fixed baselines.</w:t>
      </w:r>
    </w:p>
    <w:p>
      <w:pPr>
        <w:spacing w:after="120"/>
        <w:jc w:val="both"/>
      </w:pPr>
      <w:r>
        <w:rPr>
          <w:b w:val="0"/>
          <w:i w:val="0"/>
          <w:sz w:val="22"/>
        </w:rPr>
        <w:t>We precompute the frozen features once into memory-mapped arrays, 13.8 GB for the full training partition, so that each epoch touches only the head. This makes twenty-four seeded runs feasible on the available hardware.</w:t>
      </w:r>
    </w:p>
    <w:p>
      <w:pPr>
        <w:pStyle w:val="Heading2"/>
      </w:pPr>
      <w:r>
        <w:t>6.1  Configuration</w:t>
      </w:r>
    </w:p>
    <w:p>
      <w:pPr>
        <w:spacing w:after="60"/>
      </w:pPr>
      <w:r>
        <w:rPr>
          <w:i/>
          <w:color w:val="5A5852"/>
          <w:sz w:val="19"/>
        </w:rPr>
        <w:t>Table 6. Configuration values, taken from source.</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1800"/>
            <w:tcBorders>
              <w:bottom w:val="single" w:sz="6" w:color="1B1A17"/>
            </w:tcBorders>
          </w:tcPr>
          <w:p>
            <w:pPr>
              <w:spacing w:before="40" w:after="40"/>
              <w:jc w:val="left"/>
            </w:pPr>
            <w:r/>
            <w:r>
              <w:rPr>
                <w:rFonts w:ascii="Cambria" w:hAnsi="Cambria"/>
                <w:b/>
                <w:sz w:val="19"/>
              </w:rPr>
              <w:t>Group</w:t>
            </w:r>
          </w:p>
        </w:tc>
        <w:tc>
          <w:tcPr>
            <w:tcW w:type="dxa" w:w="3384"/>
            <w:tcBorders>
              <w:bottom w:val="single" w:sz="6" w:color="1B1A17"/>
            </w:tcBorders>
          </w:tcPr>
          <w:p>
            <w:pPr>
              <w:spacing w:before="40" w:after="40"/>
              <w:jc w:val="left"/>
            </w:pPr>
            <w:r/>
            <w:r>
              <w:rPr>
                <w:rFonts w:ascii="Cambria" w:hAnsi="Cambria"/>
                <w:b/>
                <w:sz w:val="19"/>
              </w:rPr>
              <w:t>Parameter</w:t>
            </w:r>
          </w:p>
        </w:tc>
        <w:tc>
          <w:tcPr>
            <w:tcW w:type="dxa" w:w="4320"/>
            <w:tcBorders>
              <w:bottom w:val="single" w:sz="6" w:color="1B1A17"/>
            </w:tcBorders>
          </w:tcPr>
          <w:p>
            <w:pPr>
              <w:spacing w:before="40" w:after="40"/>
              <w:jc w:val="left"/>
            </w:pPr>
            <w:r/>
            <w:r>
              <w:rPr>
                <w:rFonts w:ascii="Cambria" w:hAnsi="Cambria"/>
                <w:b/>
                <w:sz w:val="19"/>
              </w:rPr>
              <w:t>Value</w:t>
            </w:r>
          </w:p>
        </w:tc>
      </w:tr>
      <w:tr>
        <w:tc>
          <w:tcPr>
            <w:tcW w:type="dxa" w:w="1800"/>
          </w:tcPr>
          <w:p>
            <w:pPr>
              <w:spacing w:before="40" w:after="40"/>
              <w:jc w:val="left"/>
            </w:pPr>
            <w:r/>
            <w:r>
              <w:rPr>
                <w:rFonts w:ascii="Cambria" w:hAnsi="Cambria"/>
                <w:b w:val="0"/>
                <w:sz w:val="19"/>
              </w:rPr>
              <w:t>Supervision</w:t>
            </w:r>
          </w:p>
        </w:tc>
        <w:tc>
          <w:tcPr>
            <w:tcW w:type="dxa" w:w="3384"/>
          </w:tcPr>
          <w:p>
            <w:pPr>
              <w:spacing w:before="40" w:after="40"/>
              <w:jc w:val="left"/>
            </w:pPr>
            <w:r/>
            <w:r>
              <w:rPr>
                <w:rFonts w:ascii="Cambria" w:hAnsi="Cambria"/>
                <w:b w:val="0"/>
                <w:sz w:val="19"/>
              </w:rPr>
              <w:t>Colour difference metric</w:t>
            </w:r>
          </w:p>
        </w:tc>
        <w:tc>
          <w:tcPr>
            <w:tcW w:type="dxa" w:w="4320"/>
          </w:tcPr>
          <w:p>
            <w:pPr>
              <w:spacing w:before="40" w:after="40"/>
              <w:jc w:val="left"/>
            </w:pPr>
            <w:r/>
            <w:r>
              <w:rPr>
                <w:rFonts w:ascii="Cambria" w:hAnsi="Cambria"/>
                <w:b w:val="0"/>
                <w:sz w:val="19"/>
              </w:rPr>
              <w:t>CIE76 in L*a*b*</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Threshold</w:t>
            </w:r>
          </w:p>
        </w:tc>
        <w:tc>
          <w:tcPr>
            <w:tcW w:type="dxa" w:w="4320"/>
          </w:tcPr>
          <w:p>
            <w:pPr>
              <w:spacing w:before="40" w:after="40"/>
              <w:jc w:val="left"/>
            </w:pPr>
            <w:r/>
            <w:r>
              <w:rPr>
                <w:rFonts w:ascii="Cambria" w:hAnsi="Cambria"/>
                <w:b w:val="0"/>
                <w:sz w:val="19"/>
              </w:rPr>
              <w:t>12.0</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Morphological kernel; minimum component</w:t>
            </w:r>
          </w:p>
        </w:tc>
        <w:tc>
          <w:tcPr>
            <w:tcW w:type="dxa" w:w="4320"/>
          </w:tcPr>
          <w:p>
            <w:pPr>
              <w:spacing w:before="40" w:after="40"/>
              <w:jc w:val="left"/>
            </w:pPr>
            <w:r/>
            <w:r>
              <w:rPr>
                <w:rFonts w:ascii="Cambria" w:hAnsi="Cambria"/>
                <w:b w:val="0"/>
                <w:sz w:val="19"/>
              </w:rPr>
              <w:t>5 × 5; 40 px</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Sample filter on changed area</w:t>
            </w:r>
          </w:p>
        </w:tc>
        <w:tc>
          <w:tcPr>
            <w:tcW w:type="dxa" w:w="4320"/>
          </w:tcPr>
          <w:p>
            <w:pPr>
              <w:spacing w:before="40" w:after="40"/>
              <w:jc w:val="left"/>
            </w:pPr>
            <w:r/>
            <w:r>
              <w:rPr>
                <w:rFonts w:ascii="Cambria" w:hAnsi="Cambria"/>
                <w:b w:val="0"/>
                <w:sz w:val="19"/>
              </w:rPr>
              <w:t>0.4% – 45%</w:t>
            </w:r>
          </w:p>
        </w:tc>
      </w:tr>
      <w:tr>
        <w:tc>
          <w:tcPr>
            <w:tcW w:type="dxa" w:w="1800"/>
          </w:tcPr>
          <w:p>
            <w:pPr>
              <w:spacing w:before="40" w:after="40"/>
              <w:jc w:val="left"/>
            </w:pPr>
            <w:r/>
            <w:r>
              <w:rPr>
                <w:rFonts w:ascii="Cambria" w:hAnsi="Cambria"/>
                <w:b w:val="0"/>
                <w:sz w:val="19"/>
              </w:rPr>
              <w:t>Representation</w:t>
            </w:r>
          </w:p>
        </w:tc>
        <w:tc>
          <w:tcPr>
            <w:tcW w:type="dxa" w:w="3384"/>
          </w:tcPr>
          <w:p>
            <w:pPr>
              <w:spacing w:before="40" w:after="40"/>
              <w:jc w:val="left"/>
            </w:pPr>
            <w:r/>
            <w:r>
              <w:rPr>
                <w:rFonts w:ascii="Cambria" w:hAnsi="Cambria"/>
                <w:b w:val="0"/>
                <w:sz w:val="19"/>
              </w:rPr>
              <w:t>Input resolution</w:t>
            </w:r>
          </w:p>
        </w:tc>
        <w:tc>
          <w:tcPr>
            <w:tcW w:type="dxa" w:w="4320"/>
          </w:tcPr>
          <w:p>
            <w:pPr>
              <w:spacing w:before="40" w:after="40"/>
              <w:jc w:val="left"/>
            </w:pPr>
            <w:r/>
            <w:r>
              <w:rPr>
                <w:rFonts w:ascii="Cambria" w:hAnsi="Cambria"/>
                <w:b w:val="0"/>
                <w:sz w:val="19"/>
              </w:rPr>
              <w:t>640 × 640</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Prototypes</w:t>
            </w:r>
          </w:p>
        </w:tc>
        <w:tc>
          <w:tcPr>
            <w:tcW w:type="dxa" w:w="4320"/>
          </w:tcPr>
          <w:p>
            <w:pPr>
              <w:spacing w:before="40" w:after="40"/>
              <w:jc w:val="left"/>
            </w:pPr>
            <w:r/>
            <w:r>
              <w:rPr>
                <w:rFonts w:ascii="Cambria" w:hAnsi="Cambria"/>
                <w:b w:val="0"/>
                <w:sz w:val="19"/>
              </w:rPr>
              <w:t>32 at 160 × 160, frozen</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Text; image context</w:t>
            </w:r>
          </w:p>
        </w:tc>
        <w:tc>
          <w:tcPr>
            <w:tcW w:type="dxa" w:w="4320"/>
          </w:tcPr>
          <w:p>
            <w:pPr>
              <w:spacing w:before="40" w:after="40"/>
              <w:jc w:val="left"/>
            </w:pPr>
            <w:r/>
            <w:r>
              <w:rPr>
                <w:rFonts w:ascii="Cambria" w:hAnsi="Cambria"/>
                <w:b w:val="0"/>
                <w:sz w:val="19"/>
              </w:rPr>
              <w:t>512-d CLIP; 640-d SPPF, both frozen</w:t>
            </w:r>
          </w:p>
        </w:tc>
      </w:tr>
      <w:tr>
        <w:tc>
          <w:tcPr>
            <w:tcW w:type="dxa" w:w="1800"/>
          </w:tcPr>
          <w:p>
            <w:pPr>
              <w:spacing w:before="40" w:after="40"/>
              <w:jc w:val="left"/>
            </w:pPr>
            <w:r/>
            <w:r>
              <w:rPr>
                <w:rFonts w:ascii="Cambria" w:hAnsi="Cambria"/>
                <w:b w:val="0"/>
                <w:sz w:val="19"/>
              </w:rPr>
              <w:t>Head (v2)</w:t>
            </w:r>
          </w:p>
        </w:tc>
        <w:tc>
          <w:tcPr>
            <w:tcW w:type="dxa" w:w="3384"/>
          </w:tcPr>
          <w:p>
            <w:pPr>
              <w:spacing w:before="40" w:after="40"/>
              <w:jc w:val="left"/>
            </w:pPr>
            <w:r/>
            <w:r>
              <w:rPr>
                <w:rFonts w:ascii="Cambria" w:hAnsi="Cambria"/>
                <w:b w:val="0"/>
                <w:sz w:val="19"/>
              </w:rPr>
              <w:t>Coefficient grid</w:t>
            </w:r>
          </w:p>
        </w:tc>
        <w:tc>
          <w:tcPr>
            <w:tcW w:type="dxa" w:w="4320"/>
          </w:tcPr>
          <w:p>
            <w:pPr>
              <w:spacing w:before="40" w:after="40"/>
              <w:jc w:val="left"/>
            </w:pPr>
            <w:r/>
            <w:r>
              <w:rPr>
                <w:rFonts w:ascii="Cambria" w:hAnsi="Cambria"/>
                <w:b w:val="0"/>
                <w:sz w:val="19"/>
              </w:rPr>
              <w:t>20 × 20, bilinear upsample</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Hidden width; dropout</w:t>
            </w:r>
          </w:p>
        </w:tc>
        <w:tc>
          <w:tcPr>
            <w:tcW w:type="dxa" w:w="4320"/>
          </w:tcPr>
          <w:p>
            <w:pPr>
              <w:spacing w:before="40" w:after="40"/>
              <w:jc w:val="left"/>
            </w:pPr>
            <w:r/>
            <w:r>
              <w:rPr>
                <w:rFonts w:ascii="Cambria" w:hAnsi="Cambria"/>
                <w:b w:val="0"/>
                <w:sz w:val="19"/>
              </w:rPr>
              <w:t>512; 0.0</w:t>
            </w:r>
          </w:p>
        </w:tc>
      </w:tr>
      <w:tr>
        <w:tc>
          <w:tcPr>
            <w:tcW w:type="dxa" w:w="1800"/>
          </w:tcPr>
          <w:p>
            <w:pPr>
              <w:spacing w:before="40" w:after="40"/>
              <w:jc w:val="left"/>
            </w:pPr>
            <w:r/>
            <w:r>
              <w:rPr>
                <w:rFonts w:ascii="Cambria" w:hAnsi="Cambria"/>
                <w:b w:val="0"/>
                <w:sz w:val="19"/>
              </w:rPr>
              <w:t>Optimisation</w:t>
            </w:r>
          </w:p>
        </w:tc>
        <w:tc>
          <w:tcPr>
            <w:tcW w:type="dxa" w:w="3384"/>
          </w:tcPr>
          <w:p>
            <w:pPr>
              <w:spacing w:before="40" w:after="40"/>
              <w:jc w:val="left"/>
            </w:pPr>
            <w:r/>
            <w:r>
              <w:rPr>
                <w:rFonts w:ascii="Cambria" w:hAnsi="Cambria"/>
                <w:b w:val="0"/>
                <w:sz w:val="19"/>
              </w:rPr>
              <w:t>Optimiser</w:t>
            </w:r>
          </w:p>
        </w:tc>
        <w:tc>
          <w:tcPr>
            <w:tcW w:type="dxa" w:w="4320"/>
          </w:tcPr>
          <w:p>
            <w:pPr>
              <w:spacing w:before="40" w:after="40"/>
              <w:jc w:val="left"/>
            </w:pPr>
            <w:r/>
            <w:r>
              <w:rPr>
                <w:rFonts w:ascii="Cambria" w:hAnsi="Cambria"/>
                <w:b w:val="0"/>
                <w:sz w:val="19"/>
              </w:rPr>
              <w:t>AdamW</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Learning rate</w:t>
            </w:r>
          </w:p>
        </w:tc>
        <w:tc>
          <w:tcPr>
            <w:tcW w:type="dxa" w:w="4320"/>
          </w:tcPr>
          <w:p>
            <w:pPr>
              <w:spacing w:before="40" w:after="40"/>
              <w:jc w:val="left"/>
            </w:pPr>
            <w:r/>
            <w:r>
              <w:rPr>
                <w:rFonts w:ascii="Cambria" w:hAnsi="Cambria"/>
                <w:b w:val="0"/>
                <w:sz w:val="19"/>
              </w:rPr>
              <w:t>1 × 10⁻³, cosine to zero</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Weight decay; batch size</w:t>
            </w:r>
          </w:p>
        </w:tc>
        <w:tc>
          <w:tcPr>
            <w:tcW w:type="dxa" w:w="4320"/>
          </w:tcPr>
          <w:p>
            <w:pPr>
              <w:spacing w:before="40" w:after="40"/>
              <w:jc w:val="left"/>
            </w:pPr>
            <w:r/>
            <w:r>
              <w:rPr>
                <w:rFonts w:ascii="Cambria" w:hAnsi="Cambria"/>
                <w:b w:val="0"/>
                <w:sz w:val="19"/>
              </w:rPr>
              <w:t>0.01; 32</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Loss</w:t>
            </w:r>
          </w:p>
        </w:tc>
        <w:tc>
          <w:tcPr>
            <w:tcW w:type="dxa" w:w="4320"/>
          </w:tcPr>
          <w:p>
            <w:pPr>
              <w:spacing w:before="40" w:after="40"/>
              <w:jc w:val="left"/>
            </w:pPr>
            <w:r/>
            <w:r>
              <w:rPr>
                <w:rFonts w:ascii="Cambria" w:hAnsi="Cambria"/>
                <w:b w:val="0"/>
                <w:sz w:val="19"/>
              </w:rPr>
              <w:t>BCE + 2 × Dice</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Gradient clipping</w:t>
            </w:r>
          </w:p>
        </w:tc>
        <w:tc>
          <w:tcPr>
            <w:tcW w:type="dxa" w:w="4320"/>
          </w:tcPr>
          <w:p>
            <w:pPr>
              <w:spacing w:before="40" w:after="40"/>
              <w:jc w:val="left"/>
            </w:pPr>
            <w:r/>
            <w:r>
              <w:rPr>
                <w:rFonts w:ascii="Cambria" w:hAnsi="Cambria"/>
                <w:b w:val="0"/>
                <w:sz w:val="19"/>
              </w:rPr>
              <w:t>norm 1.0</w:t>
            </w:r>
          </w:p>
        </w:tc>
      </w:tr>
      <w:tr>
        <w:tc>
          <w:tcPr>
            <w:tcW w:type="dxa" w:w="1800"/>
          </w:tcPr>
          <w:p>
            <w:pPr>
              <w:spacing w:before="40" w:after="40"/>
              <w:jc w:val="left"/>
            </w:pPr>
            <w:r/>
            <w:r>
              <w:rPr>
                <w:rFonts w:ascii="Cambria" w:hAnsi="Cambria"/>
                <w:b w:val="0"/>
                <w:sz w:val="19"/>
              </w:rPr>
              <w:t>Evaluation</w:t>
            </w:r>
          </w:p>
        </w:tc>
        <w:tc>
          <w:tcPr>
            <w:tcW w:type="dxa" w:w="3384"/>
          </w:tcPr>
          <w:p>
            <w:pPr>
              <w:spacing w:before="40" w:after="40"/>
              <w:jc w:val="left"/>
            </w:pPr>
            <w:r/>
            <w:r>
              <w:rPr>
                <w:rFonts w:ascii="Cambria" w:hAnsi="Cambria"/>
                <w:b w:val="0"/>
                <w:sz w:val="19"/>
              </w:rPr>
              <w:t>Epochs; selection</w:t>
            </w:r>
          </w:p>
        </w:tc>
        <w:tc>
          <w:tcPr>
            <w:tcW w:type="dxa" w:w="4320"/>
          </w:tcPr>
          <w:p>
            <w:pPr>
              <w:spacing w:before="40" w:after="40"/>
              <w:jc w:val="left"/>
            </w:pPr>
            <w:r/>
            <w:r>
              <w:rPr>
                <w:rFonts w:ascii="Cambria" w:hAnsi="Cambria"/>
                <w:b w:val="0"/>
                <w:sz w:val="19"/>
              </w:rPr>
              <w:t>60; best on train-validation slice</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Decision threshold</w:t>
            </w:r>
          </w:p>
        </w:tc>
        <w:tc>
          <w:tcPr>
            <w:tcW w:type="dxa" w:w="4320"/>
          </w:tcPr>
          <w:p>
            <w:pPr>
              <w:spacing w:before="40" w:after="40"/>
              <w:jc w:val="left"/>
            </w:pPr>
            <w:r/>
            <w:r>
              <w:rPr>
                <w:rFonts w:ascii="Cambria" w:hAnsi="Cambria"/>
                <w:b w:val="0"/>
                <w:sz w:val="19"/>
              </w:rPr>
              <w:t>0.5 fixed (Section 7.3)</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Seeds</w:t>
            </w:r>
          </w:p>
        </w:tc>
        <w:tc>
          <w:tcPr>
            <w:tcW w:type="dxa" w:w="4320"/>
          </w:tcPr>
          <w:p>
            <w:pPr>
              <w:spacing w:before="40" w:after="40"/>
              <w:jc w:val="left"/>
            </w:pPr>
            <w:r/>
            <w:r>
              <w:rPr>
                <w:rFonts w:ascii="Cambria" w:hAnsi="Cambria"/>
                <w:b w:val="0"/>
                <w:sz w:val="19"/>
              </w:rPr>
              <w:t>12 (1368, 1–11)</w:t>
            </w:r>
          </w:p>
        </w:tc>
      </w:tr>
      <w:tr>
        <w:tc>
          <w:tcPr>
            <w:tcW w:type="dxa" w:w="1800"/>
          </w:tcPr>
          <w:p>
            <w:pPr>
              <w:spacing w:before="40" w:after="40"/>
              <w:jc w:val="left"/>
            </w:pPr>
            <w:r/>
            <w:r>
              <w:rPr>
                <w:rFonts w:ascii="Cambria" w:hAnsi="Cambria"/>
                <w:b w:val="0"/>
                <w:sz w:val="19"/>
              </w:rPr>
            </w:r>
          </w:p>
        </w:tc>
        <w:tc>
          <w:tcPr>
            <w:tcW w:type="dxa" w:w="3384"/>
          </w:tcPr>
          <w:p>
            <w:pPr>
              <w:spacing w:before="40" w:after="40"/>
              <w:jc w:val="left"/>
            </w:pPr>
            <w:r/>
            <w:r>
              <w:rPr>
                <w:rFonts w:ascii="Cambria" w:hAnsi="Cambria"/>
                <w:b w:val="0"/>
                <w:sz w:val="19"/>
              </w:rPr>
              <w:t>Baseline</w:t>
            </w:r>
          </w:p>
        </w:tc>
        <w:tc>
          <w:tcPr>
            <w:tcW w:type="dxa" w:w="4320"/>
          </w:tcPr>
          <w:p>
            <w:pPr>
              <w:spacing w:before="40" w:after="40"/>
              <w:jc w:val="left"/>
            </w:pPr>
            <w:r/>
            <w:r>
              <w:rPr>
                <w:rFonts w:ascii="Cambria" w:hAnsi="Cambria"/>
                <w:b w:val="0"/>
                <w:sz w:val="19"/>
              </w:rPr>
              <w:t>CIDAS/clipseg-rd64-refined</w:t>
            </w:r>
          </w:p>
        </w:tc>
      </w:tr>
    </w:tbl>
    <w:p>
      <w:pPr>
        <w:spacing w:after="80"/>
      </w:pPr>
    </w:p>
    <w:p>
      <w:pPr>
        <w:pStyle w:val="Heading1"/>
      </w:pPr>
      <w:r>
        <w:t>7  Results and Discussion</w:t>
      </w:r>
    </w:p>
    <w:p>
      <w:pPr>
        <w:pStyle w:val="Heading2"/>
      </w:pPr>
      <w:r>
        <w:t>7.1  Accuracy</w:t>
      </w:r>
    </w:p>
    <w:p>
      <w:pPr>
        <w:spacing w:after="60"/>
      </w:pPr>
      <w:r>
        <w:rPr>
          <w:i/>
          <w:color w:val="5A5852"/>
          <w:sz w:val="19"/>
        </w:rPr>
        <w:t>Table 7. Mean development IoU over 503 held-out turns, 12 seeds per configuration.</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814"/>
        <w:gridCol w:w="1814"/>
        <w:gridCol w:w="1814"/>
        <w:gridCol w:w="1814"/>
        <w:gridCol w:w="1814"/>
      </w:tblGrid>
      <w:tr>
        <w:tc>
          <w:tcPr>
            <w:tcW w:type="dxa" w:w="3024"/>
            <w:tcBorders>
              <w:bottom w:val="single" w:sz="6" w:color="1B1A17"/>
            </w:tcBorders>
          </w:tcPr>
          <w:p>
            <w:pPr>
              <w:spacing w:before="40" w:after="40"/>
              <w:jc w:val="left"/>
            </w:pPr>
            <w:r/>
            <w:r>
              <w:rPr>
                <w:rFonts w:ascii="Cambria" w:hAnsi="Cambria"/>
                <w:b/>
                <w:sz w:val="19"/>
              </w:rPr>
              <w:t>Configuration</w:t>
            </w:r>
          </w:p>
        </w:tc>
        <w:tc>
          <w:tcPr>
            <w:tcW w:type="dxa" w:w="1800"/>
            <w:tcBorders>
              <w:bottom w:val="single" w:sz="6" w:color="1B1A17"/>
            </w:tcBorders>
          </w:tcPr>
          <w:p>
            <w:pPr>
              <w:spacing w:before="40" w:after="40"/>
              <w:jc w:val="right"/>
            </w:pPr>
            <w:r/>
            <w:r>
              <w:rPr>
                <w:rFonts w:ascii="Cambria" w:hAnsi="Cambria"/>
                <w:b/>
                <w:sz w:val="19"/>
              </w:rPr>
              <w:t>Trainable</w:t>
            </w:r>
          </w:p>
        </w:tc>
        <w:tc>
          <w:tcPr>
            <w:tcW w:type="dxa" w:w="1800"/>
            <w:tcBorders>
              <w:bottom w:val="single" w:sz="6" w:color="1B1A17"/>
            </w:tcBorders>
          </w:tcPr>
          <w:p>
            <w:pPr>
              <w:spacing w:before="40" w:after="40"/>
              <w:jc w:val="right"/>
            </w:pPr>
            <w:r/>
            <w:r>
              <w:rPr>
                <w:rFonts w:ascii="Cambria" w:hAnsi="Cambria"/>
                <w:b/>
                <w:sz w:val="19"/>
              </w:rPr>
              <w:t>n = 2,278</w:t>
            </w:r>
          </w:p>
        </w:tc>
        <w:tc>
          <w:tcPr>
            <w:tcW w:type="dxa" w:w="1800"/>
            <w:tcBorders>
              <w:bottom w:val="single" w:sz="6" w:color="1B1A17"/>
            </w:tcBorders>
          </w:tcPr>
          <w:p>
            <w:pPr>
              <w:spacing w:before="40" w:after="40"/>
              <w:jc w:val="right"/>
            </w:pPr>
            <w:r/>
            <w:r>
              <w:rPr>
                <w:rFonts w:ascii="Cambria" w:hAnsi="Cambria"/>
                <w:b/>
                <w:sz w:val="19"/>
              </w:rPr>
              <w:t>n = 8,306</w:t>
            </w:r>
          </w:p>
        </w:tc>
        <w:tc>
          <w:tcPr>
            <w:tcW w:type="dxa" w:w="1080"/>
            <w:tcBorders>
              <w:bottom w:val="single" w:sz="6" w:color="1B1A17"/>
            </w:tcBorders>
          </w:tcPr>
          <w:p>
            <w:pPr>
              <w:spacing w:before="40" w:after="40"/>
              <w:jc w:val="right"/>
            </w:pPr>
            <w:r/>
            <w:r>
              <w:rPr>
                <w:rFonts w:ascii="Cambria" w:hAnsi="Cambria"/>
                <w:b/>
                <w:sz w:val="19"/>
              </w:rPr>
              <w:t>Gain</w:t>
            </w:r>
          </w:p>
        </w:tc>
      </w:tr>
      <w:tr>
        <w:tc>
          <w:tcPr>
            <w:tcW w:type="dxa" w:w="3024"/>
          </w:tcPr>
          <w:p>
            <w:pPr>
              <w:spacing w:before="40" w:after="40"/>
              <w:jc w:val="left"/>
            </w:pPr>
            <w:r/>
            <w:r>
              <w:rPr>
                <w:rFonts w:ascii="Cambria" w:hAnsi="Cambria"/>
                <w:b/>
                <w:sz w:val="19"/>
              </w:rPr>
              <w:t>v2 spatial field</w:t>
            </w:r>
          </w:p>
        </w:tc>
        <w:tc>
          <w:tcPr>
            <w:tcW w:type="dxa" w:w="1800"/>
          </w:tcPr>
          <w:p>
            <w:pPr>
              <w:spacing w:before="40" w:after="40"/>
              <w:jc w:val="right"/>
            </w:pPr>
            <w:r/>
            <w:r>
              <w:rPr>
                <w:rFonts w:ascii="Cambria" w:hAnsi="Cambria"/>
                <w:b/>
                <w:sz w:val="19"/>
              </w:rPr>
              <w:t>4,693,633</w:t>
            </w:r>
          </w:p>
        </w:tc>
        <w:tc>
          <w:tcPr>
            <w:tcW w:type="dxa" w:w="1800"/>
          </w:tcPr>
          <w:p>
            <w:pPr>
              <w:spacing w:before="40" w:after="40"/>
              <w:jc w:val="right"/>
            </w:pPr>
            <w:r/>
            <w:r>
              <w:rPr>
                <w:rFonts w:ascii="Cambria" w:hAnsi="Cambria"/>
                <w:b/>
                <w:sz w:val="19"/>
              </w:rPr>
              <w:t>0.1718 ± 0.0099</w:t>
            </w:r>
          </w:p>
        </w:tc>
        <w:tc>
          <w:tcPr>
            <w:tcW w:type="dxa" w:w="1800"/>
          </w:tcPr>
          <w:p>
            <w:pPr>
              <w:spacing w:before="40" w:after="40"/>
              <w:jc w:val="right"/>
            </w:pPr>
            <w:r/>
            <w:r>
              <w:rPr>
                <w:rFonts w:ascii="Cambria" w:hAnsi="Cambria"/>
                <w:b/>
                <w:sz w:val="19"/>
              </w:rPr>
              <w:t>0.2065 ± 0.0072</w:t>
            </w:r>
          </w:p>
        </w:tc>
        <w:tc>
          <w:tcPr>
            <w:tcW w:type="dxa" w:w="1080"/>
          </w:tcPr>
          <w:p>
            <w:pPr>
              <w:spacing w:before="40" w:after="40"/>
              <w:jc w:val="right"/>
            </w:pPr>
            <w:r/>
            <w:r>
              <w:rPr>
                <w:rFonts w:ascii="Cambria" w:hAnsi="Cambria"/>
                <w:b/>
                <w:sz w:val="19"/>
              </w:rPr>
              <w:t>+0.0347</w:t>
            </w:r>
          </w:p>
        </w:tc>
      </w:tr>
      <w:tr>
        <w:tc>
          <w:tcPr>
            <w:tcW w:type="dxa" w:w="3024"/>
          </w:tcPr>
          <w:p>
            <w:pPr>
              <w:spacing w:before="40" w:after="40"/>
              <w:jc w:val="left"/>
            </w:pPr>
            <w:r/>
            <w:r>
              <w:rPr>
                <w:rFonts w:ascii="Cambria" w:hAnsi="Cambria"/>
                <w:b w:val="0"/>
                <w:sz w:val="19"/>
              </w:rPr>
              <w:t>v1 global coefficients</w:t>
            </w:r>
          </w:p>
        </w:tc>
        <w:tc>
          <w:tcPr>
            <w:tcW w:type="dxa" w:w="1800"/>
          </w:tcPr>
          <w:p>
            <w:pPr>
              <w:spacing w:before="40" w:after="40"/>
              <w:jc w:val="right"/>
            </w:pPr>
            <w:r/>
            <w:r>
              <w:rPr>
                <w:rFonts w:ascii="Cambria" w:hAnsi="Cambria"/>
                <w:b w:val="0"/>
                <w:sz w:val="19"/>
              </w:rPr>
              <w:t>1,399,073</w:t>
            </w:r>
          </w:p>
        </w:tc>
        <w:tc>
          <w:tcPr>
            <w:tcW w:type="dxa" w:w="1800"/>
          </w:tcPr>
          <w:p>
            <w:pPr>
              <w:spacing w:before="40" w:after="40"/>
              <w:jc w:val="right"/>
            </w:pPr>
            <w:r/>
            <w:r>
              <w:rPr>
                <w:rFonts w:ascii="Cambria" w:hAnsi="Cambria"/>
                <w:b w:val="0"/>
                <w:sz w:val="19"/>
              </w:rPr>
              <w:t>0.1590 ± 0.0111</w:t>
            </w:r>
          </w:p>
        </w:tc>
        <w:tc>
          <w:tcPr>
            <w:tcW w:type="dxa" w:w="1800"/>
          </w:tcPr>
          <w:p>
            <w:pPr>
              <w:spacing w:before="40" w:after="40"/>
              <w:jc w:val="right"/>
            </w:pPr>
            <w:r/>
            <w:r>
              <w:rPr>
                <w:rFonts w:ascii="Cambria" w:hAnsi="Cambria"/>
                <w:b w:val="0"/>
                <w:sz w:val="19"/>
              </w:rPr>
              <w:t>0.1907 ± 0.0053</w:t>
            </w:r>
          </w:p>
        </w:tc>
        <w:tc>
          <w:tcPr>
            <w:tcW w:type="dxa" w:w="1080"/>
          </w:tcPr>
          <w:p>
            <w:pPr>
              <w:spacing w:before="40" w:after="40"/>
              <w:jc w:val="right"/>
            </w:pPr>
            <w:r/>
            <w:r>
              <w:rPr>
                <w:rFonts w:ascii="Cambria" w:hAnsi="Cambria"/>
                <w:b w:val="0"/>
                <w:sz w:val="19"/>
              </w:rPr>
              <w:t>+0.0317</w:t>
            </w:r>
          </w:p>
        </w:tc>
      </w:tr>
      <w:tr>
        <w:tc>
          <w:tcPr>
            <w:tcW w:type="dxa" w:w="3024"/>
          </w:tcPr>
          <w:p>
            <w:pPr>
              <w:spacing w:before="40" w:after="40"/>
              <w:jc w:val="left"/>
            </w:pPr>
            <w:r/>
            <w:r>
              <w:rPr>
                <w:rFonts w:ascii="Cambria" w:hAnsi="Cambria"/>
                <w:b w:val="0"/>
                <w:sz w:val="19"/>
              </w:rPr>
              <w:t>CLIPSeg (pretrained baseline)</w:t>
            </w:r>
          </w:p>
        </w:tc>
        <w:tc>
          <w:tcPr>
            <w:tcW w:type="dxa" w:w="1800"/>
          </w:tcPr>
          <w:p>
            <w:pPr>
              <w:spacing w:before="40" w:after="40"/>
              <w:jc w:val="right"/>
            </w:pPr>
            <w:r/>
            <w:r>
              <w:rPr>
                <w:rFonts w:ascii="Cambria" w:hAnsi="Cambria"/>
                <w:b w:val="0"/>
                <w:sz w:val="19"/>
              </w:rPr>
              <w:t>150,747,746</w:t>
            </w:r>
          </w:p>
        </w:tc>
        <w:tc>
          <w:tcPr>
            <w:tcW w:type="dxa" w:w="1800"/>
          </w:tcPr>
          <w:p>
            <w:pPr>
              <w:spacing w:before="40" w:after="40"/>
              <w:jc w:val="right"/>
            </w:pPr>
            <w:r/>
            <w:r>
              <w:rPr>
                <w:rFonts w:ascii="Cambria" w:hAnsi="Cambria"/>
                <w:b w:val="0"/>
                <w:sz w:val="19"/>
              </w:rPr>
              <w:t>0.1849</w:t>
            </w:r>
          </w:p>
        </w:tc>
        <w:tc>
          <w:tcPr>
            <w:tcW w:type="dxa" w:w="1800"/>
          </w:tcPr>
          <w:p>
            <w:pPr>
              <w:spacing w:before="40" w:after="40"/>
              <w:jc w:val="right"/>
            </w:pPr>
            <w:r/>
            <w:r>
              <w:rPr>
                <w:rFonts w:ascii="Cambria" w:hAnsi="Cambria"/>
                <w:b w:val="0"/>
                <w:sz w:val="19"/>
              </w:rPr>
              <w:t>0.1849</w:t>
            </w:r>
          </w:p>
        </w:tc>
        <w:tc>
          <w:tcPr>
            <w:tcW w:type="dxa" w:w="1080"/>
          </w:tcPr>
          <w:p>
            <w:pPr>
              <w:spacing w:before="40" w:after="40"/>
              <w:jc w:val="right"/>
            </w:pPr>
            <w:r/>
            <w:r>
              <w:rPr>
                <w:rFonts w:ascii="Cambria" w:hAnsi="Cambria"/>
                <w:b w:val="0"/>
                <w:sz w:val="19"/>
              </w:rPr>
              <w:t>—</w:t>
            </w:r>
          </w:p>
        </w:tc>
      </w:tr>
      <w:tr>
        <w:tc>
          <w:tcPr>
            <w:tcW w:type="dxa" w:w="3024"/>
          </w:tcPr>
          <w:p>
            <w:pPr>
              <w:spacing w:before="40" w:after="40"/>
              <w:jc w:val="left"/>
            </w:pPr>
            <w:r/>
            <w:r>
              <w:rPr>
                <w:rFonts w:ascii="Cambria" w:hAnsi="Cambria"/>
                <w:b w:val="0"/>
                <w:sz w:val="19"/>
              </w:rPr>
              <w:t>MagicBrush human masks</w:t>
            </w:r>
          </w:p>
        </w:tc>
        <w:tc>
          <w:tcPr>
            <w:tcW w:type="dxa" w:w="1800"/>
          </w:tcPr>
          <w:p>
            <w:pPr>
              <w:spacing w:before="40" w:after="40"/>
              <w:jc w:val="right"/>
            </w:pPr>
            <w:r/>
            <w:r>
              <w:rPr>
                <w:rFonts w:ascii="Cambria" w:hAnsi="Cambria"/>
                <w:b w:val="0"/>
                <w:sz w:val="19"/>
              </w:rPr>
              <w:t>—</w:t>
            </w:r>
          </w:p>
        </w:tc>
        <w:tc>
          <w:tcPr>
            <w:tcW w:type="dxa" w:w="1800"/>
          </w:tcPr>
          <w:p>
            <w:pPr>
              <w:spacing w:before="40" w:after="40"/>
              <w:jc w:val="right"/>
            </w:pPr>
            <w:r/>
            <w:r>
              <w:rPr>
                <w:rFonts w:ascii="Cambria" w:hAnsi="Cambria"/>
                <w:b w:val="0"/>
                <w:sz w:val="19"/>
              </w:rPr>
              <w:t>0.1511</w:t>
            </w:r>
          </w:p>
        </w:tc>
        <w:tc>
          <w:tcPr>
            <w:tcW w:type="dxa" w:w="1800"/>
          </w:tcPr>
          <w:p>
            <w:pPr>
              <w:spacing w:before="40" w:after="40"/>
              <w:jc w:val="right"/>
            </w:pPr>
            <w:r/>
            <w:r>
              <w:rPr>
                <w:rFonts w:ascii="Cambria" w:hAnsi="Cambria"/>
                <w:b w:val="0"/>
                <w:sz w:val="19"/>
              </w:rPr>
              <w:t>0.1511</w:t>
            </w:r>
          </w:p>
        </w:tc>
        <w:tc>
          <w:tcPr>
            <w:tcW w:type="dxa" w:w="1080"/>
          </w:tcPr>
          <w:p>
            <w:pPr>
              <w:spacing w:before="40" w:after="40"/>
              <w:jc w:val="right"/>
            </w:pPr>
            <w:r/>
            <w:r>
              <w:rPr>
                <w:rFonts w:ascii="Cambria" w:hAnsi="Cambria"/>
                <w:b w:val="0"/>
                <w:sz w:val="19"/>
              </w:rPr>
              <w:t>—</w:t>
            </w:r>
          </w:p>
        </w:tc>
      </w:tr>
      <w:tr>
        <w:tc>
          <w:tcPr>
            <w:tcW w:type="dxa" w:w="3024"/>
          </w:tcPr>
          <w:p>
            <w:pPr>
              <w:spacing w:before="40" w:after="40"/>
              <w:jc w:val="left"/>
            </w:pPr>
            <w:r/>
            <w:r>
              <w:rPr>
                <w:rFonts w:ascii="Cambria" w:hAnsi="Cambria"/>
                <w:b w:val="0"/>
                <w:sz w:val="19"/>
              </w:rPr>
              <w:t>Full frame (trivial)</w:t>
            </w:r>
          </w:p>
        </w:tc>
        <w:tc>
          <w:tcPr>
            <w:tcW w:type="dxa" w:w="1800"/>
          </w:tcPr>
          <w:p>
            <w:pPr>
              <w:spacing w:before="40" w:after="40"/>
              <w:jc w:val="right"/>
            </w:pPr>
            <w:r/>
            <w:r>
              <w:rPr>
                <w:rFonts w:ascii="Cambria" w:hAnsi="Cambria"/>
                <w:b w:val="0"/>
                <w:sz w:val="19"/>
              </w:rPr>
              <w:t>0</w:t>
            </w:r>
          </w:p>
        </w:tc>
        <w:tc>
          <w:tcPr>
            <w:tcW w:type="dxa" w:w="1800"/>
          </w:tcPr>
          <w:p>
            <w:pPr>
              <w:spacing w:before="40" w:after="40"/>
              <w:jc w:val="right"/>
            </w:pPr>
            <w:r/>
            <w:r>
              <w:rPr>
                <w:rFonts w:ascii="Cambria" w:hAnsi="Cambria"/>
                <w:b w:val="0"/>
                <w:sz w:val="19"/>
              </w:rPr>
              <w:t>0.0958</w:t>
            </w:r>
          </w:p>
        </w:tc>
        <w:tc>
          <w:tcPr>
            <w:tcW w:type="dxa" w:w="1800"/>
          </w:tcPr>
          <w:p>
            <w:pPr>
              <w:spacing w:before="40" w:after="40"/>
              <w:jc w:val="right"/>
            </w:pPr>
            <w:r/>
            <w:r>
              <w:rPr>
                <w:rFonts w:ascii="Cambria" w:hAnsi="Cambria"/>
                <w:b w:val="0"/>
                <w:sz w:val="19"/>
              </w:rPr>
              <w:t>0.0958</w:t>
            </w:r>
          </w:p>
        </w:tc>
        <w:tc>
          <w:tcPr>
            <w:tcW w:type="dxa" w:w="1080"/>
          </w:tcPr>
          <w:p>
            <w:pPr>
              <w:spacing w:before="40" w:after="40"/>
              <w:jc w:val="right"/>
            </w:pPr>
            <w:r/>
            <w:r>
              <w:rPr>
                <w:rFonts w:ascii="Cambria" w:hAnsi="Cambria"/>
                <w:b w:val="0"/>
                <w:sz w:val="19"/>
              </w:rPr>
              <w:t>—</w:t>
            </w:r>
          </w:p>
        </w:tc>
      </w:tr>
      <w:tr>
        <w:tc>
          <w:tcPr>
            <w:tcW w:type="dxa" w:w="3024"/>
          </w:tcPr>
          <w:p>
            <w:pPr>
              <w:spacing w:before="40" w:after="40"/>
              <w:jc w:val="left"/>
            </w:pPr>
            <w:r/>
            <w:r>
              <w:rPr>
                <w:rFonts w:ascii="Cambria" w:hAnsi="Cambria"/>
                <w:b w:val="0"/>
                <w:sz w:val="19"/>
              </w:rPr>
              <w:t>Random centred box (trivial)</w:t>
            </w:r>
          </w:p>
        </w:tc>
        <w:tc>
          <w:tcPr>
            <w:tcW w:type="dxa" w:w="1800"/>
          </w:tcPr>
          <w:p>
            <w:pPr>
              <w:spacing w:before="40" w:after="40"/>
              <w:jc w:val="right"/>
            </w:pPr>
            <w:r/>
            <w:r>
              <w:rPr>
                <w:rFonts w:ascii="Cambria" w:hAnsi="Cambria"/>
                <w:b w:val="0"/>
                <w:sz w:val="19"/>
              </w:rPr>
              <w:t>0</w:t>
            </w:r>
          </w:p>
        </w:tc>
        <w:tc>
          <w:tcPr>
            <w:tcW w:type="dxa" w:w="1800"/>
          </w:tcPr>
          <w:p>
            <w:pPr>
              <w:spacing w:before="40" w:after="40"/>
              <w:jc w:val="right"/>
            </w:pPr>
            <w:r/>
            <w:r>
              <w:rPr>
                <w:rFonts w:ascii="Cambria" w:hAnsi="Cambria"/>
                <w:b w:val="0"/>
                <w:sz w:val="19"/>
              </w:rPr>
              <w:t>0.0621</w:t>
            </w:r>
          </w:p>
        </w:tc>
        <w:tc>
          <w:tcPr>
            <w:tcW w:type="dxa" w:w="1800"/>
          </w:tcPr>
          <w:p>
            <w:pPr>
              <w:spacing w:before="40" w:after="40"/>
              <w:jc w:val="right"/>
            </w:pPr>
            <w:r/>
            <w:r>
              <w:rPr>
                <w:rFonts w:ascii="Cambria" w:hAnsi="Cambria"/>
                <w:b w:val="0"/>
                <w:sz w:val="19"/>
              </w:rPr>
              <w:t>0.0621</w:t>
            </w:r>
          </w:p>
        </w:tc>
        <w:tc>
          <w:tcPr>
            <w:tcW w:type="dxa" w:w="1080"/>
          </w:tcPr>
          <w:p>
            <w:pPr>
              <w:spacing w:before="40" w:after="40"/>
              <w:jc w:val="right"/>
            </w:pPr>
            <w:r/>
            <w:r>
              <w:rPr>
                <w:rFonts w:ascii="Cambria" w:hAnsi="Cambria"/>
                <w:b w:val="0"/>
                <w:sz w:val="19"/>
              </w:rPr>
              <w:t>—</w:t>
            </w:r>
          </w:p>
        </w:tc>
      </w:tr>
    </w:tbl>
    <w:p>
      <w:pPr>
        <w:spacing w:after="80"/>
      </w:pPr>
    </w:p>
    <w:p>
      <w:pPr>
        <w:spacing w:after="60"/>
      </w:pPr>
      <w:r>
        <w:rPr>
          <w:i/>
          <w:color w:val="5A5852"/>
          <w:sz w:val="19"/>
        </w:rPr>
        <w:t>Table 8. Statistical significance. Welch's t-test on seed means; one-sample tests against fixed baselines.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4896"/>
            <w:tcBorders>
              <w:bottom w:val="single" w:sz="6" w:color="1B1A17"/>
            </w:tcBorders>
          </w:tcPr>
          <w:p>
            <w:pPr>
              <w:spacing w:before="40" w:after="40"/>
              <w:jc w:val="left"/>
            </w:pPr>
            <w:r/>
            <w:r>
              <w:rPr>
                <w:rFonts w:ascii="Cambria" w:hAnsi="Cambria"/>
                <w:b/>
                <w:sz w:val="19"/>
              </w:rPr>
              <w:t>Comparison</w:t>
            </w:r>
          </w:p>
        </w:tc>
        <w:tc>
          <w:tcPr>
            <w:tcW w:type="dxa" w:w="1728"/>
            <w:tcBorders>
              <w:bottom w:val="single" w:sz="6" w:color="1B1A17"/>
            </w:tcBorders>
          </w:tcPr>
          <w:p>
            <w:pPr>
              <w:spacing w:before="40" w:after="40"/>
              <w:jc w:val="right"/>
            </w:pPr>
            <w:r/>
            <w:r>
              <w:rPr>
                <w:rFonts w:ascii="Cambria" w:hAnsi="Cambria"/>
                <w:b/>
                <w:sz w:val="19"/>
              </w:rPr>
              <w:t>Difference</w:t>
            </w:r>
          </w:p>
        </w:tc>
        <w:tc>
          <w:tcPr>
            <w:tcW w:type="dxa" w:w="2016"/>
            <w:tcBorders>
              <w:bottom w:val="single" w:sz="6" w:color="1B1A17"/>
            </w:tcBorders>
          </w:tcPr>
          <w:p>
            <w:pPr>
              <w:spacing w:before="40" w:after="40"/>
              <w:jc w:val="right"/>
            </w:pPr>
            <w:r/>
            <w:r>
              <w:rPr>
                <w:rFonts w:ascii="Cambria" w:hAnsi="Cambria"/>
                <w:b/>
                <w:sz w:val="19"/>
              </w:rPr>
              <w:t>p</w:t>
            </w:r>
          </w:p>
        </w:tc>
      </w:tr>
      <w:tr>
        <w:tc>
          <w:tcPr>
            <w:tcW w:type="dxa" w:w="4896"/>
          </w:tcPr>
          <w:p>
            <w:pPr>
              <w:spacing w:before="40" w:after="40"/>
              <w:jc w:val="left"/>
            </w:pPr>
            <w:r/>
            <w:r>
              <w:rPr>
                <w:rFonts w:ascii="Cambria" w:hAnsi="Cambria"/>
                <w:b w:val="0"/>
                <w:sz w:val="19"/>
              </w:rPr>
              <w:t>v2: 8,306 against 2,278 samples</w:t>
            </w:r>
          </w:p>
        </w:tc>
        <w:tc>
          <w:tcPr>
            <w:tcW w:type="dxa" w:w="1728"/>
          </w:tcPr>
          <w:p>
            <w:pPr>
              <w:spacing w:before="40" w:after="40"/>
              <w:jc w:val="right"/>
            </w:pPr>
            <w:r/>
            <w:r>
              <w:rPr>
                <w:rFonts w:ascii="Cambria" w:hAnsi="Cambria"/>
                <w:b w:val="0"/>
                <w:sz w:val="19"/>
              </w:rPr>
              <w:t>+0.0347</w:t>
            </w:r>
          </w:p>
        </w:tc>
        <w:tc>
          <w:tcPr>
            <w:tcW w:type="dxa" w:w="2016"/>
          </w:tcPr>
          <w:p>
            <w:pPr>
              <w:spacing w:before="40" w:after="40"/>
              <w:jc w:val="right"/>
            </w:pPr>
            <w:r/>
            <w:r>
              <w:rPr>
                <w:rFonts w:ascii="Cambria" w:hAnsi="Cambria"/>
                <w:b w:val="0"/>
                <w:sz w:val="19"/>
              </w:rPr>
              <w:t>4.1 × 10⁻⁹</w:t>
            </w:r>
          </w:p>
        </w:tc>
      </w:tr>
      <w:tr>
        <w:tc>
          <w:tcPr>
            <w:tcW w:type="dxa" w:w="4896"/>
          </w:tcPr>
          <w:p>
            <w:pPr>
              <w:spacing w:before="40" w:after="40"/>
              <w:jc w:val="left"/>
            </w:pPr>
            <w:r/>
            <w:r>
              <w:rPr>
                <w:rFonts w:ascii="Cambria" w:hAnsi="Cambria"/>
                <w:b w:val="0"/>
                <w:sz w:val="19"/>
              </w:rPr>
              <w:t>v1: 8,306 against 2,278 samples</w:t>
            </w:r>
          </w:p>
        </w:tc>
        <w:tc>
          <w:tcPr>
            <w:tcW w:type="dxa" w:w="1728"/>
          </w:tcPr>
          <w:p>
            <w:pPr>
              <w:spacing w:before="40" w:after="40"/>
              <w:jc w:val="right"/>
            </w:pPr>
            <w:r/>
            <w:r>
              <w:rPr>
                <w:rFonts w:ascii="Cambria" w:hAnsi="Cambria"/>
                <w:b w:val="0"/>
                <w:sz w:val="19"/>
              </w:rPr>
              <w:t>+0.0317</w:t>
            </w:r>
          </w:p>
        </w:tc>
        <w:tc>
          <w:tcPr>
            <w:tcW w:type="dxa" w:w="2016"/>
          </w:tcPr>
          <w:p>
            <w:pPr>
              <w:spacing w:before="40" w:after="40"/>
              <w:jc w:val="right"/>
            </w:pPr>
            <w:r/>
            <w:r>
              <w:rPr>
                <w:rFonts w:ascii="Cambria" w:hAnsi="Cambria"/>
                <w:b w:val="0"/>
                <w:sz w:val="19"/>
              </w:rPr>
              <w:t>1.5 × 10⁻⁷</w:t>
            </w:r>
          </w:p>
        </w:tc>
      </w:tr>
      <w:tr>
        <w:tc>
          <w:tcPr>
            <w:tcW w:type="dxa" w:w="4896"/>
          </w:tcPr>
          <w:p>
            <w:pPr>
              <w:spacing w:before="40" w:after="40"/>
              <w:jc w:val="left"/>
            </w:pPr>
            <w:r/>
            <w:r>
              <w:rPr>
                <w:rFonts w:ascii="Cambria" w:hAnsi="Cambria"/>
                <w:b/>
                <w:sz w:val="19"/>
              </w:rPr>
              <w:t>v2 against v1 at n = 8,306</w:t>
            </w:r>
          </w:p>
        </w:tc>
        <w:tc>
          <w:tcPr>
            <w:tcW w:type="dxa" w:w="1728"/>
          </w:tcPr>
          <w:p>
            <w:pPr>
              <w:spacing w:before="40" w:after="40"/>
              <w:jc w:val="right"/>
            </w:pPr>
            <w:r/>
            <w:r>
              <w:rPr>
                <w:rFonts w:ascii="Cambria" w:hAnsi="Cambria"/>
                <w:b/>
                <w:sz w:val="19"/>
              </w:rPr>
              <w:t>+0.0158</w:t>
            </w:r>
          </w:p>
        </w:tc>
        <w:tc>
          <w:tcPr>
            <w:tcW w:type="dxa" w:w="2016"/>
          </w:tcPr>
          <w:p>
            <w:pPr>
              <w:spacing w:before="40" w:after="40"/>
              <w:jc w:val="right"/>
            </w:pPr>
            <w:r/>
            <w:r>
              <w:rPr>
                <w:rFonts w:ascii="Cambria" w:hAnsi="Cambria"/>
                <w:b/>
                <w:sz w:val="19"/>
              </w:rPr>
              <w:t>5.4 × 10⁻⁶</w:t>
            </w:r>
          </w:p>
        </w:tc>
      </w:tr>
      <w:tr>
        <w:tc>
          <w:tcPr>
            <w:tcW w:type="dxa" w:w="4896"/>
          </w:tcPr>
          <w:p>
            <w:pPr>
              <w:spacing w:before="40" w:after="40"/>
              <w:jc w:val="left"/>
            </w:pPr>
            <w:r/>
            <w:r>
              <w:rPr>
                <w:rFonts w:ascii="Cambria" w:hAnsi="Cambria"/>
                <w:b w:val="0"/>
                <w:sz w:val="19"/>
              </w:rPr>
              <w:t>v2 against CLIPSeg</w:t>
            </w:r>
          </w:p>
        </w:tc>
        <w:tc>
          <w:tcPr>
            <w:tcW w:type="dxa" w:w="1728"/>
          </w:tcPr>
          <w:p>
            <w:pPr>
              <w:spacing w:before="40" w:after="40"/>
              <w:jc w:val="right"/>
            </w:pPr>
            <w:r/>
            <w:r>
              <w:rPr>
                <w:rFonts w:ascii="Cambria" w:hAnsi="Cambria"/>
                <w:b w:val="0"/>
                <w:sz w:val="19"/>
              </w:rPr>
              <w:t>+0.0216</w:t>
            </w:r>
          </w:p>
        </w:tc>
        <w:tc>
          <w:tcPr>
            <w:tcW w:type="dxa" w:w="2016"/>
          </w:tcPr>
          <w:p>
            <w:pPr>
              <w:spacing w:before="40" w:after="40"/>
              <w:jc w:val="right"/>
            </w:pPr>
            <w:r/>
            <w:r>
              <w:rPr>
                <w:rFonts w:ascii="Cambria" w:hAnsi="Cambria"/>
                <w:b w:val="0"/>
                <w:sz w:val="19"/>
              </w:rPr>
              <w:t>5.2 × 10⁻⁷</w:t>
            </w:r>
          </w:p>
        </w:tc>
      </w:tr>
      <w:tr>
        <w:tc>
          <w:tcPr>
            <w:tcW w:type="dxa" w:w="4896"/>
          </w:tcPr>
          <w:p>
            <w:pPr>
              <w:spacing w:before="40" w:after="40"/>
              <w:jc w:val="left"/>
            </w:pPr>
            <w:r/>
            <w:r>
              <w:rPr>
                <w:rFonts w:ascii="Cambria" w:hAnsi="Cambria"/>
                <w:b w:val="0"/>
                <w:sz w:val="19"/>
              </w:rPr>
              <w:t>v1 against CLIPSeg</w:t>
            </w:r>
          </w:p>
        </w:tc>
        <w:tc>
          <w:tcPr>
            <w:tcW w:type="dxa" w:w="1728"/>
          </w:tcPr>
          <w:p>
            <w:pPr>
              <w:spacing w:before="40" w:after="40"/>
              <w:jc w:val="right"/>
            </w:pPr>
            <w:r/>
            <w:r>
              <w:rPr>
                <w:rFonts w:ascii="Cambria" w:hAnsi="Cambria"/>
                <w:b w:val="0"/>
                <w:sz w:val="19"/>
              </w:rPr>
              <w:t>+0.0058</w:t>
            </w:r>
          </w:p>
        </w:tc>
        <w:tc>
          <w:tcPr>
            <w:tcW w:type="dxa" w:w="2016"/>
          </w:tcPr>
          <w:p>
            <w:pPr>
              <w:spacing w:before="40" w:after="40"/>
              <w:jc w:val="right"/>
            </w:pPr>
            <w:r/>
            <w:r>
              <w:rPr>
                <w:rFonts w:ascii="Cambria" w:hAnsi="Cambria"/>
                <w:b w:val="0"/>
                <w:sz w:val="19"/>
              </w:rPr>
              <w:t>2.9 × 10⁻³</w:t>
            </w:r>
          </w:p>
        </w:tc>
      </w:tr>
      <w:tr>
        <w:tc>
          <w:tcPr>
            <w:tcW w:type="dxa" w:w="4896"/>
          </w:tcPr>
          <w:p>
            <w:pPr>
              <w:spacing w:before="40" w:after="40"/>
              <w:jc w:val="left"/>
            </w:pPr>
            <w:r/>
            <w:r>
              <w:rPr>
                <w:rFonts w:ascii="Cambria" w:hAnsi="Cambria"/>
                <w:b w:val="0"/>
                <w:sz w:val="19"/>
              </w:rPr>
              <w:t>v2 against MagicBrush human masks</w:t>
            </w:r>
          </w:p>
        </w:tc>
        <w:tc>
          <w:tcPr>
            <w:tcW w:type="dxa" w:w="1728"/>
          </w:tcPr>
          <w:p>
            <w:pPr>
              <w:spacing w:before="40" w:after="40"/>
              <w:jc w:val="right"/>
            </w:pPr>
            <w:r/>
            <w:r>
              <w:rPr>
                <w:rFonts w:ascii="Cambria" w:hAnsi="Cambria"/>
                <w:b w:val="0"/>
                <w:sz w:val="19"/>
              </w:rPr>
              <w:t>+0.0554</w:t>
            </w:r>
          </w:p>
        </w:tc>
        <w:tc>
          <w:tcPr>
            <w:tcW w:type="dxa" w:w="2016"/>
          </w:tcPr>
          <w:p>
            <w:pPr>
              <w:spacing w:before="40" w:after="40"/>
              <w:jc w:val="right"/>
            </w:pPr>
            <w:r/>
            <w:r>
              <w:rPr>
                <w:rFonts w:ascii="Cambria" w:hAnsi="Cambria"/>
                <w:b w:val="0"/>
                <w:sz w:val="19"/>
              </w:rPr>
              <w:t>2.5 × 10⁻¹¹</w:t>
            </w:r>
          </w:p>
        </w:tc>
      </w:tr>
    </w:tbl>
    <w:p>
      <w:pPr>
        <w:spacing w:after="80"/>
      </w:pPr>
    </w:p>
    <w:p>
      <w:pPr>
        <w:jc w:val="center"/>
      </w:pPr>
      <w:r>
        <w:drawing>
          <wp:inline xmlns:a="http://schemas.openxmlformats.org/drawingml/2006/main" xmlns:pic="http://schemas.openxmlformats.org/drawingml/2006/picture">
            <wp:extent cx="5669280" cy="3260434"/>
            <wp:docPr id="1" name="Picture 1"/>
            <wp:cNvGraphicFramePr>
              <a:graphicFrameLocks noChangeAspect="1"/>
            </wp:cNvGraphicFramePr>
            <a:graphic>
              <a:graphicData uri="http://schemas.openxmlformats.org/drawingml/2006/picture">
                <pic:pic>
                  <pic:nvPicPr>
                    <pic:cNvPr id="0" name="results_full.png"/>
                    <pic:cNvPicPr/>
                  </pic:nvPicPr>
                  <pic:blipFill>
                    <a:blip r:embed="rId9"/>
                    <a:stretch>
                      <a:fillRect/>
                    </a:stretch>
                  </pic:blipFill>
                  <pic:spPr>
                    <a:xfrm>
                      <a:off x="0" y="0"/>
                      <a:ext cx="5669280" cy="3260434"/>
                    </a:xfrm>
                    <a:prstGeom prst="rect"/>
                  </pic:spPr>
                </pic:pic>
              </a:graphicData>
            </a:graphic>
          </wp:inline>
        </w:drawing>
      </w:r>
    </w:p>
    <w:p>
      <w:pPr>
        <w:spacing w:after="200"/>
        <w:jc w:val="left"/>
      </w:pPr>
      <w:r>
        <w:rPr>
          <w:i/>
          <w:color w:val="5A5852"/>
          <w:sz w:val="19"/>
        </w:rPr>
        <w:t>Figure 1. Individual seed results for both heads at both training-set sizes, with reference baselines. Lower panels give per-kind performance against the least-squares ceiling of Section 7.5.</w:t>
      </w:r>
    </w:p>
    <w:p>
      <w:pPr>
        <w:spacing w:after="120"/>
        <w:jc w:val="both"/>
      </w:pPr>
      <w:r>
        <w:rPr>
          <w:b w:val="0"/>
          <w:i w:val="0"/>
          <w:sz w:val="22"/>
        </w:rPr>
        <w:t>It would be convenient to credit the spatial head for this. The measurements do not support that. Both heads gained a comparable absolute amount from the larger training set, and the global head at 8,306 samples also exceeds CLIPSeg. The architecture contributes a significant additional 0.0158, but the larger single factor is the quantity of training data.</w:t>
      </w:r>
    </w:p>
    <w:p>
      <w:pPr>
        <w:pStyle w:val="Heading2"/>
      </w:pPr>
      <w:r>
        <w:t>7.2  Full metric suite</w:t>
      </w:r>
    </w:p>
    <w:p>
      <w:pPr>
        <w:spacing w:after="120"/>
        <w:jc w:val="both"/>
      </w:pPr>
      <w:r>
        <w:rPr>
          <w:b w:val="0"/>
          <w:i w:val="0"/>
          <w:sz w:val="22"/>
        </w:rPr>
        <w:t>Intersection over union alone conceals the precision–recall trade-off; two models with identical IoU may behave very differently. All four measures were computed over the same 503 development turns at the fixed 0.5 threshold.</w:t>
      </w:r>
    </w:p>
    <w:p>
      <w:pPr>
        <w:spacing w:after="60"/>
      </w:pPr>
      <w:r>
        <w:rPr>
          <w:i/>
          <w:color w:val="5A5852"/>
          <w:sz w:val="19"/>
        </w:rPr>
        <w:t>Table 9. Mean ± standard deviation over 12 seeds, with 95 percent confidence intervals on the mean (t, 11 df).</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814"/>
        <w:gridCol w:w="1814"/>
        <w:gridCol w:w="1814"/>
        <w:gridCol w:w="1814"/>
        <w:gridCol w:w="1814"/>
      </w:tblGrid>
      <w:tr>
        <w:tc>
          <w:tcPr>
            <w:tcW w:type="dxa" w:w="1944"/>
            <w:tcBorders>
              <w:bottom w:val="single" w:sz="6" w:color="1B1A17"/>
            </w:tcBorders>
          </w:tcPr>
          <w:p>
            <w:pPr>
              <w:spacing w:before="40" w:after="40"/>
              <w:jc w:val="left"/>
            </w:pPr>
            <w:r/>
            <w:r>
              <w:rPr>
                <w:rFonts w:ascii="Cambria" w:hAnsi="Cambria"/>
                <w:b/>
                <w:sz w:val="19"/>
              </w:rPr>
              <w:t>Head</w:t>
            </w:r>
          </w:p>
        </w:tc>
        <w:tc>
          <w:tcPr>
            <w:tcW w:type="dxa" w:w="2160"/>
            <w:tcBorders>
              <w:bottom w:val="single" w:sz="6" w:color="1B1A17"/>
            </w:tcBorders>
          </w:tcPr>
          <w:p>
            <w:pPr>
              <w:spacing w:before="40" w:after="40"/>
              <w:jc w:val="right"/>
            </w:pPr>
            <w:r/>
            <w:r>
              <w:rPr>
                <w:rFonts w:ascii="Cambria" w:hAnsi="Cambria"/>
                <w:b/>
                <w:sz w:val="19"/>
              </w:rPr>
              <w:t>IoU</w:t>
            </w:r>
          </w:p>
        </w:tc>
        <w:tc>
          <w:tcPr>
            <w:tcW w:type="dxa" w:w="2160"/>
            <w:tcBorders>
              <w:bottom w:val="single" w:sz="6" w:color="1B1A17"/>
            </w:tcBorders>
          </w:tcPr>
          <w:p>
            <w:pPr>
              <w:spacing w:before="40" w:after="40"/>
              <w:jc w:val="right"/>
            </w:pPr>
            <w:r/>
            <w:r>
              <w:rPr>
                <w:rFonts w:ascii="Cambria" w:hAnsi="Cambria"/>
                <w:b/>
                <w:sz w:val="19"/>
              </w:rPr>
              <w:t>Precision</w:t>
            </w:r>
          </w:p>
        </w:tc>
        <w:tc>
          <w:tcPr>
            <w:tcW w:type="dxa" w:w="2160"/>
            <w:tcBorders>
              <w:bottom w:val="single" w:sz="6" w:color="1B1A17"/>
            </w:tcBorders>
          </w:tcPr>
          <w:p>
            <w:pPr>
              <w:spacing w:before="40" w:after="40"/>
              <w:jc w:val="right"/>
            </w:pPr>
            <w:r/>
            <w:r>
              <w:rPr>
                <w:rFonts w:ascii="Cambria" w:hAnsi="Cambria"/>
                <w:b/>
                <w:sz w:val="19"/>
              </w:rPr>
              <w:t>Recall</w:t>
            </w:r>
          </w:p>
        </w:tc>
        <w:tc>
          <w:tcPr>
            <w:tcW w:type="dxa" w:w="1224"/>
            <w:tcBorders>
              <w:bottom w:val="single" w:sz="6" w:color="1B1A17"/>
            </w:tcBorders>
          </w:tcPr>
          <w:p>
            <w:pPr>
              <w:spacing w:before="40" w:after="40"/>
              <w:jc w:val="right"/>
            </w:pPr>
            <w:r/>
            <w:r>
              <w:rPr>
                <w:rFonts w:ascii="Cambria" w:hAnsi="Cambria"/>
                <w:b/>
                <w:sz w:val="19"/>
              </w:rPr>
              <w:t>F1 / Dice</w:t>
            </w:r>
          </w:p>
        </w:tc>
      </w:tr>
      <w:tr>
        <w:tc>
          <w:tcPr>
            <w:tcW w:type="dxa" w:w="1944"/>
          </w:tcPr>
          <w:p>
            <w:pPr>
              <w:spacing w:before="40" w:after="40"/>
              <w:jc w:val="left"/>
            </w:pPr>
            <w:r/>
            <w:r>
              <w:rPr>
                <w:rFonts w:ascii="Cambria" w:hAnsi="Cambria"/>
                <w:b/>
                <w:sz w:val="19"/>
              </w:rPr>
              <w:t>v2 spatial</w:t>
            </w:r>
          </w:p>
        </w:tc>
        <w:tc>
          <w:tcPr>
            <w:tcW w:type="dxa" w:w="2160"/>
          </w:tcPr>
          <w:p>
            <w:pPr>
              <w:spacing w:before="40" w:after="40"/>
              <w:jc w:val="right"/>
            </w:pPr>
            <w:r/>
            <w:r>
              <w:rPr>
                <w:rFonts w:ascii="Cambria" w:hAnsi="Cambria"/>
                <w:b/>
                <w:sz w:val="19"/>
              </w:rPr>
              <w:t>0.2065 ± 0.0072</w:t>
            </w:r>
          </w:p>
        </w:tc>
        <w:tc>
          <w:tcPr>
            <w:tcW w:type="dxa" w:w="2160"/>
          </w:tcPr>
          <w:p>
            <w:pPr>
              <w:spacing w:before="40" w:after="40"/>
              <w:jc w:val="right"/>
            </w:pPr>
            <w:r/>
            <w:r>
              <w:rPr>
                <w:rFonts w:ascii="Cambria" w:hAnsi="Cambria"/>
                <w:b/>
                <w:sz w:val="19"/>
              </w:rPr>
              <w:t>0.3126 ± 0.0084</w:t>
            </w:r>
          </w:p>
        </w:tc>
        <w:tc>
          <w:tcPr>
            <w:tcW w:type="dxa" w:w="2160"/>
          </w:tcPr>
          <w:p>
            <w:pPr>
              <w:spacing w:before="40" w:after="40"/>
              <w:jc w:val="right"/>
            </w:pPr>
            <w:r/>
            <w:r>
              <w:rPr>
                <w:rFonts w:ascii="Cambria" w:hAnsi="Cambria"/>
                <w:b/>
                <w:sz w:val="19"/>
              </w:rPr>
              <w:t>0.3878 ± 0.0256</w:t>
            </w:r>
          </w:p>
        </w:tc>
        <w:tc>
          <w:tcPr>
            <w:tcW w:type="dxa" w:w="1224"/>
          </w:tcPr>
          <w:p>
            <w:pPr>
              <w:spacing w:before="40" w:after="40"/>
              <w:jc w:val="right"/>
            </w:pPr>
            <w:r/>
            <w:r>
              <w:rPr>
                <w:rFonts w:ascii="Cambria" w:hAnsi="Cambria"/>
                <w:b/>
                <w:sz w:val="19"/>
              </w:rPr>
              <w:t>0.2976</w:t>
            </w:r>
          </w:p>
        </w:tc>
      </w:tr>
      <w:tr>
        <w:tc>
          <w:tcPr>
            <w:tcW w:type="dxa" w:w="1944"/>
          </w:tcPr>
          <w:p>
            <w:pPr>
              <w:spacing w:before="40" w:after="40"/>
              <w:jc w:val="left"/>
            </w:pPr>
            <w:r/>
            <w:r>
              <w:rPr>
                <w:rFonts w:ascii="Cambria" w:hAnsi="Cambria"/>
                <w:b w:val="0"/>
                <w:sz w:val="19"/>
              </w:rPr>
              <w:t>v1 global</w:t>
            </w:r>
          </w:p>
        </w:tc>
        <w:tc>
          <w:tcPr>
            <w:tcW w:type="dxa" w:w="2160"/>
          </w:tcPr>
          <w:p>
            <w:pPr>
              <w:spacing w:before="40" w:after="40"/>
              <w:jc w:val="right"/>
            </w:pPr>
            <w:r/>
            <w:r>
              <w:rPr>
                <w:rFonts w:ascii="Cambria" w:hAnsi="Cambria"/>
                <w:b w:val="0"/>
                <w:sz w:val="19"/>
              </w:rPr>
              <w:t>0.1907 ± 0.0053</w:t>
            </w:r>
          </w:p>
        </w:tc>
        <w:tc>
          <w:tcPr>
            <w:tcW w:type="dxa" w:w="2160"/>
          </w:tcPr>
          <w:p>
            <w:pPr>
              <w:spacing w:before="40" w:after="40"/>
              <w:jc w:val="right"/>
            </w:pPr>
            <w:r/>
            <w:r>
              <w:rPr>
                <w:rFonts w:ascii="Cambria" w:hAnsi="Cambria"/>
                <w:b w:val="0"/>
                <w:sz w:val="19"/>
              </w:rPr>
              <w:t>0.2972 ± 0.0070</w:t>
            </w:r>
          </w:p>
        </w:tc>
        <w:tc>
          <w:tcPr>
            <w:tcW w:type="dxa" w:w="2160"/>
          </w:tcPr>
          <w:p>
            <w:pPr>
              <w:spacing w:before="40" w:after="40"/>
              <w:jc w:val="right"/>
            </w:pPr>
            <w:r/>
            <w:r>
              <w:rPr>
                <w:rFonts w:ascii="Cambria" w:hAnsi="Cambria"/>
                <w:b w:val="0"/>
                <w:sz w:val="19"/>
              </w:rPr>
              <w:t>0.3510 ± 0.0209</w:t>
            </w:r>
          </w:p>
        </w:tc>
        <w:tc>
          <w:tcPr>
            <w:tcW w:type="dxa" w:w="1224"/>
          </w:tcPr>
          <w:p>
            <w:pPr>
              <w:spacing w:before="40" w:after="40"/>
              <w:jc w:val="right"/>
            </w:pPr>
            <w:r/>
            <w:r>
              <w:rPr>
                <w:rFonts w:ascii="Cambria" w:hAnsi="Cambria"/>
                <w:b w:val="0"/>
                <w:sz w:val="19"/>
              </w:rPr>
              <w:t>0.2757</w:t>
            </w:r>
          </w:p>
        </w:tc>
      </w:tr>
      <w:tr>
        <w:tc>
          <w:tcPr>
            <w:tcW w:type="dxa" w:w="1944"/>
          </w:tcPr>
          <w:p>
            <w:pPr>
              <w:spacing w:before="40" w:after="40"/>
              <w:jc w:val="left"/>
            </w:pPr>
            <w:r/>
            <w:r>
              <w:rPr>
                <w:rFonts w:ascii="Cambria" w:hAnsi="Cambria"/>
                <w:b w:val="0"/>
                <w:sz w:val="19"/>
              </w:rPr>
              <w:t>95% CI, v2</w:t>
            </w:r>
          </w:p>
        </w:tc>
        <w:tc>
          <w:tcPr>
            <w:tcW w:type="dxa" w:w="2160"/>
          </w:tcPr>
          <w:p>
            <w:pPr>
              <w:spacing w:before="40" w:after="40"/>
              <w:jc w:val="right"/>
            </w:pPr>
            <w:r/>
            <w:r>
              <w:rPr>
                <w:rFonts w:ascii="Cambria" w:hAnsi="Cambria"/>
                <w:b w:val="0"/>
                <w:sz w:val="19"/>
              </w:rPr>
              <w:t>[0.2019, 0.2111]</w:t>
            </w:r>
          </w:p>
        </w:tc>
        <w:tc>
          <w:tcPr>
            <w:tcW w:type="dxa" w:w="2160"/>
          </w:tcPr>
          <w:p>
            <w:pPr>
              <w:spacing w:before="40" w:after="40"/>
              <w:jc w:val="right"/>
            </w:pPr>
            <w:r/>
            <w:r>
              <w:rPr>
                <w:rFonts w:ascii="Cambria" w:hAnsi="Cambria"/>
                <w:b w:val="0"/>
                <w:sz w:val="19"/>
              </w:rPr>
              <w:t>[0.3072, 0.3179]</w:t>
            </w:r>
          </w:p>
        </w:tc>
        <w:tc>
          <w:tcPr>
            <w:tcW w:type="dxa" w:w="2160"/>
          </w:tcPr>
          <w:p>
            <w:pPr>
              <w:spacing w:before="40" w:after="40"/>
              <w:jc w:val="right"/>
            </w:pPr>
            <w:r/>
            <w:r>
              <w:rPr>
                <w:rFonts w:ascii="Cambria" w:hAnsi="Cambria"/>
                <w:b w:val="0"/>
                <w:sz w:val="19"/>
              </w:rPr>
              <w:t>[0.3716, 0.4041]</w:t>
            </w:r>
          </w:p>
        </w:tc>
        <w:tc>
          <w:tcPr>
            <w:tcW w:type="dxa" w:w="1224"/>
          </w:tcPr>
          <w:p>
            <w:pPr>
              <w:spacing w:before="40" w:after="40"/>
              <w:jc w:val="right"/>
            </w:pPr>
            <w:r/>
            <w:r>
              <w:rPr>
                <w:rFonts w:ascii="Cambria" w:hAnsi="Cambria"/>
                <w:b w:val="0"/>
                <w:sz w:val="19"/>
              </w:rPr>
              <w:t>—</w:t>
            </w:r>
          </w:p>
        </w:tc>
      </w:tr>
    </w:tbl>
    <w:p>
      <w:pPr>
        <w:spacing w:after="80"/>
      </w:pPr>
    </w:p>
    <w:p>
      <w:pPr>
        <w:spacing w:after="120"/>
        <w:jc w:val="both"/>
      </w:pPr>
      <w:r>
        <w:rPr>
          <w:b w:val="0"/>
          <w:i w:val="0"/>
          <w:sz w:val="22"/>
        </w:rPr>
        <w:t>Cohen's d for the v2 against v1 comparison on IoU is 2.50, indicating a large effect, not just a significant one. Mean predicted area is 11.70 percent against a true changed area of 9.58 percent, so the model over-predicts slightly at this operating point.</w:t>
      </w:r>
    </w:p>
    <w:p>
      <w:pPr>
        <w:pStyle w:val="Heading2"/>
      </w:pPr>
      <w:r>
        <w:t>7.3  Operating point</w:t>
      </w:r>
    </w:p>
    <w:p>
      <w:pPr>
        <w:spacing w:after="120"/>
        <w:jc w:val="both"/>
      </w:pPr>
      <w:r>
        <w:rPr>
          <w:b w:val="0"/>
          <w:i w:val="0"/>
          <w:sz w:val="22"/>
        </w:rPr>
        <w:t>The 0.5 threshold was fixed before evaluation. Sweeping it on the development set shows IoU peaking near 0.3.</w:t>
      </w:r>
    </w:p>
    <w:p>
      <w:pPr>
        <w:spacing w:after="60"/>
      </w:pPr>
      <w:r>
        <w:rPr>
          <w:i/>
          <w:color w:val="5A5852"/>
          <w:sz w:val="19"/>
        </w:rPr>
        <w:t>Table 10. Threshold sweep for the v2 head, mean over 12 seeds. True changed area is 9.58 percent.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872"/>
            <w:tcBorders>
              <w:bottom w:val="single" w:sz="6" w:color="1B1A17"/>
            </w:tcBorders>
          </w:tcPr>
          <w:p>
            <w:pPr>
              <w:spacing w:before="40" w:after="40"/>
              <w:jc w:val="left"/>
            </w:pPr>
            <w:r/>
            <w:r>
              <w:rPr>
                <w:rFonts w:ascii="Cambria" w:hAnsi="Cambria"/>
                <w:b/>
                <w:sz w:val="19"/>
              </w:rPr>
              <w:t>Threshold</w:t>
            </w:r>
          </w:p>
        </w:tc>
        <w:tc>
          <w:tcPr>
            <w:tcW w:type="dxa" w:w="1296"/>
            <w:tcBorders>
              <w:bottom w:val="single" w:sz="6" w:color="1B1A17"/>
            </w:tcBorders>
          </w:tcPr>
          <w:p>
            <w:pPr>
              <w:spacing w:before="40" w:after="40"/>
              <w:jc w:val="right"/>
            </w:pPr>
            <w:r/>
            <w:r>
              <w:rPr>
                <w:rFonts w:ascii="Cambria" w:hAnsi="Cambria"/>
                <w:b/>
                <w:sz w:val="19"/>
              </w:rPr>
              <w:t>IoU</w:t>
            </w:r>
          </w:p>
        </w:tc>
        <w:tc>
          <w:tcPr>
            <w:tcW w:type="dxa" w:w="1440"/>
            <w:tcBorders>
              <w:bottom w:val="single" w:sz="6" w:color="1B1A17"/>
            </w:tcBorders>
          </w:tcPr>
          <w:p>
            <w:pPr>
              <w:spacing w:before="40" w:after="40"/>
              <w:jc w:val="right"/>
            </w:pPr>
            <w:r/>
            <w:r>
              <w:rPr>
                <w:rFonts w:ascii="Cambria" w:hAnsi="Cambria"/>
                <w:b/>
                <w:sz w:val="19"/>
              </w:rPr>
              <w:t>Precision</w:t>
            </w:r>
          </w:p>
        </w:tc>
        <w:tc>
          <w:tcPr>
            <w:tcW w:type="dxa" w:w="1296"/>
            <w:tcBorders>
              <w:bottom w:val="single" w:sz="6" w:color="1B1A17"/>
            </w:tcBorders>
          </w:tcPr>
          <w:p>
            <w:pPr>
              <w:spacing w:before="40" w:after="40"/>
              <w:jc w:val="right"/>
            </w:pPr>
            <w:r/>
            <w:r>
              <w:rPr>
                <w:rFonts w:ascii="Cambria" w:hAnsi="Cambria"/>
                <w:b/>
                <w:sz w:val="19"/>
              </w:rPr>
              <w:t>Recall</w:t>
            </w:r>
          </w:p>
        </w:tc>
        <w:tc>
          <w:tcPr>
            <w:tcW w:type="dxa" w:w="1296"/>
            <w:tcBorders>
              <w:bottom w:val="single" w:sz="6" w:color="1B1A17"/>
            </w:tcBorders>
          </w:tcPr>
          <w:p>
            <w:pPr>
              <w:spacing w:before="40" w:after="40"/>
              <w:jc w:val="right"/>
            </w:pPr>
            <w:r/>
            <w:r>
              <w:rPr>
                <w:rFonts w:ascii="Cambria" w:hAnsi="Cambria"/>
                <w:b/>
                <w:sz w:val="19"/>
              </w:rPr>
              <w:t>F1</w:t>
            </w:r>
          </w:p>
        </w:tc>
        <w:tc>
          <w:tcPr>
            <w:tcW w:type="dxa" w:w="1728"/>
            <w:tcBorders>
              <w:bottom w:val="single" w:sz="6" w:color="1B1A17"/>
            </w:tcBorders>
          </w:tcPr>
          <w:p>
            <w:pPr>
              <w:spacing w:before="40" w:after="40"/>
              <w:jc w:val="right"/>
            </w:pPr>
            <w:r/>
            <w:r>
              <w:rPr>
                <w:rFonts w:ascii="Cambria" w:hAnsi="Cambria"/>
                <w:b/>
                <w:sz w:val="19"/>
              </w:rPr>
              <w:t>Predicted area</w:t>
            </w:r>
          </w:p>
        </w:tc>
      </w:tr>
      <w:tr>
        <w:tc>
          <w:tcPr>
            <w:tcW w:type="dxa" w:w="1872"/>
          </w:tcPr>
          <w:p>
            <w:pPr>
              <w:spacing w:before="40" w:after="40"/>
              <w:jc w:val="left"/>
            </w:pPr>
            <w:r/>
            <w:r>
              <w:rPr>
                <w:rFonts w:ascii="Cambria" w:hAnsi="Cambria"/>
                <w:b w:val="0"/>
                <w:sz w:val="19"/>
              </w:rPr>
              <w:t>0.1</w:t>
            </w:r>
          </w:p>
        </w:tc>
        <w:tc>
          <w:tcPr>
            <w:tcW w:type="dxa" w:w="1296"/>
          </w:tcPr>
          <w:p>
            <w:pPr>
              <w:spacing w:before="40" w:after="40"/>
              <w:jc w:val="right"/>
            </w:pPr>
            <w:r/>
            <w:r>
              <w:rPr>
                <w:rFonts w:ascii="Cambria" w:hAnsi="Cambria"/>
                <w:b w:val="0"/>
                <w:sz w:val="19"/>
              </w:rPr>
              <w:t>0.2096</w:t>
            </w:r>
          </w:p>
        </w:tc>
        <w:tc>
          <w:tcPr>
            <w:tcW w:type="dxa" w:w="1440"/>
          </w:tcPr>
          <w:p>
            <w:pPr>
              <w:spacing w:before="40" w:after="40"/>
              <w:jc w:val="right"/>
            </w:pPr>
            <w:r/>
            <w:r>
              <w:rPr>
                <w:rFonts w:ascii="Cambria" w:hAnsi="Cambria"/>
                <w:b w:val="0"/>
                <w:sz w:val="19"/>
              </w:rPr>
              <w:t>0.2393</w:t>
            </w:r>
          </w:p>
        </w:tc>
        <w:tc>
          <w:tcPr>
            <w:tcW w:type="dxa" w:w="1296"/>
          </w:tcPr>
          <w:p>
            <w:pPr>
              <w:spacing w:before="40" w:after="40"/>
              <w:jc w:val="right"/>
            </w:pPr>
            <w:r/>
            <w:r>
              <w:rPr>
                <w:rFonts w:ascii="Cambria" w:hAnsi="Cambria"/>
                <w:b w:val="0"/>
                <w:sz w:val="19"/>
              </w:rPr>
              <w:t>0.6733</w:t>
            </w:r>
          </w:p>
        </w:tc>
        <w:tc>
          <w:tcPr>
            <w:tcW w:type="dxa" w:w="1296"/>
          </w:tcPr>
          <w:p>
            <w:pPr>
              <w:spacing w:before="40" w:after="40"/>
              <w:jc w:val="right"/>
            </w:pPr>
            <w:r/>
            <w:r>
              <w:rPr>
                <w:rFonts w:ascii="Cambria" w:hAnsi="Cambria"/>
                <w:b w:val="0"/>
                <w:sz w:val="19"/>
              </w:rPr>
              <w:t>0.3124</w:t>
            </w:r>
          </w:p>
        </w:tc>
        <w:tc>
          <w:tcPr>
            <w:tcW w:type="dxa" w:w="1728"/>
          </w:tcPr>
          <w:p>
            <w:pPr>
              <w:spacing w:before="40" w:after="40"/>
              <w:jc w:val="right"/>
            </w:pPr>
            <w:r/>
            <w:r>
              <w:rPr>
                <w:rFonts w:ascii="Cambria" w:hAnsi="Cambria"/>
                <w:b w:val="0"/>
                <w:sz w:val="19"/>
              </w:rPr>
              <w:t>30.12%</w:t>
            </w:r>
          </w:p>
        </w:tc>
      </w:tr>
      <w:tr>
        <w:tc>
          <w:tcPr>
            <w:tcW w:type="dxa" w:w="1872"/>
          </w:tcPr>
          <w:p>
            <w:pPr>
              <w:spacing w:before="40" w:after="40"/>
              <w:jc w:val="left"/>
            </w:pPr>
            <w:r/>
            <w:r>
              <w:rPr>
                <w:rFonts w:ascii="Cambria" w:hAnsi="Cambria"/>
                <w:b w:val="0"/>
                <w:sz w:val="19"/>
              </w:rPr>
              <w:t>0.2</w:t>
            </w:r>
          </w:p>
        </w:tc>
        <w:tc>
          <w:tcPr>
            <w:tcW w:type="dxa" w:w="1296"/>
          </w:tcPr>
          <w:p>
            <w:pPr>
              <w:spacing w:before="40" w:after="40"/>
              <w:jc w:val="right"/>
            </w:pPr>
            <w:r/>
            <w:r>
              <w:rPr>
                <w:rFonts w:ascii="Cambria" w:hAnsi="Cambria"/>
                <w:b w:val="0"/>
                <w:sz w:val="19"/>
              </w:rPr>
              <w:t>0.2172</w:t>
            </w:r>
          </w:p>
        </w:tc>
        <w:tc>
          <w:tcPr>
            <w:tcW w:type="dxa" w:w="1440"/>
          </w:tcPr>
          <w:p>
            <w:pPr>
              <w:spacing w:before="40" w:after="40"/>
              <w:jc w:val="right"/>
            </w:pPr>
            <w:r/>
            <w:r>
              <w:rPr>
                <w:rFonts w:ascii="Cambria" w:hAnsi="Cambria"/>
                <w:b w:val="0"/>
                <w:sz w:val="19"/>
              </w:rPr>
              <w:t>0.2637</w:t>
            </w:r>
          </w:p>
        </w:tc>
        <w:tc>
          <w:tcPr>
            <w:tcW w:type="dxa" w:w="1296"/>
          </w:tcPr>
          <w:p>
            <w:pPr>
              <w:spacing w:before="40" w:after="40"/>
              <w:jc w:val="right"/>
            </w:pPr>
            <w:r/>
            <w:r>
              <w:rPr>
                <w:rFonts w:ascii="Cambria" w:hAnsi="Cambria"/>
                <w:b w:val="0"/>
                <w:sz w:val="19"/>
              </w:rPr>
              <w:t>0.5775</w:t>
            </w:r>
          </w:p>
        </w:tc>
        <w:tc>
          <w:tcPr>
            <w:tcW w:type="dxa" w:w="1296"/>
          </w:tcPr>
          <w:p>
            <w:pPr>
              <w:spacing w:before="40" w:after="40"/>
              <w:jc w:val="right"/>
            </w:pPr>
            <w:r/>
            <w:r>
              <w:rPr>
                <w:rFonts w:ascii="Cambria" w:hAnsi="Cambria"/>
                <w:b w:val="0"/>
                <w:sz w:val="19"/>
              </w:rPr>
              <w:t>0.3185</w:t>
            </w:r>
          </w:p>
        </w:tc>
        <w:tc>
          <w:tcPr>
            <w:tcW w:type="dxa" w:w="1728"/>
          </w:tcPr>
          <w:p>
            <w:pPr>
              <w:spacing w:before="40" w:after="40"/>
              <w:jc w:val="right"/>
            </w:pPr>
            <w:r/>
            <w:r>
              <w:rPr>
                <w:rFonts w:ascii="Cambria" w:hAnsi="Cambria"/>
                <w:b w:val="0"/>
                <w:sz w:val="19"/>
              </w:rPr>
              <w:t>22.74%</w:t>
            </w:r>
          </w:p>
        </w:tc>
      </w:tr>
      <w:tr>
        <w:tc>
          <w:tcPr>
            <w:tcW w:type="dxa" w:w="1872"/>
          </w:tcPr>
          <w:p>
            <w:pPr>
              <w:spacing w:before="40" w:after="40"/>
              <w:jc w:val="left"/>
            </w:pPr>
            <w:r/>
            <w:r>
              <w:rPr>
                <w:rFonts w:ascii="Cambria" w:hAnsi="Cambria"/>
                <w:b/>
                <w:sz w:val="19"/>
              </w:rPr>
              <w:t>0.3</w:t>
            </w:r>
          </w:p>
        </w:tc>
        <w:tc>
          <w:tcPr>
            <w:tcW w:type="dxa" w:w="1296"/>
          </w:tcPr>
          <w:p>
            <w:pPr>
              <w:spacing w:before="40" w:after="40"/>
              <w:jc w:val="right"/>
            </w:pPr>
            <w:r/>
            <w:r>
              <w:rPr>
                <w:rFonts w:ascii="Cambria" w:hAnsi="Cambria"/>
                <w:b/>
                <w:sz w:val="19"/>
              </w:rPr>
              <w:t>0.2180</w:t>
            </w:r>
          </w:p>
        </w:tc>
        <w:tc>
          <w:tcPr>
            <w:tcW w:type="dxa" w:w="1440"/>
          </w:tcPr>
          <w:p>
            <w:pPr>
              <w:spacing w:before="40" w:after="40"/>
              <w:jc w:val="right"/>
            </w:pPr>
            <w:r/>
            <w:r>
              <w:rPr>
                <w:rFonts w:ascii="Cambria" w:hAnsi="Cambria"/>
                <w:b/>
                <w:sz w:val="19"/>
              </w:rPr>
              <w:t>0.2818</w:t>
            </w:r>
          </w:p>
        </w:tc>
        <w:tc>
          <w:tcPr>
            <w:tcW w:type="dxa" w:w="1296"/>
          </w:tcPr>
          <w:p>
            <w:pPr>
              <w:spacing w:before="40" w:after="40"/>
              <w:jc w:val="right"/>
            </w:pPr>
            <w:r/>
            <w:r>
              <w:rPr>
                <w:rFonts w:ascii="Cambria" w:hAnsi="Cambria"/>
                <w:b/>
                <w:sz w:val="19"/>
              </w:rPr>
              <w:t>0.5063</w:t>
            </w:r>
          </w:p>
        </w:tc>
        <w:tc>
          <w:tcPr>
            <w:tcW w:type="dxa" w:w="1296"/>
          </w:tcPr>
          <w:p>
            <w:pPr>
              <w:spacing w:before="40" w:after="40"/>
              <w:jc w:val="right"/>
            </w:pPr>
            <w:r/>
            <w:r>
              <w:rPr>
                <w:rFonts w:ascii="Cambria" w:hAnsi="Cambria"/>
                <w:b/>
                <w:sz w:val="19"/>
              </w:rPr>
              <w:t>0.3166</w:t>
            </w:r>
          </w:p>
        </w:tc>
        <w:tc>
          <w:tcPr>
            <w:tcW w:type="dxa" w:w="1728"/>
          </w:tcPr>
          <w:p>
            <w:pPr>
              <w:spacing w:before="40" w:after="40"/>
              <w:jc w:val="right"/>
            </w:pPr>
            <w:r/>
            <w:r>
              <w:rPr>
                <w:rFonts w:ascii="Cambria" w:hAnsi="Cambria"/>
                <w:b/>
                <w:sz w:val="19"/>
              </w:rPr>
              <w:t>18.10%</w:t>
            </w:r>
          </w:p>
        </w:tc>
      </w:tr>
      <w:tr>
        <w:tc>
          <w:tcPr>
            <w:tcW w:type="dxa" w:w="1872"/>
          </w:tcPr>
          <w:p>
            <w:pPr>
              <w:spacing w:before="40" w:after="40"/>
              <w:jc w:val="left"/>
            </w:pPr>
            <w:r/>
            <w:r>
              <w:rPr>
                <w:rFonts w:ascii="Cambria" w:hAnsi="Cambria"/>
                <w:b w:val="0"/>
                <w:sz w:val="19"/>
              </w:rPr>
              <w:t>0.4</w:t>
            </w:r>
          </w:p>
        </w:tc>
        <w:tc>
          <w:tcPr>
            <w:tcW w:type="dxa" w:w="1296"/>
          </w:tcPr>
          <w:p>
            <w:pPr>
              <w:spacing w:before="40" w:after="40"/>
              <w:jc w:val="right"/>
            </w:pPr>
            <w:r/>
            <w:r>
              <w:rPr>
                <w:rFonts w:ascii="Cambria" w:hAnsi="Cambria"/>
                <w:b w:val="0"/>
                <w:sz w:val="19"/>
              </w:rPr>
              <w:t>0.2144</w:t>
            </w:r>
          </w:p>
        </w:tc>
        <w:tc>
          <w:tcPr>
            <w:tcW w:type="dxa" w:w="1440"/>
          </w:tcPr>
          <w:p>
            <w:pPr>
              <w:spacing w:before="40" w:after="40"/>
              <w:jc w:val="right"/>
            </w:pPr>
            <w:r/>
            <w:r>
              <w:rPr>
                <w:rFonts w:ascii="Cambria" w:hAnsi="Cambria"/>
                <w:b w:val="0"/>
                <w:sz w:val="19"/>
              </w:rPr>
              <w:t>0.2975</w:t>
            </w:r>
          </w:p>
        </w:tc>
        <w:tc>
          <w:tcPr>
            <w:tcW w:type="dxa" w:w="1296"/>
          </w:tcPr>
          <w:p>
            <w:pPr>
              <w:spacing w:before="40" w:after="40"/>
              <w:jc w:val="right"/>
            </w:pPr>
            <w:r/>
            <w:r>
              <w:rPr>
                <w:rFonts w:ascii="Cambria" w:hAnsi="Cambria"/>
                <w:b w:val="0"/>
                <w:sz w:val="19"/>
              </w:rPr>
              <w:t>0.4453</w:t>
            </w:r>
          </w:p>
        </w:tc>
        <w:tc>
          <w:tcPr>
            <w:tcW w:type="dxa" w:w="1296"/>
          </w:tcPr>
          <w:p>
            <w:pPr>
              <w:spacing w:before="40" w:after="40"/>
              <w:jc w:val="right"/>
            </w:pPr>
            <w:r/>
            <w:r>
              <w:rPr>
                <w:rFonts w:ascii="Cambria" w:hAnsi="Cambria"/>
                <w:b w:val="0"/>
                <w:sz w:val="19"/>
              </w:rPr>
              <w:t>0.3097</w:t>
            </w:r>
          </w:p>
        </w:tc>
        <w:tc>
          <w:tcPr>
            <w:tcW w:type="dxa" w:w="1728"/>
          </w:tcPr>
          <w:p>
            <w:pPr>
              <w:spacing w:before="40" w:after="40"/>
              <w:jc w:val="right"/>
            </w:pPr>
            <w:r/>
            <w:r>
              <w:rPr>
                <w:rFonts w:ascii="Cambria" w:hAnsi="Cambria"/>
                <w:b w:val="0"/>
                <w:sz w:val="19"/>
              </w:rPr>
              <w:t>14.60%</w:t>
            </w:r>
          </w:p>
        </w:tc>
      </w:tr>
      <w:tr>
        <w:tc>
          <w:tcPr>
            <w:tcW w:type="dxa" w:w="1872"/>
          </w:tcPr>
          <w:p>
            <w:pPr>
              <w:spacing w:before="40" w:after="40"/>
              <w:jc w:val="left"/>
            </w:pPr>
            <w:r/>
            <w:r>
              <w:rPr>
                <w:rFonts w:ascii="Cambria" w:hAnsi="Cambria"/>
                <w:b w:val="0"/>
                <w:sz w:val="19"/>
              </w:rPr>
              <w:t>0.5 (reported)</w:t>
            </w:r>
          </w:p>
        </w:tc>
        <w:tc>
          <w:tcPr>
            <w:tcW w:type="dxa" w:w="1296"/>
          </w:tcPr>
          <w:p>
            <w:pPr>
              <w:spacing w:before="40" w:after="40"/>
              <w:jc w:val="right"/>
            </w:pPr>
            <w:r/>
            <w:r>
              <w:rPr>
                <w:rFonts w:ascii="Cambria" w:hAnsi="Cambria"/>
                <w:b w:val="0"/>
                <w:sz w:val="19"/>
              </w:rPr>
              <w:t>0.2065</w:t>
            </w:r>
          </w:p>
        </w:tc>
        <w:tc>
          <w:tcPr>
            <w:tcW w:type="dxa" w:w="1440"/>
          </w:tcPr>
          <w:p>
            <w:pPr>
              <w:spacing w:before="40" w:after="40"/>
              <w:jc w:val="right"/>
            </w:pPr>
            <w:r/>
            <w:r>
              <w:rPr>
                <w:rFonts w:ascii="Cambria" w:hAnsi="Cambria"/>
                <w:b w:val="0"/>
                <w:sz w:val="19"/>
              </w:rPr>
              <w:t>0.3126</w:t>
            </w:r>
          </w:p>
        </w:tc>
        <w:tc>
          <w:tcPr>
            <w:tcW w:type="dxa" w:w="1296"/>
          </w:tcPr>
          <w:p>
            <w:pPr>
              <w:spacing w:before="40" w:after="40"/>
              <w:jc w:val="right"/>
            </w:pPr>
            <w:r/>
            <w:r>
              <w:rPr>
                <w:rFonts w:ascii="Cambria" w:hAnsi="Cambria"/>
                <w:b w:val="0"/>
                <w:sz w:val="19"/>
              </w:rPr>
              <w:t>0.3878</w:t>
            </w:r>
          </w:p>
        </w:tc>
        <w:tc>
          <w:tcPr>
            <w:tcW w:type="dxa" w:w="1296"/>
          </w:tcPr>
          <w:p>
            <w:pPr>
              <w:spacing w:before="40" w:after="40"/>
              <w:jc w:val="right"/>
            </w:pPr>
            <w:r/>
            <w:r>
              <w:rPr>
                <w:rFonts w:ascii="Cambria" w:hAnsi="Cambria"/>
                <w:b w:val="0"/>
                <w:sz w:val="19"/>
              </w:rPr>
              <w:t>0.2976</w:t>
            </w:r>
          </w:p>
        </w:tc>
        <w:tc>
          <w:tcPr>
            <w:tcW w:type="dxa" w:w="1728"/>
          </w:tcPr>
          <w:p>
            <w:pPr>
              <w:spacing w:before="40" w:after="40"/>
              <w:jc w:val="right"/>
            </w:pPr>
            <w:r/>
            <w:r>
              <w:rPr>
                <w:rFonts w:ascii="Cambria" w:hAnsi="Cambria"/>
                <w:b w:val="0"/>
                <w:sz w:val="19"/>
              </w:rPr>
              <w:t>11.70%</w:t>
            </w:r>
          </w:p>
        </w:tc>
      </w:tr>
      <w:tr>
        <w:tc>
          <w:tcPr>
            <w:tcW w:type="dxa" w:w="1872"/>
          </w:tcPr>
          <w:p>
            <w:pPr>
              <w:spacing w:before="40" w:after="40"/>
              <w:jc w:val="left"/>
            </w:pPr>
            <w:r/>
            <w:r>
              <w:rPr>
                <w:rFonts w:ascii="Cambria" w:hAnsi="Cambria"/>
                <w:b w:val="0"/>
                <w:sz w:val="19"/>
              </w:rPr>
              <w:t>0.7</w:t>
            </w:r>
          </w:p>
        </w:tc>
        <w:tc>
          <w:tcPr>
            <w:tcW w:type="dxa" w:w="1296"/>
          </w:tcPr>
          <w:p>
            <w:pPr>
              <w:spacing w:before="40" w:after="40"/>
              <w:jc w:val="right"/>
            </w:pPr>
            <w:r/>
            <w:r>
              <w:rPr>
                <w:rFonts w:ascii="Cambria" w:hAnsi="Cambria"/>
                <w:b w:val="0"/>
                <w:sz w:val="19"/>
              </w:rPr>
              <w:t>0.1747</w:t>
            </w:r>
          </w:p>
        </w:tc>
        <w:tc>
          <w:tcPr>
            <w:tcW w:type="dxa" w:w="1440"/>
          </w:tcPr>
          <w:p>
            <w:pPr>
              <w:spacing w:before="40" w:after="40"/>
              <w:jc w:val="right"/>
            </w:pPr>
            <w:r/>
            <w:r>
              <w:rPr>
                <w:rFonts w:ascii="Cambria" w:hAnsi="Cambria"/>
                <w:b w:val="0"/>
                <w:sz w:val="19"/>
              </w:rPr>
              <w:t>0.3458</w:t>
            </w:r>
          </w:p>
        </w:tc>
        <w:tc>
          <w:tcPr>
            <w:tcW w:type="dxa" w:w="1296"/>
          </w:tcPr>
          <w:p>
            <w:pPr>
              <w:spacing w:before="40" w:after="40"/>
              <w:jc w:val="right"/>
            </w:pPr>
            <w:r/>
            <w:r>
              <w:rPr>
                <w:rFonts w:ascii="Cambria" w:hAnsi="Cambria"/>
                <w:b w:val="0"/>
                <w:sz w:val="19"/>
              </w:rPr>
              <w:t>0.2750</w:t>
            </w:r>
          </w:p>
        </w:tc>
        <w:tc>
          <w:tcPr>
            <w:tcW w:type="dxa" w:w="1296"/>
          </w:tcPr>
          <w:p>
            <w:pPr>
              <w:spacing w:before="40" w:after="40"/>
              <w:jc w:val="right"/>
            </w:pPr>
            <w:r/>
            <w:r>
              <w:rPr>
                <w:rFonts w:ascii="Cambria" w:hAnsi="Cambria"/>
                <w:b w:val="0"/>
                <w:sz w:val="19"/>
              </w:rPr>
              <w:t>0.2532</w:t>
            </w:r>
          </w:p>
        </w:tc>
        <w:tc>
          <w:tcPr>
            <w:tcW w:type="dxa" w:w="1728"/>
          </w:tcPr>
          <w:p>
            <w:pPr>
              <w:spacing w:before="40" w:after="40"/>
              <w:jc w:val="right"/>
            </w:pPr>
            <w:r/>
            <w:r>
              <w:rPr>
                <w:rFonts w:ascii="Cambria" w:hAnsi="Cambria"/>
                <w:b w:val="0"/>
                <w:sz w:val="19"/>
              </w:rPr>
              <w:t>6.90%</w:t>
            </w:r>
          </w:p>
        </w:tc>
      </w:tr>
      <w:tr>
        <w:tc>
          <w:tcPr>
            <w:tcW w:type="dxa" w:w="1872"/>
          </w:tcPr>
          <w:p>
            <w:pPr>
              <w:spacing w:before="40" w:after="40"/>
              <w:jc w:val="left"/>
            </w:pPr>
            <w:r/>
            <w:r>
              <w:rPr>
                <w:rFonts w:ascii="Cambria" w:hAnsi="Cambria"/>
                <w:b w:val="0"/>
                <w:sz w:val="19"/>
              </w:rPr>
              <w:t>0.9</w:t>
            </w:r>
          </w:p>
        </w:tc>
        <w:tc>
          <w:tcPr>
            <w:tcW w:type="dxa" w:w="1296"/>
          </w:tcPr>
          <w:p>
            <w:pPr>
              <w:spacing w:before="40" w:after="40"/>
              <w:jc w:val="right"/>
            </w:pPr>
            <w:r/>
            <w:r>
              <w:rPr>
                <w:rFonts w:ascii="Cambria" w:hAnsi="Cambria"/>
                <w:b w:val="0"/>
                <w:sz w:val="19"/>
              </w:rPr>
              <w:t>0.1119</w:t>
            </w:r>
          </w:p>
        </w:tc>
        <w:tc>
          <w:tcPr>
            <w:tcW w:type="dxa" w:w="1440"/>
          </w:tcPr>
          <w:p>
            <w:pPr>
              <w:spacing w:before="40" w:after="40"/>
              <w:jc w:val="right"/>
            </w:pPr>
            <w:r/>
            <w:r>
              <w:rPr>
                <w:rFonts w:ascii="Cambria" w:hAnsi="Cambria"/>
                <w:b w:val="0"/>
                <w:sz w:val="19"/>
              </w:rPr>
              <w:t>0.3705</w:t>
            </w:r>
          </w:p>
        </w:tc>
        <w:tc>
          <w:tcPr>
            <w:tcW w:type="dxa" w:w="1296"/>
          </w:tcPr>
          <w:p>
            <w:pPr>
              <w:spacing w:before="40" w:after="40"/>
              <w:jc w:val="right"/>
            </w:pPr>
            <w:r/>
            <w:r>
              <w:rPr>
                <w:rFonts w:ascii="Cambria" w:hAnsi="Cambria"/>
                <w:b w:val="0"/>
                <w:sz w:val="19"/>
              </w:rPr>
              <w:t>0.1479</w:t>
            </w:r>
          </w:p>
        </w:tc>
        <w:tc>
          <w:tcPr>
            <w:tcW w:type="dxa" w:w="1296"/>
          </w:tcPr>
          <w:p>
            <w:pPr>
              <w:spacing w:before="40" w:after="40"/>
              <w:jc w:val="right"/>
            </w:pPr>
            <w:r/>
            <w:r>
              <w:rPr>
                <w:rFonts w:ascii="Cambria" w:hAnsi="Cambria"/>
                <w:b w:val="0"/>
                <w:sz w:val="19"/>
              </w:rPr>
              <w:t>0.1658</w:t>
            </w:r>
          </w:p>
        </w:tc>
        <w:tc>
          <w:tcPr>
            <w:tcW w:type="dxa" w:w="1728"/>
          </w:tcPr>
          <w:p>
            <w:pPr>
              <w:spacing w:before="40" w:after="40"/>
              <w:jc w:val="right"/>
            </w:pPr>
            <w:r/>
            <w:r>
              <w:rPr>
                <w:rFonts w:ascii="Cambria" w:hAnsi="Cambria"/>
                <w:b w:val="0"/>
                <w:sz w:val="19"/>
              </w:rPr>
              <w:t>2.74%</w:t>
            </w:r>
          </w:p>
        </w:tc>
      </w:tr>
    </w:tbl>
    <w:p>
      <w:pPr>
        <w:spacing w:after="80"/>
      </w:pPr>
    </w:p>
    <w:p>
      <w:pPr>
        <w:spacing w:after="120"/>
        <w:jc w:val="both"/>
      </w:pPr>
      <w:r>
        <w:rPr>
          <w:b w:val="0"/>
          <w:i w:val="0"/>
          <w:sz w:val="22"/>
        </w:rPr>
        <w:t>Adopting 0.3 on the basis of the development sweep would constitute test-set tuning, the error that previously inverted the comparison between the two heads. The threshold was therefore selected per seed on the train-validation slice, the same slice used for epoch selection, and applied to the development set once.</w:t>
      </w:r>
    </w:p>
    <w:p>
      <w:pPr>
        <w:spacing w:after="60"/>
      </w:pPr>
      <w:r>
        <w:rPr>
          <w:i/>
          <w:color w:val="5A5852"/>
          <w:sz w:val="19"/>
        </w:rPr>
        <w:t>Table 11. Threshold selected on the train-validation slice. Paired t-test across the same 12 seeds.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656"/>
            <w:tcBorders>
              <w:bottom w:val="single" w:sz="6" w:color="1B1A17"/>
            </w:tcBorders>
          </w:tcPr>
          <w:p>
            <w:pPr>
              <w:spacing w:before="40" w:after="40"/>
              <w:jc w:val="left"/>
            </w:pPr>
            <w:r/>
            <w:r>
              <w:rPr>
                <w:rFonts w:ascii="Cambria" w:hAnsi="Cambria"/>
                <w:b/>
                <w:sz w:val="19"/>
              </w:rPr>
              <w:t>Head</w:t>
            </w:r>
          </w:p>
        </w:tc>
        <w:tc>
          <w:tcPr>
            <w:tcW w:type="dxa" w:w="2160"/>
            <w:tcBorders>
              <w:bottom w:val="single" w:sz="6" w:color="1B1A17"/>
            </w:tcBorders>
          </w:tcPr>
          <w:p>
            <w:pPr>
              <w:spacing w:before="40" w:after="40"/>
              <w:jc w:val="right"/>
            </w:pPr>
            <w:r/>
            <w:r>
              <w:rPr>
                <w:rFonts w:ascii="Cambria" w:hAnsi="Cambria"/>
                <w:b/>
                <w:sz w:val="19"/>
              </w:rPr>
              <w:t>Thresholds selected</w:t>
            </w:r>
          </w:p>
        </w:tc>
        <w:tc>
          <w:tcPr>
            <w:tcW w:type="dxa" w:w="1944"/>
            <w:tcBorders>
              <w:bottom w:val="single" w:sz="6" w:color="1B1A17"/>
            </w:tcBorders>
          </w:tcPr>
          <w:p>
            <w:pPr>
              <w:spacing w:before="40" w:after="40"/>
              <w:jc w:val="right"/>
            </w:pPr>
            <w:r/>
            <w:r>
              <w:rPr>
                <w:rFonts w:ascii="Cambria" w:hAnsi="Cambria"/>
                <w:b/>
                <w:sz w:val="19"/>
              </w:rPr>
              <w:t>Fixed 0.5</w:t>
            </w:r>
          </w:p>
        </w:tc>
        <w:tc>
          <w:tcPr>
            <w:tcW w:type="dxa" w:w="1800"/>
            <w:tcBorders>
              <w:bottom w:val="single" w:sz="6" w:color="1B1A17"/>
            </w:tcBorders>
          </w:tcPr>
          <w:p>
            <w:pPr>
              <w:spacing w:before="40" w:after="40"/>
              <w:jc w:val="right"/>
            </w:pPr>
            <w:r/>
            <w:r>
              <w:rPr>
                <w:rFonts w:ascii="Cambria" w:hAnsi="Cambria"/>
                <w:b/>
                <w:sz w:val="19"/>
              </w:rPr>
              <w:t>Selected</w:t>
            </w:r>
          </w:p>
        </w:tc>
        <w:tc>
          <w:tcPr>
            <w:tcW w:type="dxa" w:w="1008"/>
            <w:tcBorders>
              <w:bottom w:val="single" w:sz="6" w:color="1B1A17"/>
            </w:tcBorders>
          </w:tcPr>
          <w:p>
            <w:pPr>
              <w:spacing w:before="40" w:after="40"/>
              <w:jc w:val="right"/>
            </w:pPr>
            <w:r/>
            <w:r>
              <w:rPr>
                <w:rFonts w:ascii="Cambria" w:hAnsi="Cambria"/>
                <w:b/>
                <w:sz w:val="19"/>
              </w:rPr>
              <w:t>Gain</w:t>
            </w:r>
          </w:p>
        </w:tc>
        <w:tc>
          <w:tcPr>
            <w:tcW w:type="dxa" w:w="1440"/>
            <w:tcBorders>
              <w:bottom w:val="single" w:sz="6" w:color="1B1A17"/>
            </w:tcBorders>
          </w:tcPr>
          <w:p>
            <w:pPr>
              <w:spacing w:before="40" w:after="40"/>
              <w:jc w:val="right"/>
            </w:pPr>
            <w:r/>
            <w:r>
              <w:rPr>
                <w:rFonts w:ascii="Cambria" w:hAnsi="Cambria"/>
                <w:b/>
                <w:sz w:val="19"/>
              </w:rPr>
              <w:t>p (paired)</w:t>
            </w:r>
          </w:p>
        </w:tc>
      </w:tr>
      <w:tr>
        <w:tc>
          <w:tcPr>
            <w:tcW w:type="dxa" w:w="1656"/>
          </w:tcPr>
          <w:p>
            <w:pPr>
              <w:spacing w:before="40" w:after="40"/>
              <w:jc w:val="left"/>
            </w:pPr>
            <w:r/>
            <w:r>
              <w:rPr>
                <w:rFonts w:ascii="Cambria" w:hAnsi="Cambria"/>
                <w:b/>
                <w:sz w:val="19"/>
              </w:rPr>
              <w:t>v2 spatial</w:t>
            </w:r>
          </w:p>
        </w:tc>
        <w:tc>
          <w:tcPr>
            <w:tcW w:type="dxa" w:w="2160"/>
          </w:tcPr>
          <w:p>
            <w:pPr>
              <w:spacing w:before="40" w:after="40"/>
              <w:jc w:val="right"/>
            </w:pPr>
            <w:r/>
            <w:r>
              <w:rPr>
                <w:rFonts w:ascii="Cambria" w:hAnsi="Cambria"/>
                <w:b/>
                <w:sz w:val="19"/>
              </w:rPr>
              <w:t>0.3 (×7), 0.2 (×5)</w:t>
            </w:r>
          </w:p>
        </w:tc>
        <w:tc>
          <w:tcPr>
            <w:tcW w:type="dxa" w:w="1944"/>
          </w:tcPr>
          <w:p>
            <w:pPr>
              <w:spacing w:before="40" w:after="40"/>
              <w:jc w:val="right"/>
            </w:pPr>
            <w:r/>
            <w:r>
              <w:rPr>
                <w:rFonts w:ascii="Cambria" w:hAnsi="Cambria"/>
                <w:b/>
                <w:sz w:val="19"/>
              </w:rPr>
              <w:t>0.2065 ± 0.0072</w:t>
            </w:r>
          </w:p>
        </w:tc>
        <w:tc>
          <w:tcPr>
            <w:tcW w:type="dxa" w:w="1800"/>
          </w:tcPr>
          <w:p>
            <w:pPr>
              <w:spacing w:before="40" w:after="40"/>
              <w:jc w:val="right"/>
            </w:pPr>
            <w:r/>
            <w:r>
              <w:rPr>
                <w:rFonts w:ascii="Cambria" w:hAnsi="Cambria"/>
                <w:b/>
                <w:sz w:val="19"/>
              </w:rPr>
              <w:t>0.2185 ± 0.0051</w:t>
            </w:r>
          </w:p>
        </w:tc>
        <w:tc>
          <w:tcPr>
            <w:tcW w:type="dxa" w:w="1008"/>
          </w:tcPr>
          <w:p>
            <w:pPr>
              <w:spacing w:before="40" w:after="40"/>
              <w:jc w:val="right"/>
            </w:pPr>
            <w:r/>
            <w:r>
              <w:rPr>
                <w:rFonts w:ascii="Cambria" w:hAnsi="Cambria"/>
                <w:b/>
                <w:sz w:val="19"/>
              </w:rPr>
              <w:t>+0.0120</w:t>
            </w:r>
          </w:p>
        </w:tc>
        <w:tc>
          <w:tcPr>
            <w:tcW w:type="dxa" w:w="1440"/>
          </w:tcPr>
          <w:p>
            <w:pPr>
              <w:spacing w:before="40" w:after="40"/>
              <w:jc w:val="right"/>
            </w:pPr>
            <w:r/>
            <w:r>
              <w:rPr>
                <w:rFonts w:ascii="Cambria" w:hAnsi="Cambria"/>
                <w:b/>
                <w:sz w:val="19"/>
              </w:rPr>
              <w:t>2.9 × 10⁻⁷</w:t>
            </w:r>
          </w:p>
        </w:tc>
      </w:tr>
      <w:tr>
        <w:tc>
          <w:tcPr>
            <w:tcW w:type="dxa" w:w="1656"/>
          </w:tcPr>
          <w:p>
            <w:pPr>
              <w:spacing w:before="40" w:after="40"/>
              <w:jc w:val="left"/>
            </w:pPr>
            <w:r/>
            <w:r>
              <w:rPr>
                <w:rFonts w:ascii="Cambria" w:hAnsi="Cambria"/>
                <w:b w:val="0"/>
                <w:sz w:val="19"/>
              </w:rPr>
              <w:t>v1 global</w:t>
            </w:r>
          </w:p>
        </w:tc>
        <w:tc>
          <w:tcPr>
            <w:tcW w:type="dxa" w:w="2160"/>
          </w:tcPr>
          <w:p>
            <w:pPr>
              <w:spacing w:before="40" w:after="40"/>
              <w:jc w:val="right"/>
            </w:pPr>
            <w:r/>
            <w:r>
              <w:rPr>
                <w:rFonts w:ascii="Cambria" w:hAnsi="Cambria"/>
                <w:b w:val="0"/>
                <w:sz w:val="19"/>
              </w:rPr>
              <w:t>0.2 (×9), 0.3 (×3)</w:t>
            </w:r>
          </w:p>
        </w:tc>
        <w:tc>
          <w:tcPr>
            <w:tcW w:type="dxa" w:w="1944"/>
          </w:tcPr>
          <w:p>
            <w:pPr>
              <w:spacing w:before="40" w:after="40"/>
              <w:jc w:val="right"/>
            </w:pPr>
            <w:r/>
            <w:r>
              <w:rPr>
                <w:rFonts w:ascii="Cambria" w:hAnsi="Cambria"/>
                <w:b w:val="0"/>
                <w:sz w:val="19"/>
              </w:rPr>
              <w:t>0.1907 ± 0.0053</w:t>
            </w:r>
          </w:p>
        </w:tc>
        <w:tc>
          <w:tcPr>
            <w:tcW w:type="dxa" w:w="1800"/>
          </w:tcPr>
          <w:p>
            <w:pPr>
              <w:spacing w:before="40" w:after="40"/>
              <w:jc w:val="right"/>
            </w:pPr>
            <w:r/>
            <w:r>
              <w:rPr>
                <w:rFonts w:ascii="Cambria" w:hAnsi="Cambria"/>
                <w:b w:val="0"/>
                <w:sz w:val="19"/>
              </w:rPr>
              <w:t>0.2092 ± 0.0038</w:t>
            </w:r>
          </w:p>
        </w:tc>
        <w:tc>
          <w:tcPr>
            <w:tcW w:type="dxa" w:w="1008"/>
          </w:tcPr>
          <w:p>
            <w:pPr>
              <w:spacing w:before="40" w:after="40"/>
              <w:jc w:val="right"/>
            </w:pPr>
            <w:r/>
            <w:r>
              <w:rPr>
                <w:rFonts w:ascii="Cambria" w:hAnsi="Cambria"/>
                <w:b w:val="0"/>
                <w:sz w:val="19"/>
              </w:rPr>
              <w:t>+0.0185</w:t>
            </w:r>
          </w:p>
        </w:tc>
        <w:tc>
          <w:tcPr>
            <w:tcW w:type="dxa" w:w="1440"/>
          </w:tcPr>
          <w:p>
            <w:pPr>
              <w:spacing w:before="40" w:after="40"/>
              <w:jc w:val="right"/>
            </w:pPr>
            <w:r/>
            <w:r>
              <w:rPr>
                <w:rFonts w:ascii="Cambria" w:hAnsi="Cambria"/>
                <w:b w:val="0"/>
                <w:sz w:val="19"/>
              </w:rPr>
              <w:t>6.3 × 10⁻⁸</w:t>
            </w:r>
          </w:p>
        </w:tc>
      </w:tr>
    </w:tbl>
    <w:p>
      <w:pPr>
        <w:spacing w:after="80"/>
      </w:pPr>
    </w:p>
    <w:p>
      <w:pPr>
        <w:spacing w:after="120"/>
        <w:jc w:val="both"/>
      </w:pPr>
      <w:r>
        <w:rPr>
          <w:b w:val="0"/>
          <w:i w:val="0"/>
          <w:sz w:val="22"/>
        </w:rPr>
        <w:t>Two consequences are recorded. With both heads at their selected thresholds the advantage of the spatial head narrows from +0.0158 to +0.0093 (p = 5.8 × 10⁻⁵); a portion of its margin at the fixed threshold reflected that 0.5 suited it better. Separately, CLIPSeg is evaluated at its default operating point, so a tuned comparison favours the present model. The fixed-threshold result is therefore retained as the headline, being the conservative figure.</w:t>
      </w:r>
    </w:p>
    <w:p>
      <w:pPr>
        <w:pStyle w:val="Heading2"/>
      </w:pPr>
      <w:r>
        <w:t>7.4  Per edit kind</w:t>
      </w:r>
    </w:p>
    <w:p>
      <w:pPr>
        <w:spacing w:after="60"/>
      </w:pPr>
      <w:r>
        <w:rPr>
          <w:i/>
          <w:color w:val="5A5852"/>
          <w:sz w:val="19"/>
        </w:rPr>
        <w:t>Table 12. Performance by edit kind at n = 8,306, against the least-squares ceiling computed on the development set.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440"/>
            <w:tcBorders>
              <w:bottom w:val="single" w:sz="6" w:color="1B1A17"/>
            </w:tcBorders>
          </w:tcPr>
          <w:p>
            <w:pPr>
              <w:spacing w:before="40" w:after="40"/>
              <w:jc w:val="left"/>
            </w:pPr>
            <w:r/>
            <w:r>
              <w:rPr>
                <w:rFonts w:ascii="Cambria" w:hAnsi="Cambria"/>
                <w:b/>
                <w:sz w:val="19"/>
              </w:rPr>
              <w:t>Kind</w:t>
            </w:r>
          </w:p>
        </w:tc>
        <w:tc>
          <w:tcPr>
            <w:tcW w:type="dxa" w:w="1296"/>
            <w:tcBorders>
              <w:bottom w:val="single" w:sz="6" w:color="1B1A17"/>
            </w:tcBorders>
          </w:tcPr>
          <w:p>
            <w:pPr>
              <w:spacing w:before="40" w:after="40"/>
              <w:jc w:val="right"/>
            </w:pPr>
            <w:r/>
            <w:r>
              <w:rPr>
                <w:rFonts w:ascii="Cambria" w:hAnsi="Cambria"/>
                <w:b/>
                <w:sz w:val="19"/>
              </w:rPr>
              <w:t>v2</w:t>
            </w:r>
          </w:p>
        </w:tc>
        <w:tc>
          <w:tcPr>
            <w:tcW w:type="dxa" w:w="1296"/>
            <w:tcBorders>
              <w:bottom w:val="single" w:sz="6" w:color="1B1A17"/>
            </w:tcBorders>
          </w:tcPr>
          <w:p>
            <w:pPr>
              <w:spacing w:before="40" w:after="40"/>
              <w:jc w:val="right"/>
            </w:pPr>
            <w:r/>
            <w:r>
              <w:rPr>
                <w:rFonts w:ascii="Cambria" w:hAnsi="Cambria"/>
                <w:b/>
                <w:sz w:val="19"/>
              </w:rPr>
              <w:t>v1</w:t>
            </w:r>
          </w:p>
        </w:tc>
        <w:tc>
          <w:tcPr>
            <w:tcW w:type="dxa" w:w="1440"/>
            <w:tcBorders>
              <w:bottom w:val="single" w:sz="6" w:color="1B1A17"/>
            </w:tcBorders>
          </w:tcPr>
          <w:p>
            <w:pPr>
              <w:spacing w:before="40" w:after="40"/>
              <w:jc w:val="right"/>
            </w:pPr>
            <w:r/>
            <w:r>
              <w:rPr>
                <w:rFonts w:ascii="Cambria" w:hAnsi="Cambria"/>
                <w:b/>
                <w:sz w:val="19"/>
              </w:rPr>
              <w:t>Ceiling</w:t>
            </w:r>
          </w:p>
        </w:tc>
        <w:tc>
          <w:tcPr>
            <w:tcW w:type="dxa" w:w="1944"/>
            <w:tcBorders>
              <w:bottom w:val="single" w:sz="6" w:color="1B1A17"/>
            </w:tcBorders>
          </w:tcPr>
          <w:p>
            <w:pPr>
              <w:spacing w:before="40" w:after="40"/>
              <w:jc w:val="right"/>
            </w:pPr>
            <w:r/>
            <w:r>
              <w:rPr>
                <w:rFonts w:ascii="Cambria" w:hAnsi="Cambria"/>
                <w:b/>
                <w:sz w:val="19"/>
              </w:rPr>
              <w:t>v2 % of ceiling</w:t>
            </w:r>
          </w:p>
        </w:tc>
        <w:tc>
          <w:tcPr>
            <w:tcW w:type="dxa" w:w="1944"/>
            <w:tcBorders>
              <w:bottom w:val="single" w:sz="6" w:color="1B1A17"/>
            </w:tcBorders>
          </w:tcPr>
          <w:p>
            <w:pPr>
              <w:spacing w:before="40" w:after="40"/>
              <w:jc w:val="right"/>
            </w:pPr>
            <w:r/>
            <w:r>
              <w:rPr>
                <w:rFonts w:ascii="Cambria" w:hAnsi="Cambria"/>
                <w:b/>
                <w:sz w:val="19"/>
              </w:rPr>
              <w:t>v1 % of ceiling</w:t>
            </w:r>
          </w:p>
        </w:tc>
      </w:tr>
      <w:tr>
        <w:tc>
          <w:tcPr>
            <w:tcW w:type="dxa" w:w="1440"/>
          </w:tcPr>
          <w:p>
            <w:pPr>
              <w:spacing w:before="40" w:after="40"/>
              <w:jc w:val="left"/>
            </w:pPr>
            <w:r/>
            <w:r>
              <w:rPr>
                <w:rFonts w:ascii="Cambria" w:hAnsi="Cambria"/>
                <w:b/>
                <w:sz w:val="19"/>
              </w:rPr>
              <w:t>Insert</w:t>
            </w:r>
          </w:p>
        </w:tc>
        <w:tc>
          <w:tcPr>
            <w:tcW w:type="dxa" w:w="1296"/>
          </w:tcPr>
          <w:p>
            <w:pPr>
              <w:spacing w:before="40" w:after="40"/>
              <w:jc w:val="right"/>
            </w:pPr>
            <w:r/>
            <w:r>
              <w:rPr>
                <w:rFonts w:ascii="Cambria" w:hAnsi="Cambria"/>
                <w:b/>
                <w:sz w:val="19"/>
              </w:rPr>
              <w:t>0.1186</w:t>
            </w:r>
          </w:p>
        </w:tc>
        <w:tc>
          <w:tcPr>
            <w:tcW w:type="dxa" w:w="1296"/>
          </w:tcPr>
          <w:p>
            <w:pPr>
              <w:spacing w:before="40" w:after="40"/>
              <w:jc w:val="right"/>
            </w:pPr>
            <w:r/>
            <w:r>
              <w:rPr>
                <w:rFonts w:ascii="Cambria" w:hAnsi="Cambria"/>
                <w:b/>
                <w:sz w:val="19"/>
              </w:rPr>
              <w:t>0.0972</w:t>
            </w:r>
          </w:p>
        </w:tc>
        <w:tc>
          <w:tcPr>
            <w:tcW w:type="dxa" w:w="1440"/>
          </w:tcPr>
          <w:p>
            <w:pPr>
              <w:spacing w:before="40" w:after="40"/>
              <w:jc w:val="right"/>
            </w:pPr>
            <w:r/>
            <w:r>
              <w:rPr>
                <w:rFonts w:ascii="Cambria" w:hAnsi="Cambria"/>
                <w:b/>
                <w:sz w:val="19"/>
              </w:rPr>
              <w:t>0.2119</w:t>
            </w:r>
          </w:p>
        </w:tc>
        <w:tc>
          <w:tcPr>
            <w:tcW w:type="dxa" w:w="1944"/>
          </w:tcPr>
          <w:p>
            <w:pPr>
              <w:spacing w:before="40" w:after="40"/>
              <w:jc w:val="right"/>
            </w:pPr>
            <w:r/>
            <w:r>
              <w:rPr>
                <w:rFonts w:ascii="Cambria" w:hAnsi="Cambria"/>
                <w:b/>
                <w:sz w:val="19"/>
              </w:rPr>
              <w:t>56.0%</w:t>
            </w:r>
          </w:p>
        </w:tc>
        <w:tc>
          <w:tcPr>
            <w:tcW w:type="dxa" w:w="1944"/>
          </w:tcPr>
          <w:p>
            <w:pPr>
              <w:spacing w:before="40" w:after="40"/>
              <w:jc w:val="right"/>
            </w:pPr>
            <w:r/>
            <w:r>
              <w:rPr>
                <w:rFonts w:ascii="Cambria" w:hAnsi="Cambria"/>
                <w:b/>
                <w:sz w:val="19"/>
              </w:rPr>
              <w:t>45.9%</w:t>
            </w:r>
          </w:p>
        </w:tc>
      </w:tr>
      <w:tr>
        <w:tc>
          <w:tcPr>
            <w:tcW w:type="dxa" w:w="1440"/>
          </w:tcPr>
          <w:p>
            <w:pPr>
              <w:spacing w:before="40" w:after="40"/>
              <w:jc w:val="left"/>
            </w:pPr>
            <w:r/>
            <w:r>
              <w:rPr>
                <w:rFonts w:ascii="Cambria" w:hAnsi="Cambria"/>
                <w:b w:val="0"/>
                <w:sz w:val="19"/>
              </w:rPr>
              <w:t>Modify</w:t>
            </w:r>
          </w:p>
        </w:tc>
        <w:tc>
          <w:tcPr>
            <w:tcW w:type="dxa" w:w="1296"/>
          </w:tcPr>
          <w:p>
            <w:pPr>
              <w:spacing w:before="40" w:after="40"/>
              <w:jc w:val="right"/>
            </w:pPr>
            <w:r/>
            <w:r>
              <w:rPr>
                <w:rFonts w:ascii="Cambria" w:hAnsi="Cambria"/>
                <w:b w:val="0"/>
                <w:sz w:val="19"/>
              </w:rPr>
              <w:t>0.2313</w:t>
            </w:r>
          </w:p>
        </w:tc>
        <w:tc>
          <w:tcPr>
            <w:tcW w:type="dxa" w:w="1296"/>
          </w:tcPr>
          <w:p>
            <w:pPr>
              <w:spacing w:before="40" w:after="40"/>
              <w:jc w:val="right"/>
            </w:pPr>
            <w:r/>
            <w:r>
              <w:rPr>
                <w:rFonts w:ascii="Cambria" w:hAnsi="Cambria"/>
                <w:b w:val="0"/>
                <w:sz w:val="19"/>
              </w:rPr>
              <w:t>0.2143</w:t>
            </w:r>
          </w:p>
        </w:tc>
        <w:tc>
          <w:tcPr>
            <w:tcW w:type="dxa" w:w="1440"/>
          </w:tcPr>
          <w:p>
            <w:pPr>
              <w:spacing w:before="40" w:after="40"/>
              <w:jc w:val="right"/>
            </w:pPr>
            <w:r/>
            <w:r>
              <w:rPr>
                <w:rFonts w:ascii="Cambria" w:hAnsi="Cambria"/>
                <w:b w:val="0"/>
                <w:sz w:val="19"/>
              </w:rPr>
              <w:t>0.3867</w:t>
            </w:r>
          </w:p>
        </w:tc>
        <w:tc>
          <w:tcPr>
            <w:tcW w:type="dxa" w:w="1944"/>
          </w:tcPr>
          <w:p>
            <w:pPr>
              <w:spacing w:before="40" w:after="40"/>
              <w:jc w:val="right"/>
            </w:pPr>
            <w:r/>
            <w:r>
              <w:rPr>
                <w:rFonts w:ascii="Cambria" w:hAnsi="Cambria"/>
                <w:b w:val="0"/>
                <w:sz w:val="19"/>
              </w:rPr>
              <w:t>59.8%</w:t>
            </w:r>
          </w:p>
        </w:tc>
        <w:tc>
          <w:tcPr>
            <w:tcW w:type="dxa" w:w="1944"/>
          </w:tcPr>
          <w:p>
            <w:pPr>
              <w:spacing w:before="40" w:after="40"/>
              <w:jc w:val="right"/>
            </w:pPr>
            <w:r/>
            <w:r>
              <w:rPr>
                <w:rFonts w:ascii="Cambria" w:hAnsi="Cambria"/>
                <w:b w:val="0"/>
                <w:sz w:val="19"/>
              </w:rPr>
              <w:t>55.4%</w:t>
            </w:r>
          </w:p>
        </w:tc>
      </w:tr>
      <w:tr>
        <w:tc>
          <w:tcPr>
            <w:tcW w:type="dxa" w:w="1440"/>
          </w:tcPr>
          <w:p>
            <w:pPr>
              <w:spacing w:before="40" w:after="40"/>
              <w:jc w:val="left"/>
            </w:pPr>
            <w:r/>
            <w:r>
              <w:rPr>
                <w:rFonts w:ascii="Cambria" w:hAnsi="Cambria"/>
                <w:b w:val="0"/>
                <w:sz w:val="19"/>
              </w:rPr>
              <w:t>Remove</w:t>
            </w:r>
          </w:p>
        </w:tc>
        <w:tc>
          <w:tcPr>
            <w:tcW w:type="dxa" w:w="1296"/>
          </w:tcPr>
          <w:p>
            <w:pPr>
              <w:spacing w:before="40" w:after="40"/>
              <w:jc w:val="right"/>
            </w:pPr>
            <w:r/>
            <w:r>
              <w:rPr>
                <w:rFonts w:ascii="Cambria" w:hAnsi="Cambria"/>
                <w:b w:val="0"/>
                <w:sz w:val="19"/>
              </w:rPr>
              <w:t>0.2007</w:t>
            </w:r>
          </w:p>
        </w:tc>
        <w:tc>
          <w:tcPr>
            <w:tcW w:type="dxa" w:w="1296"/>
          </w:tcPr>
          <w:p>
            <w:pPr>
              <w:spacing w:before="40" w:after="40"/>
              <w:jc w:val="right"/>
            </w:pPr>
            <w:r/>
            <w:r>
              <w:rPr>
                <w:rFonts w:ascii="Cambria" w:hAnsi="Cambria"/>
                <w:b w:val="0"/>
                <w:sz w:val="19"/>
              </w:rPr>
              <w:t>0.2166</w:t>
            </w:r>
          </w:p>
        </w:tc>
        <w:tc>
          <w:tcPr>
            <w:tcW w:type="dxa" w:w="1440"/>
          </w:tcPr>
          <w:p>
            <w:pPr>
              <w:spacing w:before="40" w:after="40"/>
              <w:jc w:val="right"/>
            </w:pPr>
            <w:r/>
            <w:r>
              <w:rPr>
                <w:rFonts w:ascii="Cambria" w:hAnsi="Cambria"/>
                <w:b w:val="0"/>
                <w:sz w:val="19"/>
              </w:rPr>
              <w:t>0.4325</w:t>
            </w:r>
          </w:p>
        </w:tc>
        <w:tc>
          <w:tcPr>
            <w:tcW w:type="dxa" w:w="1944"/>
          </w:tcPr>
          <w:p>
            <w:pPr>
              <w:spacing w:before="40" w:after="40"/>
              <w:jc w:val="right"/>
            </w:pPr>
            <w:r/>
            <w:r>
              <w:rPr>
                <w:rFonts w:ascii="Cambria" w:hAnsi="Cambria"/>
                <w:b w:val="0"/>
                <w:sz w:val="19"/>
              </w:rPr>
              <w:t>46.4%</w:t>
            </w:r>
          </w:p>
        </w:tc>
        <w:tc>
          <w:tcPr>
            <w:tcW w:type="dxa" w:w="1944"/>
          </w:tcPr>
          <w:p>
            <w:pPr>
              <w:spacing w:before="40" w:after="40"/>
              <w:jc w:val="right"/>
            </w:pPr>
            <w:r/>
            <w:r>
              <w:rPr>
                <w:rFonts w:ascii="Cambria" w:hAnsi="Cambria"/>
                <w:b w:val="0"/>
                <w:sz w:val="19"/>
              </w:rPr>
              <w:t>50.1%</w:t>
            </w:r>
          </w:p>
        </w:tc>
      </w:tr>
    </w:tbl>
    <w:p>
      <w:pPr>
        <w:spacing w:after="80"/>
      </w:pPr>
    </w:p>
    <w:p>
      <w:pPr>
        <w:spacing w:after="120"/>
        <w:jc w:val="both"/>
      </w:pPr>
      <w:r>
        <w:rPr>
          <w:b w:val="0"/>
          <w:i w:val="0"/>
          <w:sz w:val="22"/>
        </w:rPr>
        <w:t>The spatial head is superior on insertion and modification and inferior on removal. That matches the hypothesis of Section 4.3 and is not a uniform improvement: removal targets an object already present, which a global coefficient over object-shaped prototypes describes adequately, so the additional spatial capacity is unnecessary there and costs precision. The field is advantageous where no source object exists.</w:t>
      </w:r>
    </w:p>
    <w:p>
      <w:pPr>
        <w:jc w:val="center"/>
      </w:pPr>
      <w:r>
        <w:drawing>
          <wp:inline xmlns:a="http://schemas.openxmlformats.org/drawingml/2006/main" xmlns:pic="http://schemas.openxmlformats.org/drawingml/2006/picture">
            <wp:extent cx="5120640" cy="6769660"/>
            <wp:docPr id="2" name="Picture 2"/>
            <wp:cNvGraphicFramePr>
              <a:graphicFrameLocks noChangeAspect="1"/>
            </wp:cNvGraphicFramePr>
            <a:graphic>
              <a:graphicData uri="http://schemas.openxmlformats.org/drawingml/2006/picture">
                <pic:pic>
                  <pic:nvPicPr>
                    <pic:cNvPr id="0" name="qualitative_full.png"/>
                    <pic:cNvPicPr/>
                  </pic:nvPicPr>
                  <pic:blipFill>
                    <a:blip r:embed="rId10"/>
                    <a:stretch>
                      <a:fillRect/>
                    </a:stretch>
                  </pic:blipFill>
                  <pic:spPr>
                    <a:xfrm>
                      <a:off x="0" y="0"/>
                      <a:ext cx="5120640" cy="6769660"/>
                    </a:xfrm>
                    <a:prstGeom prst="rect"/>
                  </pic:spPr>
                </pic:pic>
              </a:graphicData>
            </a:graphic>
          </wp:inline>
        </w:drawing>
      </w:r>
    </w:p>
    <w:p>
      <w:pPr>
        <w:spacing w:after="200"/>
        <w:jc w:val="left"/>
      </w:pPr>
      <w:r>
        <w:rPr>
          <w:i/>
          <w:color w:val="5A5852"/>
          <w:sz w:val="19"/>
        </w:rPr>
        <w:t>Figure 2. Predictions of the full-scale spatial head on six distinct development scenes, selected by edit kind and deduplicated by scene identifier rather than for appearance. Red indicates ground truth only, green prediction only, yellow agreement.</w:t>
      </w:r>
    </w:p>
    <w:p>
      <w:pPr>
        <w:pStyle w:val="Heading2"/>
      </w:pPr>
      <w:r>
        <w:t>7.5  Representational ceiling</w:t>
      </w:r>
    </w:p>
    <w:p>
      <w:pPr>
        <w:spacing w:after="120"/>
        <w:jc w:val="both"/>
      </w:pPr>
      <w:r>
        <w:rPr>
          <w:b w:val="0"/>
          <w:i w:val="0"/>
          <w:sz w:val="22"/>
        </w:rPr>
        <w:t>To separate a model that has not learned this yet from a basis that cannot express it, we fitted coefficients directly to the ground-truth mask by least squares. No learning is involved, and the result is an upper bound on the IoU attainable by any coefficient predictor over these 32 prototypes.</w:t>
      </w:r>
    </w:p>
    <w:p>
      <w:pPr>
        <w:spacing w:after="60"/>
      </w:pPr>
      <w:r>
        <w:rPr>
          <w:i/>
          <w:color w:val="5A5852"/>
          <w:sz w:val="19"/>
        </w:rPr>
        <w:t>Table 13. Least-squares upper bound per edit kind, computed on the development set.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1728"/>
            <w:tcBorders>
              <w:bottom w:val="single" w:sz="6" w:color="1B1A17"/>
            </w:tcBorders>
          </w:tcPr>
          <w:p>
            <w:pPr>
              <w:spacing w:before="40" w:after="40"/>
              <w:jc w:val="left"/>
            </w:pPr>
            <w:r/>
            <w:r>
              <w:rPr>
                <w:rFonts w:ascii="Cambria" w:hAnsi="Cambria"/>
                <w:b/>
                <w:sz w:val="19"/>
              </w:rPr>
              <w:t>Kind</w:t>
            </w:r>
          </w:p>
        </w:tc>
        <w:tc>
          <w:tcPr>
            <w:tcW w:type="dxa" w:w="1872"/>
            <w:tcBorders>
              <w:bottom w:val="single" w:sz="6" w:color="1B1A17"/>
            </w:tcBorders>
          </w:tcPr>
          <w:p>
            <w:pPr>
              <w:spacing w:before="40" w:after="40"/>
              <w:jc w:val="right"/>
            </w:pPr>
            <w:r/>
            <w:r>
              <w:rPr>
                <w:rFonts w:ascii="Cambria" w:hAnsi="Cambria"/>
                <w:b/>
                <w:sz w:val="19"/>
              </w:rPr>
              <w:t>Ceiling IoU</w:t>
            </w:r>
          </w:p>
        </w:tc>
        <w:tc>
          <w:tcPr>
            <w:tcW w:type="dxa" w:w="1872"/>
            <w:tcBorders>
              <w:bottom w:val="single" w:sz="6" w:color="1B1A17"/>
            </w:tcBorders>
          </w:tcPr>
          <w:p>
            <w:pPr>
              <w:spacing w:before="40" w:after="40"/>
              <w:jc w:val="right"/>
            </w:pPr>
            <w:r/>
            <w:r>
              <w:rPr>
                <w:rFonts w:ascii="Cambria" w:hAnsi="Cambria"/>
                <w:b/>
                <w:sz w:val="19"/>
              </w:rPr>
              <w:t>v2 attained</w:t>
            </w:r>
          </w:p>
        </w:tc>
        <w:tc>
          <w:tcPr>
            <w:tcW w:type="dxa" w:w="2160"/>
            <w:tcBorders>
              <w:bottom w:val="single" w:sz="6" w:color="1B1A17"/>
            </w:tcBorders>
          </w:tcPr>
          <w:p>
            <w:pPr>
              <w:spacing w:before="40" w:after="40"/>
              <w:jc w:val="right"/>
            </w:pPr>
            <w:r/>
            <w:r>
              <w:rPr>
                <w:rFonts w:ascii="Cambria" w:hAnsi="Cambria"/>
                <w:b/>
                <w:sz w:val="19"/>
              </w:rPr>
              <w:t>Fraction attained</w:t>
            </w:r>
          </w:p>
        </w:tc>
      </w:tr>
      <w:tr>
        <w:tc>
          <w:tcPr>
            <w:tcW w:type="dxa" w:w="1728"/>
          </w:tcPr>
          <w:p>
            <w:pPr>
              <w:spacing w:before="40" w:after="40"/>
              <w:jc w:val="left"/>
            </w:pPr>
            <w:r/>
            <w:r>
              <w:rPr>
                <w:rFonts w:ascii="Cambria" w:hAnsi="Cambria"/>
                <w:b w:val="0"/>
                <w:sz w:val="19"/>
              </w:rPr>
              <w:t>Remove</w:t>
            </w:r>
          </w:p>
        </w:tc>
        <w:tc>
          <w:tcPr>
            <w:tcW w:type="dxa" w:w="1872"/>
          </w:tcPr>
          <w:p>
            <w:pPr>
              <w:spacing w:before="40" w:after="40"/>
              <w:jc w:val="right"/>
            </w:pPr>
            <w:r/>
            <w:r>
              <w:rPr>
                <w:rFonts w:ascii="Cambria" w:hAnsi="Cambria"/>
                <w:b w:val="0"/>
                <w:sz w:val="19"/>
              </w:rPr>
              <w:t>0.4325</w:t>
            </w:r>
          </w:p>
        </w:tc>
        <w:tc>
          <w:tcPr>
            <w:tcW w:type="dxa" w:w="1872"/>
          </w:tcPr>
          <w:p>
            <w:pPr>
              <w:spacing w:before="40" w:after="40"/>
              <w:jc w:val="right"/>
            </w:pPr>
            <w:r/>
            <w:r>
              <w:rPr>
                <w:rFonts w:ascii="Cambria" w:hAnsi="Cambria"/>
                <w:b w:val="0"/>
                <w:sz w:val="19"/>
              </w:rPr>
              <w:t>0.2007</w:t>
            </w:r>
          </w:p>
        </w:tc>
        <w:tc>
          <w:tcPr>
            <w:tcW w:type="dxa" w:w="2160"/>
          </w:tcPr>
          <w:p>
            <w:pPr>
              <w:spacing w:before="40" w:after="40"/>
              <w:jc w:val="right"/>
            </w:pPr>
            <w:r/>
            <w:r>
              <w:rPr>
                <w:rFonts w:ascii="Cambria" w:hAnsi="Cambria"/>
                <w:b w:val="0"/>
                <w:sz w:val="19"/>
              </w:rPr>
              <w:t>46.4%</w:t>
            </w:r>
          </w:p>
        </w:tc>
      </w:tr>
      <w:tr>
        <w:tc>
          <w:tcPr>
            <w:tcW w:type="dxa" w:w="1728"/>
          </w:tcPr>
          <w:p>
            <w:pPr>
              <w:spacing w:before="40" w:after="40"/>
              <w:jc w:val="left"/>
            </w:pPr>
            <w:r/>
            <w:r>
              <w:rPr>
                <w:rFonts w:ascii="Cambria" w:hAnsi="Cambria"/>
                <w:b w:val="0"/>
                <w:sz w:val="19"/>
              </w:rPr>
              <w:t>Modify</w:t>
            </w:r>
          </w:p>
        </w:tc>
        <w:tc>
          <w:tcPr>
            <w:tcW w:type="dxa" w:w="1872"/>
          </w:tcPr>
          <w:p>
            <w:pPr>
              <w:spacing w:before="40" w:after="40"/>
              <w:jc w:val="right"/>
            </w:pPr>
            <w:r/>
            <w:r>
              <w:rPr>
                <w:rFonts w:ascii="Cambria" w:hAnsi="Cambria"/>
                <w:b w:val="0"/>
                <w:sz w:val="19"/>
              </w:rPr>
              <w:t>0.3867</w:t>
            </w:r>
          </w:p>
        </w:tc>
        <w:tc>
          <w:tcPr>
            <w:tcW w:type="dxa" w:w="1872"/>
          </w:tcPr>
          <w:p>
            <w:pPr>
              <w:spacing w:before="40" w:after="40"/>
              <w:jc w:val="right"/>
            </w:pPr>
            <w:r/>
            <w:r>
              <w:rPr>
                <w:rFonts w:ascii="Cambria" w:hAnsi="Cambria"/>
                <w:b w:val="0"/>
                <w:sz w:val="19"/>
              </w:rPr>
              <w:t>0.2313</w:t>
            </w:r>
          </w:p>
        </w:tc>
        <w:tc>
          <w:tcPr>
            <w:tcW w:type="dxa" w:w="2160"/>
          </w:tcPr>
          <w:p>
            <w:pPr>
              <w:spacing w:before="40" w:after="40"/>
              <w:jc w:val="right"/>
            </w:pPr>
            <w:r/>
            <w:r>
              <w:rPr>
                <w:rFonts w:ascii="Cambria" w:hAnsi="Cambria"/>
                <w:b w:val="0"/>
                <w:sz w:val="19"/>
              </w:rPr>
              <w:t>59.8%</w:t>
            </w:r>
          </w:p>
        </w:tc>
      </w:tr>
      <w:tr>
        <w:tc>
          <w:tcPr>
            <w:tcW w:type="dxa" w:w="1728"/>
          </w:tcPr>
          <w:p>
            <w:pPr>
              <w:spacing w:before="40" w:after="40"/>
              <w:jc w:val="left"/>
            </w:pPr>
            <w:r/>
            <w:r>
              <w:rPr>
                <w:rFonts w:ascii="Cambria" w:hAnsi="Cambria"/>
                <w:b/>
                <w:sz w:val="19"/>
              </w:rPr>
              <w:t>Insert</w:t>
            </w:r>
          </w:p>
        </w:tc>
        <w:tc>
          <w:tcPr>
            <w:tcW w:type="dxa" w:w="1872"/>
          </w:tcPr>
          <w:p>
            <w:pPr>
              <w:spacing w:before="40" w:after="40"/>
              <w:jc w:val="right"/>
            </w:pPr>
            <w:r/>
            <w:r>
              <w:rPr>
                <w:rFonts w:ascii="Cambria" w:hAnsi="Cambria"/>
                <w:b/>
                <w:sz w:val="19"/>
              </w:rPr>
              <w:t>0.2119</w:t>
            </w:r>
          </w:p>
        </w:tc>
        <w:tc>
          <w:tcPr>
            <w:tcW w:type="dxa" w:w="1872"/>
          </w:tcPr>
          <w:p>
            <w:pPr>
              <w:spacing w:before="40" w:after="40"/>
              <w:jc w:val="right"/>
            </w:pPr>
            <w:r/>
            <w:r>
              <w:rPr>
                <w:rFonts w:ascii="Cambria" w:hAnsi="Cambria"/>
                <w:b/>
                <w:sz w:val="19"/>
              </w:rPr>
              <w:t>0.1186</w:t>
            </w:r>
          </w:p>
        </w:tc>
        <w:tc>
          <w:tcPr>
            <w:tcW w:type="dxa" w:w="2160"/>
          </w:tcPr>
          <w:p>
            <w:pPr>
              <w:spacing w:before="40" w:after="40"/>
              <w:jc w:val="right"/>
            </w:pPr>
            <w:r/>
            <w:r>
              <w:rPr>
                <w:rFonts w:ascii="Cambria" w:hAnsi="Cambria"/>
                <w:b/>
                <w:sz w:val="19"/>
              </w:rPr>
              <w:t>56.0%</w:t>
            </w:r>
          </w:p>
        </w:tc>
      </w:tr>
    </w:tbl>
    <w:p>
      <w:pPr>
        <w:spacing w:after="80"/>
      </w:pPr>
    </w:p>
    <w:p>
      <w:pPr>
        <w:spacing w:after="120"/>
        <w:jc w:val="both"/>
      </w:pPr>
      <w:r>
        <w:rPr>
          <w:b w:val="0"/>
          <w:i w:val="0"/>
          <w:sz w:val="22"/>
        </w:rPr>
        <w:t>The ceiling for insertion is less than half that for removal. The architecture was originally justified on the reasoning that prototypes are spatial basis functions rather than objects, and that a text-derived combination could therefore describe empty space. That reasoning is refuted by this measurement: the prototypes were trained to segment objects and carry that bias, spanning object-shaped regions approximately twice as well as empty space. The mechanism is weakest in precisely the case for which it was adopted.</w:t>
      </w:r>
    </w:p>
    <w:p>
      <w:pPr>
        <w:spacing w:after="120"/>
        <w:jc w:val="both"/>
      </w:pPr>
      <w:r>
        <w:rPr>
          <w:b w:val="0"/>
          <w:i w:val="0"/>
          <w:sz w:val="22"/>
        </w:rPr>
        <w:t>We then checked whether the shortfall was simply a shortage of insertion examples. Trained per kind at matched sample counts, insertion attained 0.0450 against 0.1568 for modification on the same 497 samples, a factor of 3.5 given identical data volume. We tried to raise the ceiling by appending hand-designed free-space basis functions. Its own control rejected it: the geometric basis exceeded neither a random basis of equal size (+0.0035, p = 0.33) nor the plain spatial head (−0.0030, p = 0.47), and was removed.</w:t>
      </w:r>
    </w:p>
    <w:p>
      <w:pPr>
        <w:pStyle w:val="Heading2"/>
      </w:pPr>
      <w:r>
        <w:t>7.6  Training dynamics and ablations</w:t>
      </w:r>
    </w:p>
    <w:p>
      <w:pPr>
        <w:jc w:val="center"/>
      </w:pPr>
      <w:r>
        <w:drawing>
          <wp:inline xmlns:a="http://schemas.openxmlformats.org/drawingml/2006/main" xmlns:pic="http://schemas.openxmlformats.org/drawingml/2006/picture">
            <wp:extent cx="5669280" cy="3187567"/>
            <wp:docPr id="3" name="Picture 3"/>
            <wp:cNvGraphicFramePr>
              <a:graphicFrameLocks noChangeAspect="1"/>
            </wp:cNvGraphicFramePr>
            <a:graphic>
              <a:graphicData uri="http://schemas.openxmlformats.org/drawingml/2006/picture">
                <pic:pic>
                  <pic:nvPicPr>
                    <pic:cNvPr id="0" name="curves.png"/>
                    <pic:cNvPicPr/>
                  </pic:nvPicPr>
                  <pic:blipFill>
                    <a:blip r:embed="rId11"/>
                    <a:stretch>
                      <a:fillRect/>
                    </a:stretch>
                  </pic:blipFill>
                  <pic:spPr>
                    <a:xfrm>
                      <a:off x="0" y="0"/>
                      <a:ext cx="5669280" cy="3187567"/>
                    </a:xfrm>
                    <a:prstGeom prst="rect"/>
                  </pic:spPr>
                </pic:pic>
              </a:graphicData>
            </a:graphic>
          </wp:inline>
        </w:drawing>
      </w:r>
    </w:p>
    <w:p>
      <w:pPr>
        <w:spacing w:after="200"/>
        <w:jc w:val="left"/>
      </w:pPr>
      <w:r>
        <w:rPr>
          <w:i/>
          <w:color w:val="5A5852"/>
          <w:sz w:val="19"/>
        </w:rPr>
        <w:t>Figure 3. Learning curves, three seeds per head at n = 8,306. Markers indicate the epoch selected. All six fall between epoch 2 and 7 of 60.</w:t>
      </w:r>
    </w:p>
    <w:p>
      <w:pPr>
        <w:spacing w:after="60"/>
      </w:pPr>
      <w:r>
        <w:rPr>
          <w:i/>
          <w:color w:val="5A5852"/>
          <w:sz w:val="19"/>
        </w:rPr>
        <w:t>Table 14. Validation IoU at its maximum and at the final epoch.</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814"/>
        <w:gridCol w:w="1814"/>
        <w:gridCol w:w="1814"/>
        <w:gridCol w:w="1814"/>
        <w:gridCol w:w="1814"/>
      </w:tblGrid>
      <w:tr>
        <w:tc>
          <w:tcPr>
            <w:tcW w:type="dxa" w:w="1728"/>
            <w:tcBorders>
              <w:bottom w:val="single" w:sz="6" w:color="1B1A17"/>
            </w:tcBorders>
          </w:tcPr>
          <w:p>
            <w:pPr>
              <w:spacing w:before="40" w:after="40"/>
              <w:jc w:val="left"/>
            </w:pPr>
            <w:r/>
            <w:r>
              <w:rPr>
                <w:rFonts w:ascii="Cambria" w:hAnsi="Cambria"/>
                <w:b/>
                <w:sz w:val="19"/>
              </w:rPr>
              <w:t>Head</w:t>
            </w:r>
          </w:p>
        </w:tc>
        <w:tc>
          <w:tcPr>
            <w:tcW w:type="dxa" w:w="2016"/>
            <w:tcBorders>
              <w:bottom w:val="single" w:sz="6" w:color="1B1A17"/>
            </w:tcBorders>
          </w:tcPr>
          <w:p>
            <w:pPr>
              <w:spacing w:before="40" w:after="40"/>
              <w:jc w:val="right"/>
            </w:pPr>
            <w:r/>
            <w:r>
              <w:rPr>
                <w:rFonts w:ascii="Cambria" w:hAnsi="Cambria"/>
                <w:b/>
                <w:sz w:val="19"/>
              </w:rPr>
              <w:t>Selected epochs</w:t>
            </w:r>
          </w:p>
        </w:tc>
        <w:tc>
          <w:tcPr>
            <w:tcW w:type="dxa" w:w="2304"/>
            <w:tcBorders>
              <w:bottom w:val="single" w:sz="6" w:color="1B1A17"/>
            </w:tcBorders>
          </w:tcPr>
          <w:p>
            <w:pPr>
              <w:spacing w:before="40" w:after="40"/>
              <w:jc w:val="right"/>
            </w:pPr>
            <w:r/>
            <w:r>
              <w:rPr>
                <w:rFonts w:ascii="Cambria" w:hAnsi="Cambria"/>
                <w:b/>
                <w:sz w:val="19"/>
              </w:rPr>
              <w:t>Peak validation IoU</w:t>
            </w:r>
          </w:p>
        </w:tc>
        <w:tc>
          <w:tcPr>
            <w:tcW w:type="dxa" w:w="1584"/>
            <w:tcBorders>
              <w:bottom w:val="single" w:sz="6" w:color="1B1A17"/>
            </w:tcBorders>
          </w:tcPr>
          <w:p>
            <w:pPr>
              <w:spacing w:before="40" w:after="40"/>
              <w:jc w:val="right"/>
            </w:pPr>
            <w:r/>
            <w:r>
              <w:rPr>
                <w:rFonts w:ascii="Cambria" w:hAnsi="Cambria"/>
                <w:b/>
                <w:sz w:val="19"/>
              </w:rPr>
              <w:t>At epoch 60</w:t>
            </w:r>
          </w:p>
        </w:tc>
        <w:tc>
          <w:tcPr>
            <w:tcW w:type="dxa" w:w="1296"/>
            <w:tcBorders>
              <w:bottom w:val="single" w:sz="6" w:color="1B1A17"/>
            </w:tcBorders>
          </w:tcPr>
          <w:p>
            <w:pPr>
              <w:spacing w:before="40" w:after="40"/>
              <w:jc w:val="right"/>
            </w:pPr>
            <w:r/>
            <w:r>
              <w:rPr>
                <w:rFonts w:ascii="Cambria" w:hAnsi="Cambria"/>
                <w:b/>
                <w:sz w:val="19"/>
              </w:rPr>
              <w:t>Change</w:t>
            </w:r>
          </w:p>
        </w:tc>
      </w:tr>
      <w:tr>
        <w:tc>
          <w:tcPr>
            <w:tcW w:type="dxa" w:w="1728"/>
          </w:tcPr>
          <w:p>
            <w:pPr>
              <w:spacing w:before="40" w:after="40"/>
              <w:jc w:val="left"/>
            </w:pPr>
            <w:r/>
            <w:r>
              <w:rPr>
                <w:rFonts w:ascii="Cambria" w:hAnsi="Cambria"/>
                <w:b w:val="0"/>
                <w:sz w:val="19"/>
              </w:rPr>
              <w:t>v2 spatial</w:t>
            </w:r>
          </w:p>
        </w:tc>
        <w:tc>
          <w:tcPr>
            <w:tcW w:type="dxa" w:w="2016"/>
          </w:tcPr>
          <w:p>
            <w:pPr>
              <w:spacing w:before="40" w:after="40"/>
              <w:jc w:val="right"/>
            </w:pPr>
            <w:r/>
            <w:r>
              <w:rPr>
                <w:rFonts w:ascii="Cambria" w:hAnsi="Cambria"/>
                <w:b w:val="0"/>
                <w:sz w:val="19"/>
              </w:rPr>
              <w:t>2, 5, 3</w:t>
            </w:r>
          </w:p>
        </w:tc>
        <w:tc>
          <w:tcPr>
            <w:tcW w:type="dxa" w:w="2304"/>
          </w:tcPr>
          <w:p>
            <w:pPr>
              <w:spacing w:before="40" w:after="40"/>
              <w:jc w:val="right"/>
            </w:pPr>
            <w:r/>
            <w:r>
              <w:rPr>
                <w:rFonts w:ascii="Cambria" w:hAnsi="Cambria"/>
                <w:b w:val="0"/>
                <w:sz w:val="19"/>
              </w:rPr>
              <w:t>0.1884</w:t>
            </w:r>
          </w:p>
        </w:tc>
        <w:tc>
          <w:tcPr>
            <w:tcW w:type="dxa" w:w="1584"/>
          </w:tcPr>
          <w:p>
            <w:pPr>
              <w:spacing w:before="40" w:after="40"/>
              <w:jc w:val="right"/>
            </w:pPr>
            <w:r/>
            <w:r>
              <w:rPr>
                <w:rFonts w:ascii="Cambria" w:hAnsi="Cambria"/>
                <w:b w:val="0"/>
                <w:sz w:val="19"/>
              </w:rPr>
              <w:t>0.1066</w:t>
            </w:r>
          </w:p>
        </w:tc>
        <w:tc>
          <w:tcPr>
            <w:tcW w:type="dxa" w:w="1296"/>
          </w:tcPr>
          <w:p>
            <w:pPr>
              <w:spacing w:before="40" w:after="40"/>
              <w:jc w:val="right"/>
            </w:pPr>
            <w:r/>
            <w:r>
              <w:rPr>
                <w:rFonts w:ascii="Cambria" w:hAnsi="Cambria"/>
                <w:b w:val="0"/>
                <w:sz w:val="19"/>
              </w:rPr>
              <w:t>−43%</w:t>
            </w:r>
          </w:p>
        </w:tc>
      </w:tr>
      <w:tr>
        <w:tc>
          <w:tcPr>
            <w:tcW w:type="dxa" w:w="1728"/>
          </w:tcPr>
          <w:p>
            <w:pPr>
              <w:spacing w:before="40" w:after="40"/>
              <w:jc w:val="left"/>
            </w:pPr>
            <w:r/>
            <w:r>
              <w:rPr>
                <w:rFonts w:ascii="Cambria" w:hAnsi="Cambria"/>
                <w:b w:val="0"/>
                <w:sz w:val="19"/>
              </w:rPr>
              <w:t>v1 global</w:t>
            </w:r>
          </w:p>
        </w:tc>
        <w:tc>
          <w:tcPr>
            <w:tcW w:type="dxa" w:w="2016"/>
          </w:tcPr>
          <w:p>
            <w:pPr>
              <w:spacing w:before="40" w:after="40"/>
              <w:jc w:val="right"/>
            </w:pPr>
            <w:r/>
            <w:r>
              <w:rPr>
                <w:rFonts w:ascii="Cambria" w:hAnsi="Cambria"/>
                <w:b w:val="0"/>
                <w:sz w:val="19"/>
              </w:rPr>
              <w:t>7, 5, 7</w:t>
            </w:r>
          </w:p>
        </w:tc>
        <w:tc>
          <w:tcPr>
            <w:tcW w:type="dxa" w:w="2304"/>
          </w:tcPr>
          <w:p>
            <w:pPr>
              <w:spacing w:before="40" w:after="40"/>
              <w:jc w:val="right"/>
            </w:pPr>
            <w:r/>
            <w:r>
              <w:rPr>
                <w:rFonts w:ascii="Cambria" w:hAnsi="Cambria"/>
                <w:b w:val="0"/>
                <w:sz w:val="19"/>
              </w:rPr>
              <w:t>0.1740</w:t>
            </w:r>
          </w:p>
        </w:tc>
        <w:tc>
          <w:tcPr>
            <w:tcW w:type="dxa" w:w="1584"/>
          </w:tcPr>
          <w:p>
            <w:pPr>
              <w:spacing w:before="40" w:after="40"/>
              <w:jc w:val="right"/>
            </w:pPr>
            <w:r/>
            <w:r>
              <w:rPr>
                <w:rFonts w:ascii="Cambria" w:hAnsi="Cambria"/>
                <w:b w:val="0"/>
                <w:sz w:val="19"/>
              </w:rPr>
              <w:t>0.1167</w:t>
            </w:r>
          </w:p>
        </w:tc>
        <w:tc>
          <w:tcPr>
            <w:tcW w:type="dxa" w:w="1296"/>
          </w:tcPr>
          <w:p>
            <w:pPr>
              <w:spacing w:before="40" w:after="40"/>
              <w:jc w:val="right"/>
            </w:pPr>
            <w:r/>
            <w:r>
              <w:rPr>
                <w:rFonts w:ascii="Cambria" w:hAnsi="Cambria"/>
                <w:b w:val="0"/>
                <w:sz w:val="19"/>
              </w:rPr>
              <w:t>−33%</w:t>
            </w:r>
          </w:p>
        </w:tc>
      </w:tr>
    </w:tbl>
    <w:p>
      <w:pPr>
        <w:spacing w:after="80"/>
      </w:pPr>
    </w:p>
    <w:p>
      <w:pPr>
        <w:spacing w:after="120"/>
        <w:jc w:val="both"/>
      </w:pPr>
      <w:r>
        <w:rPr>
          <w:b w:val="0"/>
          <w:i w:val="0"/>
          <w:sz w:val="22"/>
        </w:rPr>
        <w:t>Training loss decreases monotonically across all 60 epochs while validation IoU approximately halves, which is overfitting, not a failure to optimise. Selecting the checkpoint on a held-out slice of the training partition is therefore material to every figure reported: training to the final epoch would have yielded approximately half the IoU. The spatial head also leads at the peak, so its advantage is not an artefact of selection. A practical consequence is that 60 epochs is roughly six times more than required; approximately 10 reach the same checkpoint.</w:t>
      </w:r>
    </w:p>
    <w:p>
      <w:pPr>
        <w:spacing w:after="120"/>
        <w:jc w:val="both"/>
      </w:pPr>
      <w:r>
        <w:rPr>
          <w:b w:val="0"/>
          <w:i w:val="0"/>
          <w:sz w:val="22"/>
        </w:rPr>
        <w:t>Zeroing the text embedding each epoch drops validation IoU from 0.188 to approximately 0.03, a difference of +0.158 for the spatial head and +0.153 for the global head at the peak. The head is therefore conditioning on the instruction rather than exploiting an image prior. An independent three-seed run with per-epoch logging reproduced its development IoU exactly for all six runs, matching the corresponding seeds of the twelve-seed run to four decimal places.</w:t>
      </w:r>
    </w:p>
    <w:p>
      <w:pPr>
        <w:pStyle w:val="Heading2"/>
      </w:pPr>
      <w:r>
        <w:t>7.7  Latency</w:t>
      </w:r>
    </w:p>
    <w:p>
      <w:pPr>
        <w:spacing w:after="60"/>
      </w:pPr>
      <w:r>
        <w:rPr>
          <w:i/>
          <w:color w:val="5A5852"/>
          <w:sz w:val="19"/>
        </w:rPr>
        <w:t>Table 15. Measured on the M5, resolution-matched at CLIPSeg's native 352 × 352. Per-image cost is incurred once; per-instruction cost is incurred for every instruction on that image.</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584"/>
            <w:tcBorders>
              <w:bottom w:val="single" w:sz="6" w:color="1B1A17"/>
            </w:tcBorders>
          </w:tcPr>
          <w:p>
            <w:pPr>
              <w:spacing w:before="40" w:after="40"/>
              <w:jc w:val="left"/>
            </w:pPr>
            <w:r/>
            <w:r>
              <w:rPr>
                <w:rFonts w:ascii="Cambria" w:hAnsi="Cambria"/>
                <w:b/>
                <w:sz w:val="19"/>
              </w:rPr>
              <w:t>Model</w:t>
            </w:r>
          </w:p>
        </w:tc>
        <w:tc>
          <w:tcPr>
            <w:tcW w:type="dxa" w:w="1800"/>
            <w:tcBorders>
              <w:bottom w:val="single" w:sz="6" w:color="1B1A17"/>
            </w:tcBorders>
          </w:tcPr>
          <w:p>
            <w:pPr>
              <w:spacing w:before="40" w:after="40"/>
              <w:jc w:val="right"/>
            </w:pPr>
            <w:r/>
            <w:r>
              <w:rPr>
                <w:rFonts w:ascii="Cambria" w:hAnsi="Cambria"/>
                <w:b/>
                <w:sz w:val="19"/>
              </w:rPr>
              <w:t>Trainable</w:t>
            </w:r>
          </w:p>
        </w:tc>
        <w:tc>
          <w:tcPr>
            <w:tcW w:type="dxa" w:w="1440"/>
            <w:tcBorders>
              <w:bottom w:val="single" w:sz="6" w:color="1B1A17"/>
            </w:tcBorders>
          </w:tcPr>
          <w:p>
            <w:pPr>
              <w:spacing w:before="40" w:after="40"/>
              <w:jc w:val="right"/>
            </w:pPr>
            <w:r/>
            <w:r>
              <w:rPr>
                <w:rFonts w:ascii="Cambria" w:hAnsi="Cambria"/>
                <w:b/>
                <w:sz w:val="19"/>
              </w:rPr>
              <w:t>Per image</w:t>
            </w:r>
          </w:p>
        </w:tc>
        <w:tc>
          <w:tcPr>
            <w:tcW w:type="dxa" w:w="1872"/>
            <w:tcBorders>
              <w:bottom w:val="single" w:sz="6" w:color="1B1A17"/>
            </w:tcBorders>
          </w:tcPr>
          <w:p>
            <w:pPr>
              <w:spacing w:before="40" w:after="40"/>
              <w:jc w:val="right"/>
            </w:pPr>
            <w:r/>
            <w:r>
              <w:rPr>
                <w:rFonts w:ascii="Cambria" w:hAnsi="Cambria"/>
                <w:b/>
                <w:sz w:val="19"/>
              </w:rPr>
              <w:t>Per instruction</w:t>
            </w:r>
          </w:p>
        </w:tc>
        <w:tc>
          <w:tcPr>
            <w:tcW w:type="dxa" w:w="1296"/>
            <w:tcBorders>
              <w:bottom w:val="single" w:sz="6" w:color="1B1A17"/>
            </w:tcBorders>
          </w:tcPr>
          <w:p>
            <w:pPr>
              <w:spacing w:before="40" w:after="40"/>
              <w:jc w:val="right"/>
            </w:pPr>
            <w:r/>
            <w:r>
              <w:rPr>
                <w:rFonts w:ascii="Cambria" w:hAnsi="Cambria"/>
                <w:b/>
                <w:sz w:val="19"/>
              </w:rPr>
              <w:t>Speed-up</w:t>
            </w:r>
          </w:p>
        </w:tc>
        <w:tc>
          <w:tcPr>
            <w:tcW w:type="dxa" w:w="1872"/>
            <w:tcBorders>
              <w:bottom w:val="single" w:sz="6" w:color="1B1A17"/>
            </w:tcBorders>
          </w:tcPr>
          <w:p>
            <w:pPr>
              <w:spacing w:before="40" w:after="40"/>
              <w:jc w:val="right"/>
            </w:pPr>
            <w:r/>
            <w:r>
              <w:rPr>
                <w:rFonts w:ascii="Cambria" w:hAnsi="Cambria"/>
                <w:b/>
                <w:sz w:val="19"/>
              </w:rPr>
              <w:t>Parameters</w:t>
            </w:r>
          </w:p>
        </w:tc>
      </w:tr>
      <w:tr>
        <w:tc>
          <w:tcPr>
            <w:tcW w:type="dxa" w:w="1584"/>
          </w:tcPr>
          <w:p>
            <w:pPr>
              <w:spacing w:before="40" w:after="40"/>
              <w:jc w:val="left"/>
            </w:pPr>
            <w:r/>
            <w:r>
              <w:rPr>
                <w:rFonts w:ascii="Cambria" w:hAnsi="Cambria"/>
                <w:b/>
                <w:sz w:val="19"/>
              </w:rPr>
              <w:t>v2 spatial</w:t>
            </w:r>
          </w:p>
        </w:tc>
        <w:tc>
          <w:tcPr>
            <w:tcW w:type="dxa" w:w="1800"/>
          </w:tcPr>
          <w:p>
            <w:pPr>
              <w:spacing w:before="40" w:after="40"/>
              <w:jc w:val="right"/>
            </w:pPr>
            <w:r/>
            <w:r>
              <w:rPr>
                <w:rFonts w:ascii="Cambria" w:hAnsi="Cambria"/>
                <w:b/>
                <w:sz w:val="19"/>
              </w:rPr>
              <w:t>4,693,633</w:t>
            </w:r>
          </w:p>
        </w:tc>
        <w:tc>
          <w:tcPr>
            <w:tcW w:type="dxa" w:w="1440"/>
          </w:tcPr>
          <w:p>
            <w:pPr>
              <w:spacing w:before="40" w:after="40"/>
              <w:jc w:val="right"/>
            </w:pPr>
            <w:r/>
            <w:r>
              <w:rPr>
                <w:rFonts w:ascii="Cambria" w:hAnsi="Cambria"/>
                <w:b/>
                <w:sz w:val="19"/>
              </w:rPr>
              <w:t>33.6 ms</w:t>
            </w:r>
          </w:p>
        </w:tc>
        <w:tc>
          <w:tcPr>
            <w:tcW w:type="dxa" w:w="1872"/>
          </w:tcPr>
          <w:p>
            <w:pPr>
              <w:spacing w:before="40" w:after="40"/>
              <w:jc w:val="right"/>
            </w:pPr>
            <w:r/>
            <w:r>
              <w:rPr>
                <w:rFonts w:ascii="Cambria" w:hAnsi="Cambria"/>
                <w:b/>
                <w:sz w:val="19"/>
              </w:rPr>
              <w:t>5.30 ms</w:t>
            </w:r>
          </w:p>
        </w:tc>
        <w:tc>
          <w:tcPr>
            <w:tcW w:type="dxa" w:w="1296"/>
          </w:tcPr>
          <w:p>
            <w:pPr>
              <w:spacing w:before="40" w:after="40"/>
              <w:jc w:val="right"/>
            </w:pPr>
            <w:r/>
            <w:r>
              <w:rPr>
                <w:rFonts w:ascii="Cambria" w:hAnsi="Cambria"/>
                <w:b/>
                <w:sz w:val="19"/>
              </w:rPr>
              <w:t>10.3×</w:t>
            </w:r>
          </w:p>
        </w:tc>
        <w:tc>
          <w:tcPr>
            <w:tcW w:type="dxa" w:w="1872"/>
          </w:tcPr>
          <w:p>
            <w:pPr>
              <w:spacing w:before="40" w:after="40"/>
              <w:jc w:val="right"/>
            </w:pPr>
            <w:r/>
            <w:r>
              <w:rPr>
                <w:rFonts w:ascii="Cambria" w:hAnsi="Cambria"/>
                <w:b/>
                <w:sz w:val="19"/>
              </w:rPr>
              <w:t>32.1× fewer</w:t>
            </w:r>
          </w:p>
        </w:tc>
      </w:tr>
      <w:tr>
        <w:tc>
          <w:tcPr>
            <w:tcW w:type="dxa" w:w="1584"/>
          </w:tcPr>
          <w:p>
            <w:pPr>
              <w:spacing w:before="40" w:after="40"/>
              <w:jc w:val="left"/>
            </w:pPr>
            <w:r/>
            <w:r>
              <w:rPr>
                <w:rFonts w:ascii="Cambria" w:hAnsi="Cambria"/>
                <w:b w:val="0"/>
                <w:sz w:val="19"/>
              </w:rPr>
              <w:t>v1 global</w:t>
            </w:r>
          </w:p>
        </w:tc>
        <w:tc>
          <w:tcPr>
            <w:tcW w:type="dxa" w:w="1800"/>
          </w:tcPr>
          <w:p>
            <w:pPr>
              <w:spacing w:before="40" w:after="40"/>
              <w:jc w:val="right"/>
            </w:pPr>
            <w:r/>
            <w:r>
              <w:rPr>
                <w:rFonts w:ascii="Cambria" w:hAnsi="Cambria"/>
                <w:b w:val="0"/>
                <w:sz w:val="19"/>
              </w:rPr>
              <w:t>1,399,073</w:t>
            </w:r>
          </w:p>
        </w:tc>
        <w:tc>
          <w:tcPr>
            <w:tcW w:type="dxa" w:w="1440"/>
          </w:tcPr>
          <w:p>
            <w:pPr>
              <w:spacing w:before="40" w:after="40"/>
              <w:jc w:val="right"/>
            </w:pPr>
            <w:r/>
            <w:r>
              <w:rPr>
                <w:rFonts w:ascii="Cambria" w:hAnsi="Cambria"/>
                <w:b w:val="0"/>
                <w:sz w:val="19"/>
              </w:rPr>
              <w:t>33.8 ms</w:t>
            </w:r>
          </w:p>
        </w:tc>
        <w:tc>
          <w:tcPr>
            <w:tcW w:type="dxa" w:w="1872"/>
          </w:tcPr>
          <w:p>
            <w:pPr>
              <w:spacing w:before="40" w:after="40"/>
              <w:jc w:val="right"/>
            </w:pPr>
            <w:r/>
            <w:r>
              <w:rPr>
                <w:rFonts w:ascii="Cambria" w:hAnsi="Cambria"/>
                <w:b w:val="0"/>
                <w:sz w:val="19"/>
              </w:rPr>
              <w:t>5.39 ms</w:t>
            </w:r>
          </w:p>
        </w:tc>
        <w:tc>
          <w:tcPr>
            <w:tcW w:type="dxa" w:w="1296"/>
          </w:tcPr>
          <w:p>
            <w:pPr>
              <w:spacing w:before="40" w:after="40"/>
              <w:jc w:val="right"/>
            </w:pPr>
            <w:r/>
            <w:r>
              <w:rPr>
                <w:rFonts w:ascii="Cambria" w:hAnsi="Cambria"/>
                <w:b w:val="0"/>
                <w:sz w:val="19"/>
              </w:rPr>
              <w:t>10.1×</w:t>
            </w:r>
          </w:p>
        </w:tc>
        <w:tc>
          <w:tcPr>
            <w:tcW w:type="dxa" w:w="1872"/>
          </w:tcPr>
          <w:p>
            <w:pPr>
              <w:spacing w:before="40" w:after="40"/>
              <w:jc w:val="right"/>
            </w:pPr>
            <w:r/>
            <w:r>
              <w:rPr>
                <w:rFonts w:ascii="Cambria" w:hAnsi="Cambria"/>
                <w:b w:val="0"/>
                <w:sz w:val="19"/>
              </w:rPr>
              <w:t>107.7× fewer</w:t>
            </w:r>
          </w:p>
        </w:tc>
      </w:tr>
      <w:tr>
        <w:tc>
          <w:tcPr>
            <w:tcW w:type="dxa" w:w="1584"/>
          </w:tcPr>
          <w:p>
            <w:pPr>
              <w:spacing w:before="40" w:after="40"/>
              <w:jc w:val="left"/>
            </w:pPr>
            <w:r/>
            <w:r>
              <w:rPr>
                <w:rFonts w:ascii="Cambria" w:hAnsi="Cambria"/>
                <w:b w:val="0"/>
                <w:sz w:val="19"/>
              </w:rPr>
              <w:t>CLIPSeg</w:t>
            </w:r>
          </w:p>
        </w:tc>
        <w:tc>
          <w:tcPr>
            <w:tcW w:type="dxa" w:w="1800"/>
          </w:tcPr>
          <w:p>
            <w:pPr>
              <w:spacing w:before="40" w:after="40"/>
              <w:jc w:val="right"/>
            </w:pPr>
            <w:r/>
            <w:r>
              <w:rPr>
                <w:rFonts w:ascii="Cambria" w:hAnsi="Cambria"/>
                <w:b w:val="0"/>
                <w:sz w:val="19"/>
              </w:rPr>
              <w:t>150,747,746</w:t>
            </w:r>
          </w:p>
        </w:tc>
        <w:tc>
          <w:tcPr>
            <w:tcW w:type="dxa" w:w="1440"/>
          </w:tcPr>
          <w:p>
            <w:pPr>
              <w:spacing w:before="40" w:after="40"/>
              <w:jc w:val="right"/>
            </w:pPr>
            <w:r/>
            <w:r>
              <w:rPr>
                <w:rFonts w:ascii="Cambria" w:hAnsi="Cambria"/>
                <w:b w:val="0"/>
                <w:sz w:val="19"/>
              </w:rPr>
              <w:t>—</w:t>
            </w:r>
          </w:p>
        </w:tc>
        <w:tc>
          <w:tcPr>
            <w:tcW w:type="dxa" w:w="1872"/>
          </w:tcPr>
          <w:p>
            <w:pPr>
              <w:spacing w:before="40" w:after="40"/>
              <w:jc w:val="right"/>
            </w:pPr>
            <w:r/>
            <w:r>
              <w:rPr>
                <w:rFonts w:ascii="Cambria" w:hAnsi="Cambria"/>
                <w:b w:val="0"/>
                <w:sz w:val="19"/>
              </w:rPr>
              <w:t>54.3 ms</w:t>
            </w:r>
          </w:p>
        </w:tc>
        <w:tc>
          <w:tcPr>
            <w:tcW w:type="dxa" w:w="1296"/>
          </w:tcPr>
          <w:p>
            <w:pPr>
              <w:spacing w:before="40" w:after="40"/>
              <w:jc w:val="right"/>
            </w:pPr>
            <w:r/>
            <w:r>
              <w:rPr>
                <w:rFonts w:ascii="Cambria" w:hAnsi="Cambria"/>
                <w:b w:val="0"/>
                <w:sz w:val="19"/>
              </w:rPr>
              <w:t>1×</w:t>
            </w:r>
          </w:p>
        </w:tc>
        <w:tc>
          <w:tcPr>
            <w:tcW w:type="dxa" w:w="1872"/>
          </w:tcPr>
          <w:p>
            <w:pPr>
              <w:spacing w:before="40" w:after="40"/>
              <w:jc w:val="right"/>
            </w:pPr>
            <w:r/>
            <w:r>
              <w:rPr>
                <w:rFonts w:ascii="Cambria" w:hAnsi="Cambria"/>
                <w:b w:val="0"/>
                <w:sz w:val="19"/>
              </w:rPr>
              <w:t>—</w:t>
            </w:r>
          </w:p>
        </w:tc>
      </w:tr>
    </w:tbl>
    <w:p>
      <w:pPr>
        <w:spacing w:after="80"/>
      </w:pPr>
    </w:p>
    <w:p>
      <w:pPr>
        <w:spacing w:after="120"/>
        <w:jc w:val="both"/>
      </w:pPr>
      <w:r>
        <w:rPr>
          <w:b w:val="0"/>
          <w:i w:val="0"/>
          <w:sz w:val="22"/>
        </w:rPr>
        <w:t>The advantage is structural. The architecture separates into a per-image stage, the frozen backbone producing 32 prototypes, and a per-instruction stage comprising a CLIP text encoding, a small multilayer perceptron and a weighted sum. CLIPSeg re-executes a full 150 million parameter encoder–decoder for each instruction and admits no such separation. Editing is an iterative activity in which several instructions are issued against one image, so the amortised cost is the relevant quantity. At the operating resolution of 640 pixels the backbone costs 98.4 ms and break-even occurs at approximately two instructions; at the matched 352 pixels both stages are cheaper. Accuracy at 352 pixels is unmeasured, so the matched comparison is a latency comparison only.</w:t>
      </w:r>
    </w:p>
    <w:p>
      <w:pPr>
        <w:pStyle w:val="Heading1"/>
      </w:pPr>
      <w:r>
        <w:t>8  Stage 2: Editing Within the Predicted Region</w:t>
      </w:r>
    </w:p>
    <w:p>
      <w:pPr>
        <w:spacing w:after="120"/>
        <w:jc w:val="both"/>
      </w:pPr>
      <w:r>
        <w:rPr>
          <w:b w:val="0"/>
          <w:i w:val="0"/>
          <w:sz w:val="22"/>
        </w:rPr>
        <w:t>A mask metric is a proxy. This experiment tests the premise of the work directly. A single editor, InstructPix2Pix, produces the edit for every arm, and only the gating mask varies, so any difference is attributable to the mask. We used sixty held-out development samples. Recall denotes the fraction of the true edit region that changed, collateral the fraction of pixels outside that region that changed, and net their difference.</w:t>
      </w:r>
    </w:p>
    <w:p>
      <w:pPr>
        <w:spacing w:after="60"/>
      </w:pPr>
      <w:r>
        <w:rPr>
          <w:i/>
          <w:color w:val="5A5852"/>
          <w:sz w:val="19"/>
        </w:rPr>
        <w:t>Table 16. Stage 2 with a fixed editor and varying gating mask.</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2268"/>
        <w:gridCol w:w="2268"/>
        <w:gridCol w:w="2268"/>
        <w:gridCol w:w="2268"/>
      </w:tblGrid>
      <w:tr>
        <w:tc>
          <w:tcPr>
            <w:tcW w:type="dxa" w:w="4608"/>
            <w:tcBorders>
              <w:bottom w:val="single" w:sz="6" w:color="1B1A17"/>
            </w:tcBorders>
          </w:tcPr>
          <w:p>
            <w:pPr>
              <w:spacing w:before="40" w:after="40"/>
              <w:jc w:val="left"/>
            </w:pPr>
            <w:r/>
            <w:r>
              <w:rPr>
                <w:rFonts w:ascii="Cambria" w:hAnsi="Cambria"/>
                <w:b/>
                <w:sz w:val="19"/>
              </w:rPr>
              <w:t>Gating mask</w:t>
            </w:r>
          </w:p>
        </w:tc>
        <w:tc>
          <w:tcPr>
            <w:tcW w:type="dxa" w:w="1440"/>
            <w:tcBorders>
              <w:bottom w:val="single" w:sz="6" w:color="1B1A17"/>
            </w:tcBorders>
          </w:tcPr>
          <w:p>
            <w:pPr>
              <w:spacing w:before="40" w:after="40"/>
              <w:jc w:val="right"/>
            </w:pPr>
            <w:r/>
            <w:r>
              <w:rPr>
                <w:rFonts w:ascii="Cambria" w:hAnsi="Cambria"/>
                <w:b/>
                <w:sz w:val="19"/>
              </w:rPr>
              <w:t>Recall</w:t>
            </w:r>
          </w:p>
        </w:tc>
        <w:tc>
          <w:tcPr>
            <w:tcW w:type="dxa" w:w="1584"/>
            <w:tcBorders>
              <w:bottom w:val="single" w:sz="6" w:color="1B1A17"/>
            </w:tcBorders>
          </w:tcPr>
          <w:p>
            <w:pPr>
              <w:spacing w:before="40" w:after="40"/>
              <w:jc w:val="right"/>
            </w:pPr>
            <w:r/>
            <w:r>
              <w:rPr>
                <w:rFonts w:ascii="Cambria" w:hAnsi="Cambria"/>
                <w:b/>
                <w:sz w:val="19"/>
              </w:rPr>
              <w:t>Collateral</w:t>
            </w:r>
          </w:p>
        </w:tc>
        <w:tc>
          <w:tcPr>
            <w:tcW w:type="dxa" w:w="1296"/>
            <w:tcBorders>
              <w:bottom w:val="single" w:sz="6" w:color="1B1A17"/>
            </w:tcBorders>
          </w:tcPr>
          <w:p>
            <w:pPr>
              <w:spacing w:before="40" w:after="40"/>
              <w:jc w:val="right"/>
            </w:pPr>
            <w:r/>
            <w:r>
              <w:rPr>
                <w:rFonts w:ascii="Cambria" w:hAnsi="Cambria"/>
                <w:b/>
                <w:sz w:val="19"/>
              </w:rPr>
              <w:t>Net</w:t>
            </w:r>
          </w:p>
        </w:tc>
      </w:tr>
      <w:tr>
        <w:tc>
          <w:tcPr>
            <w:tcW w:type="dxa" w:w="4608"/>
          </w:tcPr>
          <w:p>
            <w:pPr>
              <w:spacing w:before="40" w:after="40"/>
              <w:jc w:val="left"/>
            </w:pPr>
            <w:r/>
            <w:r>
              <w:rPr>
                <w:rFonts w:ascii="Cambria" w:hAnsi="Cambria"/>
                <w:b w:val="0"/>
                <w:sz w:val="19"/>
              </w:rPr>
              <w:t>None — whole frame (status quo)</w:t>
            </w:r>
          </w:p>
        </w:tc>
        <w:tc>
          <w:tcPr>
            <w:tcW w:type="dxa" w:w="1440"/>
          </w:tcPr>
          <w:p>
            <w:pPr>
              <w:spacing w:before="40" w:after="40"/>
              <w:jc w:val="right"/>
            </w:pPr>
            <w:r/>
            <w:r>
              <w:rPr>
                <w:rFonts w:ascii="Cambria" w:hAnsi="Cambria"/>
                <w:b w:val="0"/>
                <w:sz w:val="19"/>
              </w:rPr>
              <w:t>33.3%</w:t>
            </w:r>
          </w:p>
        </w:tc>
        <w:tc>
          <w:tcPr>
            <w:tcW w:type="dxa" w:w="1584"/>
          </w:tcPr>
          <w:p>
            <w:pPr>
              <w:spacing w:before="40" w:after="40"/>
              <w:jc w:val="right"/>
            </w:pPr>
            <w:r/>
            <w:r>
              <w:rPr>
                <w:rFonts w:ascii="Cambria" w:hAnsi="Cambria"/>
                <w:b w:val="0"/>
                <w:sz w:val="19"/>
              </w:rPr>
              <w:t>24.2%</w:t>
            </w:r>
          </w:p>
        </w:tc>
        <w:tc>
          <w:tcPr>
            <w:tcW w:type="dxa" w:w="1296"/>
          </w:tcPr>
          <w:p>
            <w:pPr>
              <w:spacing w:before="40" w:after="40"/>
              <w:jc w:val="right"/>
            </w:pPr>
            <w:r/>
            <w:r>
              <w:rPr>
                <w:rFonts w:ascii="Cambria" w:hAnsi="Cambria"/>
                <w:b w:val="0"/>
                <w:sz w:val="19"/>
              </w:rPr>
              <w:t>+9.1%</w:t>
            </w:r>
          </w:p>
        </w:tc>
      </w:tr>
      <w:tr>
        <w:tc>
          <w:tcPr>
            <w:tcW w:type="dxa" w:w="4608"/>
          </w:tcPr>
          <w:p>
            <w:pPr>
              <w:spacing w:before="40" w:after="40"/>
              <w:jc w:val="left"/>
            </w:pPr>
            <w:r/>
            <w:r>
              <w:rPr>
                <w:rFonts w:ascii="Cambria" w:hAnsi="Cambria"/>
                <w:b w:val="0"/>
                <w:sz w:val="19"/>
              </w:rPr>
              <w:t>Predicted, as output</w:t>
            </w:r>
          </w:p>
        </w:tc>
        <w:tc>
          <w:tcPr>
            <w:tcW w:type="dxa" w:w="1440"/>
          </w:tcPr>
          <w:p>
            <w:pPr>
              <w:spacing w:before="40" w:after="40"/>
              <w:jc w:val="right"/>
            </w:pPr>
            <w:r/>
            <w:r>
              <w:rPr>
                <w:rFonts w:ascii="Cambria" w:hAnsi="Cambria"/>
                <w:b w:val="0"/>
                <w:sz w:val="19"/>
              </w:rPr>
              <w:t>7.5%</w:t>
            </w:r>
          </w:p>
        </w:tc>
        <w:tc>
          <w:tcPr>
            <w:tcW w:type="dxa" w:w="1584"/>
          </w:tcPr>
          <w:p>
            <w:pPr>
              <w:spacing w:before="40" w:after="40"/>
              <w:jc w:val="right"/>
            </w:pPr>
            <w:r/>
            <w:r>
              <w:rPr>
                <w:rFonts w:ascii="Cambria" w:hAnsi="Cambria"/>
                <w:b w:val="0"/>
                <w:sz w:val="19"/>
              </w:rPr>
              <w:t>1.5%</w:t>
            </w:r>
          </w:p>
        </w:tc>
        <w:tc>
          <w:tcPr>
            <w:tcW w:type="dxa" w:w="1296"/>
          </w:tcPr>
          <w:p>
            <w:pPr>
              <w:spacing w:before="40" w:after="40"/>
              <w:jc w:val="right"/>
            </w:pPr>
            <w:r/>
            <w:r>
              <w:rPr>
                <w:rFonts w:ascii="Cambria" w:hAnsi="Cambria"/>
                <w:b w:val="0"/>
                <w:sz w:val="19"/>
              </w:rPr>
              <w:t>+6.0%</w:t>
            </w:r>
          </w:p>
        </w:tc>
      </w:tr>
      <w:tr>
        <w:tc>
          <w:tcPr>
            <w:tcW w:type="dxa" w:w="4608"/>
          </w:tcPr>
          <w:p>
            <w:pPr>
              <w:spacing w:before="40" w:after="40"/>
              <w:jc w:val="left"/>
            </w:pPr>
            <w:r/>
            <w:r>
              <w:rPr>
                <w:rFonts w:ascii="Cambria" w:hAnsi="Cambria"/>
                <w:b/>
                <w:sz w:val="19"/>
              </w:rPr>
              <w:t>Predicted, tuned (threshold 0.2, dilation 64 px)</w:t>
            </w:r>
          </w:p>
        </w:tc>
        <w:tc>
          <w:tcPr>
            <w:tcW w:type="dxa" w:w="1440"/>
          </w:tcPr>
          <w:p>
            <w:pPr>
              <w:spacing w:before="40" w:after="40"/>
              <w:jc w:val="right"/>
            </w:pPr>
            <w:r/>
            <w:r>
              <w:rPr>
                <w:rFonts w:ascii="Cambria" w:hAnsi="Cambria"/>
                <w:b/>
                <w:sz w:val="19"/>
              </w:rPr>
              <w:t>22.9%</w:t>
            </w:r>
          </w:p>
        </w:tc>
        <w:tc>
          <w:tcPr>
            <w:tcW w:type="dxa" w:w="1584"/>
          </w:tcPr>
          <w:p>
            <w:pPr>
              <w:spacing w:before="40" w:after="40"/>
              <w:jc w:val="right"/>
            </w:pPr>
            <w:r/>
            <w:r>
              <w:rPr>
                <w:rFonts w:ascii="Cambria" w:hAnsi="Cambria"/>
                <w:b/>
                <w:sz w:val="19"/>
              </w:rPr>
              <w:t>8.8%</w:t>
            </w:r>
          </w:p>
        </w:tc>
        <w:tc>
          <w:tcPr>
            <w:tcW w:type="dxa" w:w="1296"/>
          </w:tcPr>
          <w:p>
            <w:pPr>
              <w:spacing w:before="40" w:after="40"/>
              <w:jc w:val="right"/>
            </w:pPr>
            <w:r/>
            <w:r>
              <w:rPr>
                <w:rFonts w:ascii="Cambria" w:hAnsi="Cambria"/>
                <w:b/>
                <w:sz w:val="19"/>
              </w:rPr>
              <w:t>+14.2%</w:t>
            </w:r>
          </w:p>
        </w:tc>
      </w:tr>
      <w:tr>
        <w:tc>
          <w:tcPr>
            <w:tcW w:type="dxa" w:w="4608"/>
          </w:tcPr>
          <w:p>
            <w:pPr>
              <w:spacing w:before="40" w:after="40"/>
              <w:jc w:val="left"/>
            </w:pPr>
            <w:r/>
            <w:r>
              <w:rPr>
                <w:rFonts w:ascii="Cambria" w:hAnsi="Cambria"/>
                <w:b w:val="0"/>
                <w:sz w:val="19"/>
              </w:rPr>
              <w:t>MagicBrush human mask</w:t>
            </w:r>
          </w:p>
        </w:tc>
        <w:tc>
          <w:tcPr>
            <w:tcW w:type="dxa" w:w="1440"/>
          </w:tcPr>
          <w:p>
            <w:pPr>
              <w:spacing w:before="40" w:after="40"/>
              <w:jc w:val="right"/>
            </w:pPr>
            <w:r/>
            <w:r>
              <w:rPr>
                <w:rFonts w:ascii="Cambria" w:hAnsi="Cambria"/>
                <w:b w:val="0"/>
                <w:sz w:val="19"/>
              </w:rPr>
              <w:t>31.5%</w:t>
            </w:r>
          </w:p>
        </w:tc>
        <w:tc>
          <w:tcPr>
            <w:tcW w:type="dxa" w:w="1584"/>
          </w:tcPr>
          <w:p>
            <w:pPr>
              <w:spacing w:before="40" w:after="40"/>
              <w:jc w:val="right"/>
            </w:pPr>
            <w:r/>
            <w:r>
              <w:rPr>
                <w:rFonts w:ascii="Cambria" w:hAnsi="Cambria"/>
                <w:b w:val="0"/>
                <w:sz w:val="19"/>
              </w:rPr>
              <w:t>13.0%</w:t>
            </w:r>
          </w:p>
        </w:tc>
        <w:tc>
          <w:tcPr>
            <w:tcW w:type="dxa" w:w="1296"/>
          </w:tcPr>
          <w:p>
            <w:pPr>
              <w:spacing w:before="40" w:after="40"/>
              <w:jc w:val="right"/>
            </w:pPr>
            <w:r/>
            <w:r>
              <w:rPr>
                <w:rFonts w:ascii="Cambria" w:hAnsi="Cambria"/>
                <w:b w:val="0"/>
                <w:sz w:val="19"/>
              </w:rPr>
              <w:t>+18.5%</w:t>
            </w:r>
          </w:p>
        </w:tc>
      </w:tr>
      <w:tr>
        <w:tc>
          <w:tcPr>
            <w:tcW w:type="dxa" w:w="4608"/>
          </w:tcPr>
          <w:p>
            <w:pPr>
              <w:spacing w:before="40" w:after="40"/>
              <w:jc w:val="left"/>
            </w:pPr>
            <w:r/>
            <w:r>
              <w:rPr>
                <w:rFonts w:ascii="Cambria" w:hAnsi="Cambria"/>
                <w:b w:val="0"/>
                <w:sz w:val="19"/>
              </w:rPr>
              <w:t>Ground-truth region (oracle)</w:t>
            </w:r>
          </w:p>
        </w:tc>
        <w:tc>
          <w:tcPr>
            <w:tcW w:type="dxa" w:w="1440"/>
          </w:tcPr>
          <w:p>
            <w:pPr>
              <w:spacing w:before="40" w:after="40"/>
              <w:jc w:val="right"/>
            </w:pPr>
            <w:r/>
            <w:r>
              <w:rPr>
                <w:rFonts w:ascii="Cambria" w:hAnsi="Cambria"/>
                <w:b w:val="0"/>
                <w:sz w:val="19"/>
              </w:rPr>
              <w:t>30.2%</w:t>
            </w:r>
          </w:p>
        </w:tc>
        <w:tc>
          <w:tcPr>
            <w:tcW w:type="dxa" w:w="1584"/>
          </w:tcPr>
          <w:p>
            <w:pPr>
              <w:spacing w:before="40" w:after="40"/>
              <w:jc w:val="right"/>
            </w:pPr>
            <w:r/>
            <w:r>
              <w:rPr>
                <w:rFonts w:ascii="Cambria" w:hAnsi="Cambria"/>
                <w:b w:val="0"/>
                <w:sz w:val="19"/>
              </w:rPr>
              <w:t>0.1%</w:t>
            </w:r>
          </w:p>
        </w:tc>
        <w:tc>
          <w:tcPr>
            <w:tcW w:type="dxa" w:w="1296"/>
          </w:tcPr>
          <w:p>
            <w:pPr>
              <w:spacing w:before="40" w:after="40"/>
              <w:jc w:val="right"/>
            </w:pPr>
            <w:r/>
            <w:r>
              <w:rPr>
                <w:rFonts w:ascii="Cambria" w:hAnsi="Cambria"/>
                <w:b w:val="0"/>
                <w:sz w:val="19"/>
              </w:rPr>
              <w:t>+30.1%</w:t>
            </w:r>
          </w:p>
        </w:tc>
      </w:tr>
    </w:tbl>
    <w:p>
      <w:pPr>
        <w:spacing w:after="80"/>
      </w:pPr>
    </w:p>
    <w:p>
      <w:pPr>
        <w:spacing w:after="120"/>
        <w:jc w:val="both"/>
      </w:pPr>
      <w:r>
        <w:rPr>
          <w:b w:val="0"/>
          <w:i w:val="0"/>
          <w:sz w:val="22"/>
        </w:rPr>
        <w:t>Editing within the correct region is worth a factor of 3.3, +30.1 percent against +9.1 percent for whole-frame editing, which is direct evidence that localization pays off on the edited image, not only on a mask metric. The predicted mask as output is precision-biased, yielding 1.5 percent collateral but only 7.5 percent recall, so gating discards the majority of the edit and net falls below whole-frame editing. Dilation exchanges precision for recall; swept to 200 pixels across two thresholds, net attains a maximum at 64 pixels and declines monotonically thereafter, so 64 pixels is a true optimum rather than the limit of the search.</w:t>
      </w:r>
    </w:p>
    <w:p>
      <w:pPr>
        <w:spacing w:after="120"/>
        <w:jc w:val="both"/>
      </w:pPr>
      <w:r>
        <w:rPr>
          <w:b w:val="0"/>
          <w:i w:val="0"/>
          <w:sz w:val="22"/>
        </w:rPr>
        <w:t>The MagicBrush mask, 9.1 times larger than the true region, carries 13.0 percent collateral and forfeits 11.6 points of net against the ground-truth region, so the cost of coarse supervision propagates into the edited image. The tuned prediction exceeds whole-frame editing but does not exceed the MagicBrush mask, at +14.2 percent against +18.5 percent: those masks are substantially too large yet retain more of the edit. Caveats are sixty samples, one editor and one guidance setting.</w:t>
      </w:r>
    </w:p>
    <w:p>
      <w:pPr>
        <w:spacing w:after="120"/>
        <w:jc w:val="both"/>
      </w:pPr>
      <w:r>
        <w:rPr>
          <w:b w:val="0"/>
          <w:i w:val="0"/>
          <w:sz w:val="22"/>
        </w:rPr>
      </w:r>
    </w:p>
    <w:p>
      <w:pPr>
        <w:pStyle w:val="Heading2"/>
      </w:pPr>
      <w:r>
        <w:t>8.1  The same test with a real inpainting model</w:t>
      </w:r>
    </w:p>
    <w:p>
      <w:pPr>
        <w:spacing w:after="120"/>
        <w:jc w:val="both"/>
      </w:pPr>
      <w:r>
        <w:rPr>
          <w:b w:val="0"/>
          <w:i w:val="0"/>
          <w:sz w:val="22"/>
        </w:rPr>
        <w:t>The experiment above gates one editor's whole-frame output through a mask, so the mask can only ever subtract. A mask that is too large costs nothing there. We repeated the test with Stable Diffusion inpainting, where the mask instead defines the region the model regenerates, using the same 60 samples and the same predicted masks.</w:t>
      </w:r>
    </w:p>
    <w:p>
      <w:pPr>
        <w:spacing w:after="60"/>
      </w:pPr>
      <w:r>
        <w:rPr>
          <w:i/>
          <w:color w:val="5A5852"/>
          <w:sz w:val="19"/>
        </w:rPr>
        <w:t>Table 17. Stage 2 with Stable Diffusion inpainting. Sixty held-out samples, 20 steps, threshold 0.2 and 64 px dilation carried over from the compositing experiment.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2880"/>
            <w:tcBorders>
              <w:bottom w:val="single" w:sz="6" w:color="1B1A17"/>
            </w:tcBorders>
          </w:tcPr>
          <w:p>
            <w:pPr>
              <w:spacing w:before="40" w:after="40"/>
              <w:jc w:val="left"/>
            </w:pPr>
            <w:r/>
            <w:r>
              <w:rPr>
                <w:rFonts w:ascii="Cambria" w:hAnsi="Cambria"/>
                <w:b/>
                <w:sz w:val="19"/>
              </w:rPr>
              <w:t>Gating mask</w:t>
            </w:r>
          </w:p>
        </w:tc>
        <w:tc>
          <w:tcPr>
            <w:tcW w:type="dxa" w:w="1296"/>
            <w:tcBorders>
              <w:bottom w:val="single" w:sz="6" w:color="1B1A17"/>
            </w:tcBorders>
          </w:tcPr>
          <w:p>
            <w:pPr>
              <w:spacing w:before="40" w:after="40"/>
              <w:jc w:val="right"/>
            </w:pPr>
            <w:r/>
            <w:r>
              <w:rPr>
                <w:rFonts w:ascii="Cambria" w:hAnsi="Cambria"/>
                <w:b/>
                <w:sz w:val="19"/>
              </w:rPr>
              <w:t>Recall</w:t>
            </w:r>
          </w:p>
        </w:tc>
        <w:tc>
          <w:tcPr>
            <w:tcW w:type="dxa" w:w="1584"/>
            <w:tcBorders>
              <w:bottom w:val="single" w:sz="6" w:color="1B1A17"/>
            </w:tcBorders>
          </w:tcPr>
          <w:p>
            <w:pPr>
              <w:spacing w:before="40" w:after="40"/>
              <w:jc w:val="right"/>
            </w:pPr>
            <w:r/>
            <w:r>
              <w:rPr>
                <w:rFonts w:ascii="Cambria" w:hAnsi="Cambria"/>
                <w:b/>
                <w:sz w:val="19"/>
              </w:rPr>
              <w:t>Collateral</w:t>
            </w:r>
          </w:p>
        </w:tc>
        <w:tc>
          <w:tcPr>
            <w:tcW w:type="dxa" w:w="1224"/>
            <w:tcBorders>
              <w:bottom w:val="single" w:sz="6" w:color="1B1A17"/>
            </w:tcBorders>
          </w:tcPr>
          <w:p>
            <w:pPr>
              <w:spacing w:before="40" w:after="40"/>
              <w:jc w:val="right"/>
            </w:pPr>
            <w:r/>
            <w:r>
              <w:rPr>
                <w:rFonts w:ascii="Cambria" w:hAnsi="Cambria"/>
                <w:b/>
                <w:sz w:val="19"/>
              </w:rPr>
              <w:t>Net</w:t>
            </w:r>
          </w:p>
        </w:tc>
        <w:tc>
          <w:tcPr>
            <w:tcW w:type="dxa" w:w="1584"/>
            <w:tcBorders>
              <w:bottom w:val="single" w:sz="6" w:color="1B1A17"/>
            </w:tcBorders>
          </w:tcPr>
          <w:p>
            <w:pPr>
              <w:spacing w:before="40" w:after="40"/>
              <w:jc w:val="right"/>
            </w:pPr>
            <w:r/>
            <w:r>
              <w:rPr>
                <w:rFonts w:ascii="Cambria" w:hAnsi="Cambria"/>
                <w:b/>
                <w:sz w:val="19"/>
              </w:rPr>
              <w:t>PSNR outside</w:t>
            </w:r>
          </w:p>
        </w:tc>
        <w:tc>
          <w:tcPr>
            <w:tcW w:type="dxa" w:w="1440"/>
            <w:tcBorders>
              <w:bottom w:val="single" w:sz="6" w:color="1B1A17"/>
            </w:tcBorders>
          </w:tcPr>
          <w:p>
            <w:pPr>
              <w:spacing w:before="40" w:after="40"/>
              <w:jc w:val="right"/>
            </w:pPr>
            <w:r/>
            <w:r>
              <w:rPr>
                <w:rFonts w:ascii="Cambria" w:hAnsi="Cambria"/>
                <w:b/>
                <w:sz w:val="19"/>
              </w:rPr>
              <w:t>CLIP inside</w:t>
            </w:r>
          </w:p>
        </w:tc>
      </w:tr>
      <w:tr>
        <w:tc>
          <w:tcPr>
            <w:tcW w:type="dxa" w:w="2880"/>
          </w:tcPr>
          <w:p>
            <w:pPr>
              <w:spacing w:before="40" w:after="40"/>
              <w:jc w:val="left"/>
            </w:pPr>
            <w:r/>
            <w:r>
              <w:rPr>
                <w:rFonts w:ascii="Cambria" w:hAnsi="Cambria"/>
                <w:b w:val="0"/>
                <w:sz w:val="19"/>
              </w:rPr>
              <w:t>None — whole frame</w:t>
            </w:r>
          </w:p>
        </w:tc>
        <w:tc>
          <w:tcPr>
            <w:tcW w:type="dxa" w:w="1296"/>
          </w:tcPr>
          <w:p>
            <w:pPr>
              <w:spacing w:before="40" w:after="40"/>
              <w:jc w:val="right"/>
            </w:pPr>
            <w:r/>
            <w:r>
              <w:rPr>
                <w:rFonts w:ascii="Cambria" w:hAnsi="Cambria"/>
                <w:b w:val="0"/>
                <w:sz w:val="19"/>
              </w:rPr>
              <w:t>33.3%</w:t>
            </w:r>
          </w:p>
        </w:tc>
        <w:tc>
          <w:tcPr>
            <w:tcW w:type="dxa" w:w="1584"/>
          </w:tcPr>
          <w:p>
            <w:pPr>
              <w:spacing w:before="40" w:after="40"/>
              <w:jc w:val="right"/>
            </w:pPr>
            <w:r/>
            <w:r>
              <w:rPr>
                <w:rFonts w:ascii="Cambria" w:hAnsi="Cambria"/>
                <w:b w:val="0"/>
                <w:sz w:val="19"/>
              </w:rPr>
              <w:t>24.2%</w:t>
            </w:r>
          </w:p>
        </w:tc>
        <w:tc>
          <w:tcPr>
            <w:tcW w:type="dxa" w:w="1224"/>
          </w:tcPr>
          <w:p>
            <w:pPr>
              <w:spacing w:before="40" w:after="40"/>
              <w:jc w:val="right"/>
            </w:pPr>
            <w:r/>
            <w:r>
              <w:rPr>
                <w:rFonts w:ascii="Cambria" w:hAnsi="Cambria"/>
                <w:b w:val="0"/>
                <w:sz w:val="19"/>
              </w:rPr>
              <w:t>+9.1%</w:t>
            </w:r>
          </w:p>
        </w:tc>
        <w:tc>
          <w:tcPr>
            <w:tcW w:type="dxa" w:w="1584"/>
          </w:tcPr>
          <w:p>
            <w:pPr>
              <w:spacing w:before="40" w:after="40"/>
              <w:jc w:val="right"/>
            </w:pPr>
            <w:r/>
            <w:r>
              <w:rPr>
                <w:rFonts w:ascii="Cambria" w:hAnsi="Cambria"/>
                <w:b w:val="0"/>
                <w:sz w:val="19"/>
              </w:rPr>
              <w:t>22.56</w:t>
            </w:r>
          </w:p>
        </w:tc>
        <w:tc>
          <w:tcPr>
            <w:tcW w:type="dxa" w:w="1440"/>
          </w:tcPr>
          <w:p>
            <w:pPr>
              <w:spacing w:before="40" w:after="40"/>
              <w:jc w:val="right"/>
            </w:pPr>
            <w:r/>
            <w:r>
              <w:rPr>
                <w:rFonts w:ascii="Cambria" w:hAnsi="Cambria"/>
                <w:b w:val="0"/>
                <w:sz w:val="19"/>
              </w:rPr>
              <w:t>0.2445</w:t>
            </w:r>
          </w:p>
        </w:tc>
      </w:tr>
      <w:tr>
        <w:tc>
          <w:tcPr>
            <w:tcW w:type="dxa" w:w="2880"/>
          </w:tcPr>
          <w:p>
            <w:pPr>
              <w:spacing w:before="40" w:after="40"/>
              <w:jc w:val="left"/>
            </w:pPr>
            <w:r/>
            <w:r>
              <w:rPr>
                <w:rFonts w:ascii="Cambria" w:hAnsi="Cambria"/>
                <w:b/>
                <w:sz w:val="19"/>
              </w:rPr>
              <w:t>Predicted, tuned</w:t>
            </w:r>
          </w:p>
        </w:tc>
        <w:tc>
          <w:tcPr>
            <w:tcW w:type="dxa" w:w="1296"/>
          </w:tcPr>
          <w:p>
            <w:pPr>
              <w:spacing w:before="40" w:after="40"/>
              <w:jc w:val="right"/>
            </w:pPr>
            <w:r/>
            <w:r>
              <w:rPr>
                <w:rFonts w:ascii="Cambria" w:hAnsi="Cambria"/>
                <w:b/>
                <w:sz w:val="19"/>
              </w:rPr>
              <w:t>71.1%</w:t>
            </w:r>
          </w:p>
        </w:tc>
        <w:tc>
          <w:tcPr>
            <w:tcW w:type="dxa" w:w="1584"/>
          </w:tcPr>
          <w:p>
            <w:pPr>
              <w:spacing w:before="40" w:after="40"/>
              <w:jc w:val="right"/>
            </w:pPr>
            <w:r/>
            <w:r>
              <w:rPr>
                <w:rFonts w:ascii="Cambria" w:hAnsi="Cambria"/>
                <w:b/>
                <w:sz w:val="19"/>
              </w:rPr>
              <w:t>39.1%</w:t>
            </w:r>
          </w:p>
        </w:tc>
        <w:tc>
          <w:tcPr>
            <w:tcW w:type="dxa" w:w="1224"/>
          </w:tcPr>
          <w:p>
            <w:pPr>
              <w:spacing w:before="40" w:after="40"/>
              <w:jc w:val="right"/>
            </w:pPr>
            <w:r/>
            <w:r>
              <w:rPr>
                <w:rFonts w:ascii="Cambria" w:hAnsi="Cambria"/>
                <w:b/>
                <w:sz w:val="19"/>
              </w:rPr>
              <w:t>+32.0%</w:t>
            </w:r>
          </w:p>
        </w:tc>
        <w:tc>
          <w:tcPr>
            <w:tcW w:type="dxa" w:w="1584"/>
          </w:tcPr>
          <w:p>
            <w:pPr>
              <w:spacing w:before="40" w:after="40"/>
              <w:jc w:val="right"/>
            </w:pPr>
            <w:r/>
            <w:r>
              <w:rPr>
                <w:rFonts w:ascii="Cambria" w:hAnsi="Cambria"/>
                <w:b/>
                <w:sz w:val="19"/>
              </w:rPr>
              <w:t>14.11</w:t>
            </w:r>
          </w:p>
        </w:tc>
        <w:tc>
          <w:tcPr>
            <w:tcW w:type="dxa" w:w="1440"/>
          </w:tcPr>
          <w:p>
            <w:pPr>
              <w:spacing w:before="40" w:after="40"/>
              <w:jc w:val="right"/>
            </w:pPr>
            <w:r/>
            <w:r>
              <w:rPr>
                <w:rFonts w:ascii="Cambria" w:hAnsi="Cambria"/>
                <w:b/>
                <w:sz w:val="19"/>
              </w:rPr>
              <w:t>0.2623</w:t>
            </w:r>
          </w:p>
        </w:tc>
      </w:tr>
      <w:tr>
        <w:tc>
          <w:tcPr>
            <w:tcW w:type="dxa" w:w="2880"/>
          </w:tcPr>
          <w:p>
            <w:pPr>
              <w:spacing w:before="40" w:after="40"/>
              <w:jc w:val="left"/>
            </w:pPr>
            <w:r/>
            <w:r>
              <w:rPr>
                <w:rFonts w:ascii="Cambria" w:hAnsi="Cambria"/>
                <w:b w:val="0"/>
                <w:sz w:val="19"/>
              </w:rPr>
              <w:t>MagicBrush human mask</w:t>
            </w:r>
          </w:p>
        </w:tc>
        <w:tc>
          <w:tcPr>
            <w:tcW w:type="dxa" w:w="1296"/>
          </w:tcPr>
          <w:p>
            <w:pPr>
              <w:spacing w:before="40" w:after="40"/>
              <w:jc w:val="right"/>
            </w:pPr>
            <w:r/>
            <w:r>
              <w:rPr>
                <w:rFonts w:ascii="Cambria" w:hAnsi="Cambria"/>
                <w:b w:val="0"/>
                <w:sz w:val="19"/>
              </w:rPr>
              <w:t>78.4%</w:t>
            </w:r>
          </w:p>
        </w:tc>
        <w:tc>
          <w:tcPr>
            <w:tcW w:type="dxa" w:w="1584"/>
          </w:tcPr>
          <w:p>
            <w:pPr>
              <w:spacing w:before="40" w:after="40"/>
              <w:jc w:val="right"/>
            </w:pPr>
            <w:r/>
            <w:r>
              <w:rPr>
                <w:rFonts w:ascii="Cambria" w:hAnsi="Cambria"/>
                <w:b w:val="0"/>
                <w:sz w:val="19"/>
              </w:rPr>
              <w:t>51.7%</w:t>
            </w:r>
          </w:p>
        </w:tc>
        <w:tc>
          <w:tcPr>
            <w:tcW w:type="dxa" w:w="1224"/>
          </w:tcPr>
          <w:p>
            <w:pPr>
              <w:spacing w:before="40" w:after="40"/>
              <w:jc w:val="right"/>
            </w:pPr>
            <w:r/>
            <w:r>
              <w:rPr>
                <w:rFonts w:ascii="Cambria" w:hAnsi="Cambria"/>
                <w:b w:val="0"/>
                <w:sz w:val="19"/>
              </w:rPr>
              <w:t>+26.8%</w:t>
            </w:r>
          </w:p>
        </w:tc>
        <w:tc>
          <w:tcPr>
            <w:tcW w:type="dxa" w:w="1584"/>
          </w:tcPr>
          <w:p>
            <w:pPr>
              <w:spacing w:before="40" w:after="40"/>
              <w:jc w:val="right"/>
            </w:pPr>
            <w:r/>
            <w:r>
              <w:rPr>
                <w:rFonts w:ascii="Cambria" w:hAnsi="Cambria"/>
                <w:b w:val="0"/>
                <w:sz w:val="19"/>
              </w:rPr>
              <w:t>13.30</w:t>
            </w:r>
          </w:p>
        </w:tc>
        <w:tc>
          <w:tcPr>
            <w:tcW w:type="dxa" w:w="1440"/>
          </w:tcPr>
          <w:p>
            <w:pPr>
              <w:spacing w:before="40" w:after="40"/>
              <w:jc w:val="right"/>
            </w:pPr>
            <w:r/>
            <w:r>
              <w:rPr>
                <w:rFonts w:ascii="Cambria" w:hAnsi="Cambria"/>
                <w:b w:val="0"/>
                <w:sz w:val="19"/>
              </w:rPr>
              <w:t>0.2550</w:t>
            </w:r>
          </w:p>
        </w:tc>
      </w:tr>
      <w:tr>
        <w:tc>
          <w:tcPr>
            <w:tcW w:type="dxa" w:w="2880"/>
          </w:tcPr>
          <w:p>
            <w:pPr>
              <w:spacing w:before="40" w:after="40"/>
              <w:jc w:val="left"/>
            </w:pPr>
            <w:r/>
            <w:r>
              <w:rPr>
                <w:rFonts w:ascii="Cambria" w:hAnsi="Cambria"/>
                <w:b w:val="0"/>
                <w:sz w:val="19"/>
              </w:rPr>
              <w:t>Ground-truth region (oracle)</w:t>
            </w:r>
          </w:p>
        </w:tc>
        <w:tc>
          <w:tcPr>
            <w:tcW w:type="dxa" w:w="1296"/>
          </w:tcPr>
          <w:p>
            <w:pPr>
              <w:spacing w:before="40" w:after="40"/>
              <w:jc w:val="right"/>
            </w:pPr>
            <w:r/>
            <w:r>
              <w:rPr>
                <w:rFonts w:ascii="Cambria" w:hAnsi="Cambria"/>
                <w:b w:val="0"/>
                <w:sz w:val="19"/>
              </w:rPr>
              <w:t>59.4%</w:t>
            </w:r>
          </w:p>
        </w:tc>
        <w:tc>
          <w:tcPr>
            <w:tcW w:type="dxa" w:w="1584"/>
          </w:tcPr>
          <w:p>
            <w:pPr>
              <w:spacing w:before="40" w:after="40"/>
              <w:jc w:val="right"/>
            </w:pPr>
            <w:r/>
            <w:r>
              <w:rPr>
                <w:rFonts w:ascii="Cambria" w:hAnsi="Cambria"/>
                <w:b w:val="0"/>
                <w:sz w:val="19"/>
              </w:rPr>
              <w:t>6.4%</w:t>
            </w:r>
          </w:p>
        </w:tc>
        <w:tc>
          <w:tcPr>
            <w:tcW w:type="dxa" w:w="1224"/>
          </w:tcPr>
          <w:p>
            <w:pPr>
              <w:spacing w:before="40" w:after="40"/>
              <w:jc w:val="right"/>
            </w:pPr>
            <w:r/>
            <w:r>
              <w:rPr>
                <w:rFonts w:ascii="Cambria" w:hAnsi="Cambria"/>
                <w:b w:val="0"/>
                <w:sz w:val="19"/>
              </w:rPr>
              <w:t>+53.0%</w:t>
            </w:r>
          </w:p>
        </w:tc>
        <w:tc>
          <w:tcPr>
            <w:tcW w:type="dxa" w:w="1584"/>
          </w:tcPr>
          <w:p>
            <w:pPr>
              <w:spacing w:before="40" w:after="40"/>
              <w:jc w:val="right"/>
            </w:pPr>
            <w:r/>
            <w:r>
              <w:rPr>
                <w:rFonts w:ascii="Cambria" w:hAnsi="Cambria"/>
                <w:b w:val="0"/>
                <w:sz w:val="19"/>
              </w:rPr>
              <w:t>27.36</w:t>
            </w:r>
          </w:p>
        </w:tc>
        <w:tc>
          <w:tcPr>
            <w:tcW w:type="dxa" w:w="1440"/>
          </w:tcPr>
          <w:p>
            <w:pPr>
              <w:spacing w:before="40" w:after="40"/>
              <w:jc w:val="right"/>
            </w:pPr>
            <w:r/>
            <w:r>
              <w:rPr>
                <w:rFonts w:ascii="Cambria" w:hAnsi="Cambria"/>
                <w:b w:val="0"/>
                <w:sz w:val="19"/>
              </w:rPr>
              <w:t>0.2464</w:t>
            </w:r>
          </w:p>
        </w:tc>
      </w:tr>
    </w:tbl>
    <w:p>
      <w:pPr>
        <w:spacing w:after="80"/>
      </w:pPr>
    </w:p>
    <w:p>
      <w:pPr>
        <w:spacing w:after="120"/>
        <w:jc w:val="both"/>
      </w:pPr>
      <w:r>
        <w:rPr>
          <w:b w:val="0"/>
          <w:i w:val="0"/>
          <w:sz w:val="22"/>
        </w:rPr>
        <w:t>Two results differ from the compositing experiment. Localization is worth more here, a factor of 5.8 against 3.3, because an inpainting model conditioned on a correct region can synthesise content rather than merely pass an edit through a stencil. And the predicted mask now exceeds the human annotation, +32.0 percent against +26.8, reversing the ordering we reported above.</w:t>
      </w:r>
    </w:p>
    <w:p>
      <w:pPr>
        <w:spacing w:after="120"/>
        <w:jc w:val="both"/>
      </w:pPr>
      <w:r>
        <w:rPr>
          <w:b w:val="0"/>
          <w:i w:val="0"/>
          <w:sz w:val="22"/>
        </w:rPr>
        <w:t>At 64 px the win came with a problem. We raised net by pushing recall to 71.1 percent, not by reducing collateral: collateral rose to 39.1 percent against 24.2 percent for whole-frame editing, and PSNR outside the region fell 8.45 dB. We had carried that 64 px over from the compositing experiment, where enlarging a mask can only recover more of the edit and so costs nothing. Under inpainting the mask decides what gets regenerated, so an over-large one destroys content that should have been kept.</w:t>
      </w:r>
    </w:p>
    <w:p>
      <w:pPr>
        <w:spacing w:after="120"/>
        <w:jc w:val="both"/>
      </w:pPr>
      <w:r>
        <w:rPr>
          <w:b w:val="0"/>
          <w:i w:val="0"/>
          <w:sz w:val="22"/>
        </w:rPr>
        <w:t>Re-tuning dilation for this setting confirms that diagnosis.</w:t>
      </w:r>
    </w:p>
    <w:p>
      <w:pPr>
        <w:spacing w:after="60"/>
      </w:pPr>
      <w:r>
        <w:rPr>
          <w:i/>
          <w:color w:val="5A5852"/>
          <w:sz w:val="19"/>
        </w:rPr>
        <w:t>Table 18. Dilation swept for the predicted mask under inpainting. The other arms are held fixed at the values in Table 15, on the same sixty samples.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440"/>
            <w:tcBorders>
              <w:bottom w:val="single" w:sz="6" w:color="1B1A17"/>
            </w:tcBorders>
          </w:tcPr>
          <w:p>
            <w:pPr>
              <w:spacing w:before="40" w:after="40"/>
              <w:jc w:val="left"/>
            </w:pPr>
            <w:r/>
            <w:r>
              <w:rPr>
                <w:rFonts w:ascii="Cambria" w:hAnsi="Cambria"/>
                <w:b/>
                <w:sz w:val="19"/>
              </w:rPr>
              <w:t>Dilation</w:t>
            </w:r>
          </w:p>
        </w:tc>
        <w:tc>
          <w:tcPr>
            <w:tcW w:type="dxa" w:w="1584"/>
            <w:tcBorders>
              <w:bottom w:val="single" w:sz="6" w:color="1B1A17"/>
            </w:tcBorders>
          </w:tcPr>
          <w:p>
            <w:pPr>
              <w:spacing w:before="40" w:after="40"/>
              <w:jc w:val="right"/>
            </w:pPr>
            <w:r/>
            <w:r>
              <w:rPr>
                <w:rFonts w:ascii="Cambria" w:hAnsi="Cambria"/>
                <w:b/>
                <w:sz w:val="19"/>
              </w:rPr>
              <w:t>Mask area</w:t>
            </w:r>
          </w:p>
        </w:tc>
        <w:tc>
          <w:tcPr>
            <w:tcW w:type="dxa" w:w="1296"/>
            <w:tcBorders>
              <w:bottom w:val="single" w:sz="6" w:color="1B1A17"/>
            </w:tcBorders>
          </w:tcPr>
          <w:p>
            <w:pPr>
              <w:spacing w:before="40" w:after="40"/>
              <w:jc w:val="right"/>
            </w:pPr>
            <w:r/>
            <w:r>
              <w:rPr>
                <w:rFonts w:ascii="Cambria" w:hAnsi="Cambria"/>
                <w:b/>
                <w:sz w:val="19"/>
              </w:rPr>
              <w:t>Recall</w:t>
            </w:r>
          </w:p>
        </w:tc>
        <w:tc>
          <w:tcPr>
            <w:tcW w:type="dxa" w:w="1584"/>
            <w:tcBorders>
              <w:bottom w:val="single" w:sz="6" w:color="1B1A17"/>
            </w:tcBorders>
          </w:tcPr>
          <w:p>
            <w:pPr>
              <w:spacing w:before="40" w:after="40"/>
              <w:jc w:val="right"/>
            </w:pPr>
            <w:r/>
            <w:r>
              <w:rPr>
                <w:rFonts w:ascii="Cambria" w:hAnsi="Cambria"/>
                <w:b/>
                <w:sz w:val="19"/>
              </w:rPr>
              <w:t>Collateral</w:t>
            </w:r>
          </w:p>
        </w:tc>
        <w:tc>
          <w:tcPr>
            <w:tcW w:type="dxa" w:w="1296"/>
            <w:tcBorders>
              <w:bottom w:val="single" w:sz="6" w:color="1B1A17"/>
            </w:tcBorders>
          </w:tcPr>
          <w:p>
            <w:pPr>
              <w:spacing w:before="40" w:after="40"/>
              <w:jc w:val="right"/>
            </w:pPr>
            <w:r/>
            <w:r>
              <w:rPr>
                <w:rFonts w:ascii="Cambria" w:hAnsi="Cambria"/>
                <w:b/>
                <w:sz w:val="19"/>
              </w:rPr>
              <w:t>Net</w:t>
            </w:r>
          </w:p>
        </w:tc>
        <w:tc>
          <w:tcPr>
            <w:tcW w:type="dxa" w:w="1728"/>
            <w:tcBorders>
              <w:bottom w:val="single" w:sz="6" w:color="1B1A17"/>
            </w:tcBorders>
          </w:tcPr>
          <w:p>
            <w:pPr>
              <w:spacing w:before="40" w:after="40"/>
              <w:jc w:val="right"/>
            </w:pPr>
            <w:r/>
            <w:r>
              <w:rPr>
                <w:rFonts w:ascii="Cambria" w:hAnsi="Cambria"/>
                <w:b/>
                <w:sz w:val="19"/>
              </w:rPr>
              <w:t>PSNR outside</w:t>
            </w:r>
          </w:p>
        </w:tc>
      </w:tr>
      <w:tr>
        <w:tc>
          <w:tcPr>
            <w:tcW w:type="dxa" w:w="1440"/>
          </w:tcPr>
          <w:p>
            <w:pPr>
              <w:spacing w:before="40" w:after="40"/>
              <w:jc w:val="left"/>
            </w:pPr>
            <w:r/>
            <w:r>
              <w:rPr>
                <w:rFonts w:ascii="Cambria" w:hAnsi="Cambria"/>
                <w:b w:val="0"/>
                <w:sz w:val="19"/>
              </w:rPr>
              <w:t>0 px</w:t>
            </w:r>
          </w:p>
        </w:tc>
        <w:tc>
          <w:tcPr>
            <w:tcW w:type="dxa" w:w="1584"/>
          </w:tcPr>
          <w:p>
            <w:pPr>
              <w:spacing w:before="40" w:after="40"/>
              <w:jc w:val="right"/>
            </w:pPr>
            <w:r/>
            <w:r>
              <w:rPr>
                <w:rFonts w:ascii="Cambria" w:hAnsi="Cambria"/>
                <w:b w:val="0"/>
                <w:sz w:val="19"/>
              </w:rPr>
              <w:t>22.4%</w:t>
            </w:r>
          </w:p>
        </w:tc>
        <w:tc>
          <w:tcPr>
            <w:tcW w:type="dxa" w:w="1296"/>
          </w:tcPr>
          <w:p>
            <w:pPr>
              <w:spacing w:before="40" w:after="40"/>
              <w:jc w:val="right"/>
            </w:pPr>
            <w:r/>
            <w:r>
              <w:rPr>
                <w:rFonts w:ascii="Cambria" w:hAnsi="Cambria"/>
                <w:b w:val="0"/>
                <w:sz w:val="19"/>
              </w:rPr>
              <w:t>46.5%</w:t>
            </w:r>
          </w:p>
        </w:tc>
        <w:tc>
          <w:tcPr>
            <w:tcW w:type="dxa" w:w="1584"/>
          </w:tcPr>
          <w:p>
            <w:pPr>
              <w:spacing w:before="40" w:after="40"/>
              <w:jc w:val="right"/>
            </w:pPr>
            <w:r/>
            <w:r>
              <w:rPr>
                <w:rFonts w:ascii="Cambria" w:hAnsi="Cambria"/>
                <w:b w:val="0"/>
                <w:sz w:val="19"/>
              </w:rPr>
              <w:t>16.1%</w:t>
            </w:r>
          </w:p>
        </w:tc>
        <w:tc>
          <w:tcPr>
            <w:tcW w:type="dxa" w:w="1296"/>
          </w:tcPr>
          <w:p>
            <w:pPr>
              <w:spacing w:before="40" w:after="40"/>
              <w:jc w:val="right"/>
            </w:pPr>
            <w:r/>
            <w:r>
              <w:rPr>
                <w:rFonts w:ascii="Cambria" w:hAnsi="Cambria"/>
                <w:b w:val="0"/>
                <w:sz w:val="19"/>
              </w:rPr>
              <w:t>+30.4%</w:t>
            </w:r>
          </w:p>
        </w:tc>
        <w:tc>
          <w:tcPr>
            <w:tcW w:type="dxa" w:w="1728"/>
          </w:tcPr>
          <w:p>
            <w:pPr>
              <w:spacing w:before="40" w:after="40"/>
              <w:jc w:val="right"/>
            </w:pPr>
            <w:r/>
            <w:r>
              <w:rPr>
                <w:rFonts w:ascii="Cambria" w:hAnsi="Cambria"/>
                <w:b w:val="0"/>
                <w:sz w:val="19"/>
              </w:rPr>
              <w:t>20.07</w:t>
            </w:r>
          </w:p>
        </w:tc>
      </w:tr>
      <w:tr>
        <w:tc>
          <w:tcPr>
            <w:tcW w:type="dxa" w:w="1440"/>
          </w:tcPr>
          <w:p>
            <w:pPr>
              <w:spacing w:before="40" w:after="40"/>
              <w:jc w:val="left"/>
            </w:pPr>
            <w:r/>
            <w:r>
              <w:rPr>
                <w:rFonts w:ascii="Cambria" w:hAnsi="Cambria"/>
                <w:b/>
                <w:sz w:val="19"/>
              </w:rPr>
              <w:t>16 px</w:t>
            </w:r>
          </w:p>
        </w:tc>
        <w:tc>
          <w:tcPr>
            <w:tcW w:type="dxa" w:w="1584"/>
          </w:tcPr>
          <w:p>
            <w:pPr>
              <w:spacing w:before="40" w:after="40"/>
              <w:jc w:val="right"/>
            </w:pPr>
            <w:r/>
            <w:r>
              <w:rPr>
                <w:rFonts w:ascii="Cambria" w:hAnsi="Cambria"/>
                <w:b/>
                <w:sz w:val="19"/>
              </w:rPr>
              <w:t>36.2%</w:t>
            </w:r>
          </w:p>
        </w:tc>
        <w:tc>
          <w:tcPr>
            <w:tcW w:type="dxa" w:w="1296"/>
          </w:tcPr>
          <w:p>
            <w:pPr>
              <w:spacing w:before="40" w:after="40"/>
              <w:jc w:val="right"/>
            </w:pPr>
            <w:r/>
            <w:r>
              <w:rPr>
                <w:rFonts w:ascii="Cambria" w:hAnsi="Cambria"/>
                <w:b/>
                <w:sz w:val="19"/>
              </w:rPr>
              <w:t>58.6%</w:t>
            </w:r>
          </w:p>
        </w:tc>
        <w:tc>
          <w:tcPr>
            <w:tcW w:type="dxa" w:w="1584"/>
          </w:tcPr>
          <w:p>
            <w:pPr>
              <w:spacing w:before="40" w:after="40"/>
              <w:jc w:val="right"/>
            </w:pPr>
            <w:r/>
            <w:r>
              <w:rPr>
                <w:rFonts w:ascii="Cambria" w:hAnsi="Cambria"/>
                <w:b/>
                <w:sz w:val="19"/>
              </w:rPr>
              <w:t>23.0%</w:t>
            </w:r>
          </w:p>
        </w:tc>
        <w:tc>
          <w:tcPr>
            <w:tcW w:type="dxa" w:w="1296"/>
          </w:tcPr>
          <w:p>
            <w:pPr>
              <w:spacing w:before="40" w:after="40"/>
              <w:jc w:val="right"/>
            </w:pPr>
            <w:r/>
            <w:r>
              <w:rPr>
                <w:rFonts w:ascii="Cambria" w:hAnsi="Cambria"/>
                <w:b/>
                <w:sz w:val="19"/>
              </w:rPr>
              <w:t>+35.5%</w:t>
            </w:r>
          </w:p>
        </w:tc>
        <w:tc>
          <w:tcPr>
            <w:tcW w:type="dxa" w:w="1728"/>
          </w:tcPr>
          <w:p>
            <w:pPr>
              <w:spacing w:before="40" w:after="40"/>
              <w:jc w:val="right"/>
            </w:pPr>
            <w:r/>
            <w:r>
              <w:rPr>
                <w:rFonts w:ascii="Cambria" w:hAnsi="Cambria"/>
                <w:b/>
                <w:sz w:val="19"/>
              </w:rPr>
              <w:t>17.46</w:t>
            </w:r>
          </w:p>
        </w:tc>
      </w:tr>
      <w:tr>
        <w:tc>
          <w:tcPr>
            <w:tcW w:type="dxa" w:w="1440"/>
          </w:tcPr>
          <w:p>
            <w:pPr>
              <w:spacing w:before="40" w:after="40"/>
              <w:jc w:val="left"/>
            </w:pPr>
            <w:r/>
            <w:r>
              <w:rPr>
                <w:rFonts w:ascii="Cambria" w:hAnsi="Cambria"/>
                <w:b w:val="0"/>
                <w:sz w:val="19"/>
              </w:rPr>
              <w:t>32 px</w:t>
            </w:r>
          </w:p>
        </w:tc>
        <w:tc>
          <w:tcPr>
            <w:tcW w:type="dxa" w:w="1584"/>
          </w:tcPr>
          <w:p>
            <w:pPr>
              <w:spacing w:before="40" w:after="40"/>
              <w:jc w:val="right"/>
            </w:pPr>
            <w:r/>
            <w:r>
              <w:rPr>
                <w:rFonts w:ascii="Cambria" w:hAnsi="Cambria"/>
                <w:b w:val="0"/>
                <w:sz w:val="19"/>
              </w:rPr>
              <w:t>47.1%</w:t>
            </w:r>
          </w:p>
        </w:tc>
        <w:tc>
          <w:tcPr>
            <w:tcW w:type="dxa" w:w="1296"/>
          </w:tcPr>
          <w:p>
            <w:pPr>
              <w:spacing w:before="40" w:after="40"/>
              <w:jc w:val="right"/>
            </w:pPr>
            <w:r/>
            <w:r>
              <w:rPr>
                <w:rFonts w:ascii="Cambria" w:hAnsi="Cambria"/>
                <w:b w:val="0"/>
                <w:sz w:val="19"/>
              </w:rPr>
              <w:t>65.6%</w:t>
            </w:r>
          </w:p>
        </w:tc>
        <w:tc>
          <w:tcPr>
            <w:tcW w:type="dxa" w:w="1584"/>
          </w:tcPr>
          <w:p>
            <w:pPr>
              <w:spacing w:before="40" w:after="40"/>
              <w:jc w:val="right"/>
            </w:pPr>
            <w:r/>
            <w:r>
              <w:rPr>
                <w:rFonts w:ascii="Cambria" w:hAnsi="Cambria"/>
                <w:b w:val="0"/>
                <w:sz w:val="19"/>
              </w:rPr>
              <w:t>30.8%</w:t>
            </w:r>
          </w:p>
        </w:tc>
        <w:tc>
          <w:tcPr>
            <w:tcW w:type="dxa" w:w="1296"/>
          </w:tcPr>
          <w:p>
            <w:pPr>
              <w:spacing w:before="40" w:after="40"/>
              <w:jc w:val="right"/>
            </w:pPr>
            <w:r/>
            <w:r>
              <w:rPr>
                <w:rFonts w:ascii="Cambria" w:hAnsi="Cambria"/>
                <w:b w:val="0"/>
                <w:sz w:val="19"/>
              </w:rPr>
              <w:t>+34.8%</w:t>
            </w:r>
          </w:p>
        </w:tc>
        <w:tc>
          <w:tcPr>
            <w:tcW w:type="dxa" w:w="1728"/>
          </w:tcPr>
          <w:p>
            <w:pPr>
              <w:spacing w:before="40" w:after="40"/>
              <w:jc w:val="right"/>
            </w:pPr>
            <w:r/>
            <w:r>
              <w:rPr>
                <w:rFonts w:ascii="Cambria" w:hAnsi="Cambria"/>
                <w:b w:val="0"/>
                <w:sz w:val="19"/>
              </w:rPr>
              <w:t>15.44</w:t>
            </w:r>
          </w:p>
        </w:tc>
      </w:tr>
      <w:tr>
        <w:tc>
          <w:tcPr>
            <w:tcW w:type="dxa" w:w="1440"/>
          </w:tcPr>
          <w:p>
            <w:pPr>
              <w:spacing w:before="40" w:after="40"/>
              <w:jc w:val="left"/>
            </w:pPr>
            <w:r/>
            <w:r>
              <w:rPr>
                <w:rFonts w:ascii="Cambria" w:hAnsi="Cambria"/>
                <w:b w:val="0"/>
                <w:sz w:val="19"/>
              </w:rPr>
              <w:t>64 px</w:t>
            </w:r>
          </w:p>
        </w:tc>
        <w:tc>
          <w:tcPr>
            <w:tcW w:type="dxa" w:w="1584"/>
          </w:tcPr>
          <w:p>
            <w:pPr>
              <w:spacing w:before="40" w:after="40"/>
              <w:jc w:val="right"/>
            </w:pPr>
            <w:r/>
            <w:r>
              <w:rPr>
                <w:rFonts w:ascii="Cambria" w:hAnsi="Cambria"/>
                <w:b w:val="0"/>
                <w:sz w:val="19"/>
              </w:rPr>
              <w:t>—</w:t>
            </w:r>
          </w:p>
        </w:tc>
        <w:tc>
          <w:tcPr>
            <w:tcW w:type="dxa" w:w="1296"/>
          </w:tcPr>
          <w:p>
            <w:pPr>
              <w:spacing w:before="40" w:after="40"/>
              <w:jc w:val="right"/>
            </w:pPr>
            <w:r/>
            <w:r>
              <w:rPr>
                <w:rFonts w:ascii="Cambria" w:hAnsi="Cambria"/>
                <w:b w:val="0"/>
                <w:sz w:val="19"/>
              </w:rPr>
              <w:t>71.1%</w:t>
            </w:r>
          </w:p>
        </w:tc>
        <w:tc>
          <w:tcPr>
            <w:tcW w:type="dxa" w:w="1584"/>
          </w:tcPr>
          <w:p>
            <w:pPr>
              <w:spacing w:before="40" w:after="40"/>
              <w:jc w:val="right"/>
            </w:pPr>
            <w:r/>
            <w:r>
              <w:rPr>
                <w:rFonts w:ascii="Cambria" w:hAnsi="Cambria"/>
                <w:b w:val="0"/>
                <w:sz w:val="19"/>
              </w:rPr>
              <w:t>39.1%</w:t>
            </w:r>
          </w:p>
        </w:tc>
        <w:tc>
          <w:tcPr>
            <w:tcW w:type="dxa" w:w="1296"/>
          </w:tcPr>
          <w:p>
            <w:pPr>
              <w:spacing w:before="40" w:after="40"/>
              <w:jc w:val="right"/>
            </w:pPr>
            <w:r/>
            <w:r>
              <w:rPr>
                <w:rFonts w:ascii="Cambria" w:hAnsi="Cambria"/>
                <w:b w:val="0"/>
                <w:sz w:val="19"/>
              </w:rPr>
              <w:t>+32.0%</w:t>
            </w:r>
          </w:p>
        </w:tc>
        <w:tc>
          <w:tcPr>
            <w:tcW w:type="dxa" w:w="1728"/>
          </w:tcPr>
          <w:p>
            <w:pPr>
              <w:spacing w:before="40" w:after="40"/>
              <w:jc w:val="right"/>
            </w:pPr>
            <w:r/>
            <w:r>
              <w:rPr>
                <w:rFonts w:ascii="Cambria" w:hAnsi="Cambria"/>
                <w:b w:val="0"/>
                <w:sz w:val="19"/>
              </w:rPr>
              <w:t>14.11</w:t>
            </w:r>
          </w:p>
        </w:tc>
      </w:tr>
    </w:tbl>
    <w:p>
      <w:pPr>
        <w:spacing w:after="80"/>
      </w:pPr>
    </w:p>
    <w:p>
      <w:pPr>
        <w:spacing w:after="120"/>
        <w:jc w:val="both"/>
      </w:pPr>
      <w:r>
        <w:rPr>
          <w:b w:val="0"/>
          <w:i w:val="0"/>
          <w:sz w:val="22"/>
        </w:rPr>
        <w:t>Net traces +30.4, +35.5, +34.8 and +32.0 across the four settings, rising and then falling, so 16 px is an interior optimum and not the edge of the search. There the predicted mask reaches +35.5 percent net at 23.0 percent collateral, which is below the 24.2 percent of whole-frame editing. The earlier problem disappears: we now exceed the status quo on both quantities at once instead of buying net with damage, and PSNR outside recovers 3.3 dB. The margin over the human annotation widens to +35.5 against +26.8.</w:t>
      </w:r>
    </w:p>
    <w:p>
      <w:pPr>
        <w:spacing w:after="120"/>
        <w:jc w:val="both"/>
      </w:pPr>
      <w:r>
        <w:rPr>
          <w:b w:val="0"/>
          <w:i w:val="0"/>
          <w:sz w:val="22"/>
        </w:rPr>
        <w:t>One thing the sweep makes visible. Even undilated the predicted mask covers 22.4 percent of the frame against a true changed area of 9.6 percent, so at threshold 0.2 it over-covers by a factor of 2.3 before any dilation. Threshold and dilation are not independent, which raises the question of whether a joint search is needed or whether the operating point can be chosen from mask geometry alone.</w:t>
      </w:r>
    </w:p>
    <w:p>
      <w:pPr>
        <w:pStyle w:val="Heading2"/>
      </w:pPr>
      <w:r>
        <w:t>8.2  A shortcut that did not work</w:t>
      </w:r>
    </w:p>
    <w:p>
      <w:pPr>
        <w:spacing w:after="120"/>
        <w:jc w:val="both"/>
      </w:pPr>
      <w:r>
        <w:rPr>
          <w:b w:val="0"/>
          <w:i w:val="0"/>
          <w:sz w:val="22"/>
        </w:rPr>
        <w:t>A joint threshold and dilation search costs several hours of diffusion, so we first tested a proxy that costs none. If inpainting changed everything inside the mask and nothing outside, then the change-recall would equal the mask's own recall against ground truth, collateral would equal its false-positive rate, and net would equal their difference — Youden's J, computable from mask geometry alone.</w:t>
      </w:r>
    </w:p>
    <w:p>
      <w:pPr>
        <w:spacing w:after="120"/>
        <w:jc w:val="both"/>
      </w:pPr>
      <w:r>
        <w:rPr>
          <w:b w:val="0"/>
          <w:i w:val="0"/>
          <w:sz w:val="22"/>
        </w:rPr>
        <w:t>We calibrated J against the four cells already measured with diffusion. It does not hold: the Pearson correlation between J and measured net is 0.318, and the ranking of the four cells is not preserved. The proxy is therefore unusable for selecting an operating point, and we report it because the negative result is what justifies spending the compute on a real sweep.</w:t>
      </w:r>
    </w:p>
    <w:p>
      <w:pPr>
        <w:spacing w:after="120"/>
        <w:jc w:val="both"/>
      </w:pPr>
      <w:r>
        <w:rPr>
          <w:b w:val="0"/>
          <w:i w:val="0"/>
          <w:sz w:val="22"/>
        </w:rPr>
        <w:t>The failure is informative about the editor. Inpainting does not repaint a masked region uniformly: some regenerated content resembles the original closely enough to fall below the colour-difference threshold, so change-recall is lower than mask recall, and the VAE round-trip perturbs pixels outside the mask, so collateral is not purely a function of mask geometry. Any future attempt to choose this operating point cheaply has to model those two effects rather than assume them away.</w:t>
      </w:r>
    </w:p>
    <w:p>
      <w:pPr>
        <w:spacing w:after="120"/>
        <w:jc w:val="both"/>
      </w:pPr>
      <w:r>
        <w:rPr>
          <w:b w:val="0"/>
          <w:i w:val="0"/>
          <w:sz w:val="22"/>
        </w:rPr>
      </w:r>
    </w:p>
    <w:p>
      <w:pPr>
        <w:pStyle w:val="Heading2"/>
      </w:pPr>
      <w:r>
        <w:t>8.3  The joint operating point</w:t>
      </w:r>
    </w:p>
    <w:p>
      <w:pPr>
        <w:spacing w:after="120"/>
        <w:jc w:val="both"/>
      </w:pPr>
      <w:r>
        <w:rPr>
          <w:b w:val="0"/>
          <w:i w:val="0"/>
          <w:sz w:val="22"/>
        </w:rPr>
        <w:t>Sweeping dilation alone found 16 px optimal, but only at the threshold we happened to have fixed. Threshold and dilation are not independent: a higher threshold produces a smaller raw mask, which then needs more dilation to reach the same coverage. We therefore swept both, twenty cells in total, on the same sixty samples with the other arms held fixed.</w:t>
      </w:r>
    </w:p>
    <w:p>
      <w:pPr>
        <w:spacing w:after="60"/>
      </w:pPr>
      <w:r>
        <w:rPr>
          <w:i/>
          <w:color w:val="5A5852"/>
          <w:sz w:val="19"/>
        </w:rPr>
        <w:t>Table 19. Net improvement across the threshold and dilation grid. Twenty cells, sixty samples each.</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584"/>
            <w:tcBorders>
              <w:bottom w:val="single" w:sz="6" w:color="1B1A17"/>
            </w:tcBorders>
          </w:tcPr>
          <w:p>
            <w:pPr>
              <w:spacing w:before="40" w:after="40"/>
              <w:jc w:val="left"/>
            </w:pPr>
            <w:r/>
            <w:r>
              <w:rPr>
                <w:rFonts w:ascii="Cambria" w:hAnsi="Cambria"/>
                <w:b/>
                <w:sz w:val="19"/>
              </w:rPr>
              <w:t>Threshold</w:t>
            </w:r>
          </w:p>
        </w:tc>
        <w:tc>
          <w:tcPr>
            <w:tcW w:type="dxa" w:w="1584"/>
            <w:tcBorders>
              <w:bottom w:val="single" w:sz="6" w:color="1B1A17"/>
            </w:tcBorders>
          </w:tcPr>
          <w:p>
            <w:pPr>
              <w:spacing w:before="40" w:after="40"/>
              <w:jc w:val="right"/>
            </w:pPr>
            <w:r/>
            <w:r>
              <w:rPr>
                <w:rFonts w:ascii="Cambria" w:hAnsi="Cambria"/>
                <w:b/>
                <w:sz w:val="19"/>
              </w:rPr>
              <w:t>0 px</w:t>
            </w:r>
          </w:p>
        </w:tc>
        <w:tc>
          <w:tcPr>
            <w:tcW w:type="dxa" w:w="1584"/>
            <w:tcBorders>
              <w:bottom w:val="single" w:sz="6" w:color="1B1A17"/>
            </w:tcBorders>
          </w:tcPr>
          <w:p>
            <w:pPr>
              <w:spacing w:before="40" w:after="40"/>
              <w:jc w:val="right"/>
            </w:pPr>
            <w:r/>
            <w:r>
              <w:rPr>
                <w:rFonts w:ascii="Cambria" w:hAnsi="Cambria"/>
                <w:b/>
                <w:sz w:val="19"/>
              </w:rPr>
              <w:t>16 px</w:t>
            </w:r>
          </w:p>
        </w:tc>
        <w:tc>
          <w:tcPr>
            <w:tcW w:type="dxa" w:w="1584"/>
            <w:tcBorders>
              <w:bottom w:val="single" w:sz="6" w:color="1B1A17"/>
            </w:tcBorders>
          </w:tcPr>
          <w:p>
            <w:pPr>
              <w:spacing w:before="40" w:after="40"/>
              <w:jc w:val="right"/>
            </w:pPr>
            <w:r/>
            <w:r>
              <w:rPr>
                <w:rFonts w:ascii="Cambria" w:hAnsi="Cambria"/>
                <w:b/>
                <w:sz w:val="19"/>
              </w:rPr>
              <w:t>32 px</w:t>
            </w:r>
          </w:p>
        </w:tc>
        <w:tc>
          <w:tcPr>
            <w:tcW w:type="dxa" w:w="1584"/>
            <w:tcBorders>
              <w:bottom w:val="single" w:sz="6" w:color="1B1A17"/>
            </w:tcBorders>
          </w:tcPr>
          <w:p>
            <w:pPr>
              <w:spacing w:before="40" w:after="40"/>
              <w:jc w:val="right"/>
            </w:pPr>
            <w:r/>
            <w:r>
              <w:rPr>
                <w:rFonts w:ascii="Cambria" w:hAnsi="Cambria"/>
                <w:b/>
                <w:sz w:val="19"/>
              </w:rPr>
              <w:t>48 px</w:t>
            </w:r>
          </w:p>
        </w:tc>
        <w:tc>
          <w:tcPr>
            <w:tcW w:type="dxa" w:w="1584"/>
            <w:tcBorders>
              <w:bottom w:val="single" w:sz="6" w:color="1B1A17"/>
            </w:tcBorders>
          </w:tcPr>
          <w:p>
            <w:pPr>
              <w:spacing w:before="40" w:after="40"/>
              <w:jc w:val="right"/>
            </w:pPr>
            <w:r/>
            <w:r>
              <w:rPr>
                <w:rFonts w:ascii="Cambria" w:hAnsi="Cambria"/>
                <w:b/>
                <w:sz w:val="19"/>
              </w:rPr>
              <w:t>64 px</w:t>
            </w:r>
          </w:p>
        </w:tc>
      </w:tr>
      <w:tr>
        <w:tc>
          <w:tcPr>
            <w:tcW w:type="dxa" w:w="1584"/>
          </w:tcPr>
          <w:p>
            <w:pPr>
              <w:spacing w:before="40" w:after="40"/>
              <w:jc w:val="left"/>
            </w:pPr>
            <w:r/>
            <w:r>
              <w:rPr>
                <w:rFonts w:ascii="Cambria" w:hAnsi="Cambria"/>
                <w:b w:val="0"/>
                <w:sz w:val="19"/>
              </w:rPr>
              <w:t>0.2</w:t>
            </w:r>
          </w:p>
        </w:tc>
        <w:tc>
          <w:tcPr>
            <w:tcW w:type="dxa" w:w="1584"/>
          </w:tcPr>
          <w:p>
            <w:pPr>
              <w:spacing w:before="40" w:after="40"/>
              <w:jc w:val="right"/>
            </w:pPr>
            <w:r/>
            <w:r>
              <w:rPr>
                <w:rFonts w:ascii="Cambria" w:hAnsi="Cambria"/>
                <w:b w:val="0"/>
                <w:sz w:val="19"/>
              </w:rPr>
              <w:t>+31.2%</w:t>
            </w:r>
          </w:p>
        </w:tc>
        <w:tc>
          <w:tcPr>
            <w:tcW w:type="dxa" w:w="1584"/>
          </w:tcPr>
          <w:p>
            <w:pPr>
              <w:spacing w:before="40" w:after="40"/>
              <w:jc w:val="right"/>
            </w:pPr>
            <w:r/>
            <w:r>
              <w:rPr>
                <w:rFonts w:ascii="Cambria" w:hAnsi="Cambria"/>
                <w:b w:val="0"/>
                <w:sz w:val="19"/>
              </w:rPr>
              <w:t>+36.9%</w:t>
            </w:r>
          </w:p>
        </w:tc>
        <w:tc>
          <w:tcPr>
            <w:tcW w:type="dxa" w:w="1584"/>
          </w:tcPr>
          <w:p>
            <w:pPr>
              <w:spacing w:before="40" w:after="40"/>
              <w:jc w:val="right"/>
            </w:pPr>
            <w:r/>
            <w:r>
              <w:rPr>
                <w:rFonts w:ascii="Cambria" w:hAnsi="Cambria"/>
                <w:b w:val="0"/>
                <w:sz w:val="19"/>
              </w:rPr>
              <w:t>+36.7%</w:t>
            </w:r>
          </w:p>
        </w:tc>
        <w:tc>
          <w:tcPr>
            <w:tcW w:type="dxa" w:w="1584"/>
          </w:tcPr>
          <w:p>
            <w:pPr>
              <w:spacing w:before="40" w:after="40"/>
              <w:jc w:val="right"/>
            </w:pPr>
            <w:r/>
            <w:r>
              <w:rPr>
                <w:rFonts w:ascii="Cambria" w:hAnsi="Cambria"/>
                <w:b w:val="0"/>
                <w:sz w:val="19"/>
              </w:rPr>
              <w:t>+35.7%</w:t>
            </w:r>
          </w:p>
        </w:tc>
        <w:tc>
          <w:tcPr>
            <w:tcW w:type="dxa" w:w="1584"/>
          </w:tcPr>
          <w:p>
            <w:pPr>
              <w:spacing w:before="40" w:after="40"/>
              <w:jc w:val="right"/>
            </w:pPr>
            <w:r/>
            <w:r>
              <w:rPr>
                <w:rFonts w:ascii="Cambria" w:hAnsi="Cambria"/>
                <w:b w:val="0"/>
                <w:sz w:val="19"/>
              </w:rPr>
              <w:t>+32.7%</w:t>
            </w:r>
          </w:p>
        </w:tc>
      </w:tr>
      <w:tr>
        <w:tc>
          <w:tcPr>
            <w:tcW w:type="dxa" w:w="1584"/>
          </w:tcPr>
          <w:p>
            <w:pPr>
              <w:spacing w:before="40" w:after="40"/>
              <w:jc w:val="left"/>
            </w:pPr>
            <w:r/>
            <w:r>
              <w:rPr>
                <w:rFonts w:ascii="Cambria" w:hAnsi="Cambria"/>
                <w:b/>
                <w:sz w:val="19"/>
              </w:rPr>
              <w:t>0.3</w:t>
            </w:r>
          </w:p>
        </w:tc>
        <w:tc>
          <w:tcPr>
            <w:tcW w:type="dxa" w:w="1584"/>
          </w:tcPr>
          <w:p>
            <w:pPr>
              <w:spacing w:before="40" w:after="40"/>
              <w:jc w:val="right"/>
            </w:pPr>
            <w:r/>
            <w:r>
              <w:rPr>
                <w:rFonts w:ascii="Cambria" w:hAnsi="Cambria"/>
                <w:b/>
                <w:sz w:val="19"/>
              </w:rPr>
              <w:t>+28.6%</w:t>
            </w:r>
          </w:p>
        </w:tc>
        <w:tc>
          <w:tcPr>
            <w:tcW w:type="dxa" w:w="1584"/>
          </w:tcPr>
          <w:p>
            <w:pPr>
              <w:spacing w:before="40" w:after="40"/>
              <w:jc w:val="right"/>
            </w:pPr>
            <w:r/>
            <w:r>
              <w:rPr>
                <w:rFonts w:ascii="Cambria" w:hAnsi="Cambria"/>
                <w:b/>
                <w:sz w:val="19"/>
              </w:rPr>
              <w:t>+36.5%</w:t>
            </w:r>
          </w:p>
        </w:tc>
        <w:tc>
          <w:tcPr>
            <w:tcW w:type="dxa" w:w="1584"/>
          </w:tcPr>
          <w:p>
            <w:pPr>
              <w:spacing w:before="40" w:after="40"/>
              <w:jc w:val="right"/>
            </w:pPr>
            <w:r/>
            <w:r>
              <w:rPr>
                <w:rFonts w:ascii="Cambria" w:hAnsi="Cambria"/>
                <w:b/>
                <w:sz w:val="19"/>
              </w:rPr>
              <w:t>+39.5%</w:t>
            </w:r>
          </w:p>
        </w:tc>
        <w:tc>
          <w:tcPr>
            <w:tcW w:type="dxa" w:w="1584"/>
          </w:tcPr>
          <w:p>
            <w:pPr>
              <w:spacing w:before="40" w:after="40"/>
              <w:jc w:val="right"/>
            </w:pPr>
            <w:r/>
            <w:r>
              <w:rPr>
                <w:rFonts w:ascii="Cambria" w:hAnsi="Cambria"/>
                <w:b/>
                <w:sz w:val="19"/>
              </w:rPr>
              <w:t>+37.9%</w:t>
            </w:r>
          </w:p>
        </w:tc>
        <w:tc>
          <w:tcPr>
            <w:tcW w:type="dxa" w:w="1584"/>
          </w:tcPr>
          <w:p>
            <w:pPr>
              <w:spacing w:before="40" w:after="40"/>
              <w:jc w:val="right"/>
            </w:pPr>
            <w:r/>
            <w:r>
              <w:rPr>
                <w:rFonts w:ascii="Cambria" w:hAnsi="Cambria"/>
                <w:b/>
                <w:sz w:val="19"/>
              </w:rPr>
              <w:t>+33.3%</w:t>
            </w:r>
          </w:p>
        </w:tc>
      </w:tr>
      <w:tr>
        <w:tc>
          <w:tcPr>
            <w:tcW w:type="dxa" w:w="1584"/>
          </w:tcPr>
          <w:p>
            <w:pPr>
              <w:spacing w:before="40" w:after="40"/>
              <w:jc w:val="left"/>
            </w:pPr>
            <w:r/>
            <w:r>
              <w:rPr>
                <w:rFonts w:ascii="Cambria" w:hAnsi="Cambria"/>
                <w:b w:val="0"/>
                <w:sz w:val="19"/>
              </w:rPr>
              <w:t>0.4</w:t>
            </w:r>
          </w:p>
        </w:tc>
        <w:tc>
          <w:tcPr>
            <w:tcW w:type="dxa" w:w="1584"/>
          </w:tcPr>
          <w:p>
            <w:pPr>
              <w:spacing w:before="40" w:after="40"/>
              <w:jc w:val="right"/>
            </w:pPr>
            <w:r/>
            <w:r>
              <w:rPr>
                <w:rFonts w:ascii="Cambria" w:hAnsi="Cambria"/>
                <w:b w:val="0"/>
                <w:sz w:val="19"/>
              </w:rPr>
              <w:t>+26.5%</w:t>
            </w:r>
          </w:p>
        </w:tc>
        <w:tc>
          <w:tcPr>
            <w:tcW w:type="dxa" w:w="1584"/>
          </w:tcPr>
          <w:p>
            <w:pPr>
              <w:spacing w:before="40" w:after="40"/>
              <w:jc w:val="right"/>
            </w:pPr>
            <w:r/>
            <w:r>
              <w:rPr>
                <w:rFonts w:ascii="Cambria" w:hAnsi="Cambria"/>
                <w:b w:val="0"/>
                <w:sz w:val="19"/>
              </w:rPr>
              <w:t>+34.9%</w:t>
            </w:r>
          </w:p>
        </w:tc>
        <w:tc>
          <w:tcPr>
            <w:tcW w:type="dxa" w:w="1584"/>
          </w:tcPr>
          <w:p>
            <w:pPr>
              <w:spacing w:before="40" w:after="40"/>
              <w:jc w:val="right"/>
            </w:pPr>
            <w:r/>
            <w:r>
              <w:rPr>
                <w:rFonts w:ascii="Cambria" w:hAnsi="Cambria"/>
                <w:b w:val="0"/>
                <w:sz w:val="19"/>
              </w:rPr>
              <w:t>+38.4%</w:t>
            </w:r>
          </w:p>
        </w:tc>
        <w:tc>
          <w:tcPr>
            <w:tcW w:type="dxa" w:w="1584"/>
          </w:tcPr>
          <w:p>
            <w:pPr>
              <w:spacing w:before="40" w:after="40"/>
              <w:jc w:val="right"/>
            </w:pPr>
            <w:r/>
            <w:r>
              <w:rPr>
                <w:rFonts w:ascii="Cambria" w:hAnsi="Cambria"/>
                <w:b w:val="0"/>
                <w:sz w:val="19"/>
              </w:rPr>
              <w:t>+39.4%</w:t>
            </w:r>
          </w:p>
        </w:tc>
        <w:tc>
          <w:tcPr>
            <w:tcW w:type="dxa" w:w="1584"/>
          </w:tcPr>
          <w:p>
            <w:pPr>
              <w:spacing w:before="40" w:after="40"/>
              <w:jc w:val="right"/>
            </w:pPr>
            <w:r/>
            <w:r>
              <w:rPr>
                <w:rFonts w:ascii="Cambria" w:hAnsi="Cambria"/>
                <w:b w:val="0"/>
                <w:sz w:val="19"/>
              </w:rPr>
              <w:t>+35.9%</w:t>
            </w:r>
          </w:p>
        </w:tc>
      </w:tr>
      <w:tr>
        <w:tc>
          <w:tcPr>
            <w:tcW w:type="dxa" w:w="1584"/>
          </w:tcPr>
          <w:p>
            <w:pPr>
              <w:spacing w:before="40" w:after="40"/>
              <w:jc w:val="left"/>
            </w:pPr>
            <w:r/>
            <w:r>
              <w:rPr>
                <w:rFonts w:ascii="Cambria" w:hAnsi="Cambria"/>
                <w:b w:val="0"/>
                <w:sz w:val="19"/>
              </w:rPr>
              <w:t>0.5</w:t>
            </w:r>
          </w:p>
        </w:tc>
        <w:tc>
          <w:tcPr>
            <w:tcW w:type="dxa" w:w="1584"/>
          </w:tcPr>
          <w:p>
            <w:pPr>
              <w:spacing w:before="40" w:after="40"/>
              <w:jc w:val="right"/>
            </w:pPr>
            <w:r/>
            <w:r>
              <w:rPr>
                <w:rFonts w:ascii="Cambria" w:hAnsi="Cambria"/>
                <w:b w:val="0"/>
                <w:sz w:val="19"/>
              </w:rPr>
              <w:t>+24.2%</w:t>
            </w:r>
          </w:p>
        </w:tc>
        <w:tc>
          <w:tcPr>
            <w:tcW w:type="dxa" w:w="1584"/>
          </w:tcPr>
          <w:p>
            <w:pPr>
              <w:spacing w:before="40" w:after="40"/>
              <w:jc w:val="right"/>
            </w:pPr>
            <w:r/>
            <w:r>
              <w:rPr>
                <w:rFonts w:ascii="Cambria" w:hAnsi="Cambria"/>
                <w:b w:val="0"/>
                <w:sz w:val="19"/>
              </w:rPr>
              <w:t>+32.8%</w:t>
            </w:r>
          </w:p>
        </w:tc>
        <w:tc>
          <w:tcPr>
            <w:tcW w:type="dxa" w:w="1584"/>
          </w:tcPr>
          <w:p>
            <w:pPr>
              <w:spacing w:before="40" w:after="40"/>
              <w:jc w:val="right"/>
            </w:pPr>
            <w:r/>
            <w:r>
              <w:rPr>
                <w:rFonts w:ascii="Cambria" w:hAnsi="Cambria"/>
                <w:b w:val="0"/>
                <w:sz w:val="19"/>
              </w:rPr>
              <w:t>+36.2%</w:t>
            </w:r>
          </w:p>
        </w:tc>
        <w:tc>
          <w:tcPr>
            <w:tcW w:type="dxa" w:w="1584"/>
          </w:tcPr>
          <w:p>
            <w:pPr>
              <w:spacing w:before="40" w:after="40"/>
              <w:jc w:val="right"/>
            </w:pPr>
            <w:r/>
            <w:r>
              <w:rPr>
                <w:rFonts w:ascii="Cambria" w:hAnsi="Cambria"/>
                <w:b w:val="0"/>
                <w:sz w:val="19"/>
              </w:rPr>
              <w:t>+38.4%</w:t>
            </w:r>
          </w:p>
        </w:tc>
        <w:tc>
          <w:tcPr>
            <w:tcW w:type="dxa" w:w="1584"/>
          </w:tcPr>
          <w:p>
            <w:pPr>
              <w:spacing w:before="40" w:after="40"/>
              <w:jc w:val="right"/>
            </w:pPr>
            <w:r/>
            <w:r>
              <w:rPr>
                <w:rFonts w:ascii="Cambria" w:hAnsi="Cambria"/>
                <w:b w:val="0"/>
                <w:sz w:val="19"/>
              </w:rPr>
              <w:t>+37.9%</w:t>
            </w:r>
          </w:p>
        </w:tc>
      </w:tr>
    </w:tbl>
    <w:p>
      <w:pPr>
        <w:spacing w:after="80"/>
      </w:pPr>
    </w:p>
    <w:p>
      <w:pPr>
        <w:spacing w:after="60"/>
      </w:pPr>
      <w:r>
        <w:rPr>
          <w:i/>
          <w:color w:val="5A5852"/>
          <w:sz w:val="19"/>
        </w:rPr>
        <w:t>Table 20. Collateral change across the same grid. Whole-frame editing is 24.2 percent.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512"/>
        <w:gridCol w:w="1512"/>
        <w:gridCol w:w="1512"/>
        <w:gridCol w:w="1512"/>
        <w:gridCol w:w="1512"/>
        <w:gridCol w:w="1512"/>
      </w:tblGrid>
      <w:tr>
        <w:tc>
          <w:tcPr>
            <w:tcW w:type="dxa" w:w="1584"/>
            <w:tcBorders>
              <w:bottom w:val="single" w:sz="6" w:color="1B1A17"/>
            </w:tcBorders>
          </w:tcPr>
          <w:p>
            <w:pPr>
              <w:spacing w:before="40" w:after="40"/>
              <w:jc w:val="left"/>
            </w:pPr>
            <w:r/>
            <w:r>
              <w:rPr>
                <w:rFonts w:ascii="Cambria" w:hAnsi="Cambria"/>
                <w:b/>
                <w:sz w:val="19"/>
              </w:rPr>
              <w:t>Threshold</w:t>
            </w:r>
          </w:p>
        </w:tc>
        <w:tc>
          <w:tcPr>
            <w:tcW w:type="dxa" w:w="1584"/>
            <w:tcBorders>
              <w:bottom w:val="single" w:sz="6" w:color="1B1A17"/>
            </w:tcBorders>
          </w:tcPr>
          <w:p>
            <w:pPr>
              <w:spacing w:before="40" w:after="40"/>
              <w:jc w:val="right"/>
            </w:pPr>
            <w:r/>
            <w:r>
              <w:rPr>
                <w:rFonts w:ascii="Cambria" w:hAnsi="Cambria"/>
                <w:b/>
                <w:sz w:val="19"/>
              </w:rPr>
              <w:t>0 px</w:t>
            </w:r>
          </w:p>
        </w:tc>
        <w:tc>
          <w:tcPr>
            <w:tcW w:type="dxa" w:w="1584"/>
            <w:tcBorders>
              <w:bottom w:val="single" w:sz="6" w:color="1B1A17"/>
            </w:tcBorders>
          </w:tcPr>
          <w:p>
            <w:pPr>
              <w:spacing w:before="40" w:after="40"/>
              <w:jc w:val="right"/>
            </w:pPr>
            <w:r/>
            <w:r>
              <w:rPr>
                <w:rFonts w:ascii="Cambria" w:hAnsi="Cambria"/>
                <w:b/>
                <w:sz w:val="19"/>
              </w:rPr>
              <w:t>16 px</w:t>
            </w:r>
          </w:p>
        </w:tc>
        <w:tc>
          <w:tcPr>
            <w:tcW w:type="dxa" w:w="1584"/>
            <w:tcBorders>
              <w:bottom w:val="single" w:sz="6" w:color="1B1A17"/>
            </w:tcBorders>
          </w:tcPr>
          <w:p>
            <w:pPr>
              <w:spacing w:before="40" w:after="40"/>
              <w:jc w:val="right"/>
            </w:pPr>
            <w:r/>
            <w:r>
              <w:rPr>
                <w:rFonts w:ascii="Cambria" w:hAnsi="Cambria"/>
                <w:b/>
                <w:sz w:val="19"/>
              </w:rPr>
              <w:t>32 px</w:t>
            </w:r>
          </w:p>
        </w:tc>
        <w:tc>
          <w:tcPr>
            <w:tcW w:type="dxa" w:w="1584"/>
            <w:tcBorders>
              <w:bottom w:val="single" w:sz="6" w:color="1B1A17"/>
            </w:tcBorders>
          </w:tcPr>
          <w:p>
            <w:pPr>
              <w:spacing w:before="40" w:after="40"/>
              <w:jc w:val="right"/>
            </w:pPr>
            <w:r/>
            <w:r>
              <w:rPr>
                <w:rFonts w:ascii="Cambria" w:hAnsi="Cambria"/>
                <w:b/>
                <w:sz w:val="19"/>
              </w:rPr>
              <w:t>48 px</w:t>
            </w:r>
          </w:p>
        </w:tc>
        <w:tc>
          <w:tcPr>
            <w:tcW w:type="dxa" w:w="1584"/>
            <w:tcBorders>
              <w:bottom w:val="single" w:sz="6" w:color="1B1A17"/>
            </w:tcBorders>
          </w:tcPr>
          <w:p>
            <w:pPr>
              <w:spacing w:before="40" w:after="40"/>
              <w:jc w:val="right"/>
            </w:pPr>
            <w:r/>
            <w:r>
              <w:rPr>
                <w:rFonts w:ascii="Cambria" w:hAnsi="Cambria"/>
                <w:b/>
                <w:sz w:val="19"/>
              </w:rPr>
              <w:t>64 px</w:t>
            </w:r>
          </w:p>
        </w:tc>
      </w:tr>
      <w:tr>
        <w:tc>
          <w:tcPr>
            <w:tcW w:type="dxa" w:w="1584"/>
          </w:tcPr>
          <w:p>
            <w:pPr>
              <w:spacing w:before="40" w:after="40"/>
              <w:jc w:val="left"/>
            </w:pPr>
            <w:r/>
            <w:r>
              <w:rPr>
                <w:rFonts w:ascii="Cambria" w:hAnsi="Cambria"/>
                <w:b w:val="0"/>
                <w:sz w:val="19"/>
              </w:rPr>
              <w:t>0.2</w:t>
            </w:r>
          </w:p>
        </w:tc>
        <w:tc>
          <w:tcPr>
            <w:tcW w:type="dxa" w:w="1584"/>
          </w:tcPr>
          <w:p>
            <w:pPr>
              <w:spacing w:before="40" w:after="40"/>
              <w:jc w:val="right"/>
            </w:pPr>
            <w:r/>
            <w:r>
              <w:rPr>
                <w:rFonts w:ascii="Cambria" w:hAnsi="Cambria"/>
                <w:b w:val="0"/>
                <w:sz w:val="19"/>
              </w:rPr>
              <w:t>14.1%</w:t>
            </w:r>
          </w:p>
        </w:tc>
        <w:tc>
          <w:tcPr>
            <w:tcW w:type="dxa" w:w="1584"/>
          </w:tcPr>
          <w:p>
            <w:pPr>
              <w:spacing w:before="40" w:after="40"/>
              <w:jc w:val="right"/>
            </w:pPr>
            <w:r/>
            <w:r>
              <w:rPr>
                <w:rFonts w:ascii="Cambria" w:hAnsi="Cambria"/>
                <w:b w:val="0"/>
                <w:sz w:val="19"/>
              </w:rPr>
              <w:t>20.6%</w:t>
            </w:r>
          </w:p>
        </w:tc>
        <w:tc>
          <w:tcPr>
            <w:tcW w:type="dxa" w:w="1584"/>
          </w:tcPr>
          <w:p>
            <w:pPr>
              <w:spacing w:before="40" w:after="40"/>
              <w:jc w:val="right"/>
            </w:pPr>
            <w:r/>
            <w:r>
              <w:rPr>
                <w:rFonts w:ascii="Cambria" w:hAnsi="Cambria"/>
                <w:b w:val="0"/>
                <w:sz w:val="19"/>
              </w:rPr>
              <w:t>27.6%</w:t>
            </w:r>
          </w:p>
        </w:tc>
        <w:tc>
          <w:tcPr>
            <w:tcW w:type="dxa" w:w="1584"/>
          </w:tcPr>
          <w:p>
            <w:pPr>
              <w:spacing w:before="40" w:after="40"/>
              <w:jc w:val="right"/>
            </w:pPr>
            <w:r/>
            <w:r>
              <w:rPr>
                <w:rFonts w:ascii="Cambria" w:hAnsi="Cambria"/>
                <w:b w:val="0"/>
                <w:sz w:val="19"/>
              </w:rPr>
              <w:t>34.5%</w:t>
            </w:r>
          </w:p>
        </w:tc>
        <w:tc>
          <w:tcPr>
            <w:tcW w:type="dxa" w:w="1584"/>
          </w:tcPr>
          <w:p>
            <w:pPr>
              <w:spacing w:before="40" w:after="40"/>
              <w:jc w:val="right"/>
            </w:pPr>
            <w:r/>
            <w:r>
              <w:rPr>
                <w:rFonts w:ascii="Cambria" w:hAnsi="Cambria"/>
                <w:b w:val="0"/>
                <w:sz w:val="19"/>
              </w:rPr>
              <w:t>40.4%</w:t>
            </w:r>
          </w:p>
        </w:tc>
      </w:tr>
      <w:tr>
        <w:tc>
          <w:tcPr>
            <w:tcW w:type="dxa" w:w="1584"/>
          </w:tcPr>
          <w:p>
            <w:pPr>
              <w:spacing w:before="40" w:after="40"/>
              <w:jc w:val="left"/>
            </w:pPr>
            <w:r/>
            <w:r>
              <w:rPr>
                <w:rFonts w:ascii="Cambria" w:hAnsi="Cambria"/>
                <w:b w:val="0"/>
                <w:sz w:val="19"/>
              </w:rPr>
              <w:t>0.3</w:t>
            </w:r>
          </w:p>
        </w:tc>
        <w:tc>
          <w:tcPr>
            <w:tcW w:type="dxa" w:w="1584"/>
          </w:tcPr>
          <w:p>
            <w:pPr>
              <w:spacing w:before="40" w:after="40"/>
              <w:jc w:val="right"/>
            </w:pPr>
            <w:r/>
            <w:r>
              <w:rPr>
                <w:rFonts w:ascii="Cambria" w:hAnsi="Cambria"/>
                <w:b w:val="0"/>
                <w:sz w:val="19"/>
              </w:rPr>
              <w:t>11.8%</w:t>
            </w:r>
          </w:p>
        </w:tc>
        <w:tc>
          <w:tcPr>
            <w:tcW w:type="dxa" w:w="1584"/>
          </w:tcPr>
          <w:p>
            <w:pPr>
              <w:spacing w:before="40" w:after="40"/>
              <w:jc w:val="right"/>
            </w:pPr>
            <w:r/>
            <w:r>
              <w:rPr>
                <w:rFonts w:ascii="Cambria" w:hAnsi="Cambria"/>
                <w:b w:val="0"/>
                <w:sz w:val="19"/>
              </w:rPr>
              <w:t>16.4%</w:t>
            </w:r>
          </w:p>
        </w:tc>
        <w:tc>
          <w:tcPr>
            <w:tcW w:type="dxa" w:w="1584"/>
          </w:tcPr>
          <w:p>
            <w:pPr>
              <w:spacing w:before="40" w:after="40"/>
              <w:jc w:val="right"/>
            </w:pPr>
            <w:r/>
            <w:r>
              <w:rPr>
                <w:rFonts w:ascii="Cambria" w:hAnsi="Cambria"/>
                <w:b w:val="0"/>
                <w:sz w:val="19"/>
              </w:rPr>
              <w:t>22.2%</w:t>
            </w:r>
          </w:p>
        </w:tc>
        <w:tc>
          <w:tcPr>
            <w:tcW w:type="dxa" w:w="1584"/>
          </w:tcPr>
          <w:p>
            <w:pPr>
              <w:spacing w:before="40" w:after="40"/>
              <w:jc w:val="right"/>
            </w:pPr>
            <w:r/>
            <w:r>
              <w:rPr>
                <w:rFonts w:ascii="Cambria" w:hAnsi="Cambria"/>
                <w:b w:val="0"/>
                <w:sz w:val="19"/>
              </w:rPr>
              <w:t>28.2%</w:t>
            </w:r>
          </w:p>
        </w:tc>
        <w:tc>
          <w:tcPr>
            <w:tcW w:type="dxa" w:w="1584"/>
          </w:tcPr>
          <w:p>
            <w:pPr>
              <w:spacing w:before="40" w:after="40"/>
              <w:jc w:val="right"/>
            </w:pPr>
            <w:r/>
            <w:r>
              <w:rPr>
                <w:rFonts w:ascii="Cambria" w:hAnsi="Cambria"/>
                <w:b w:val="0"/>
                <w:sz w:val="19"/>
              </w:rPr>
              <w:t>34.9%</w:t>
            </w:r>
          </w:p>
        </w:tc>
      </w:tr>
      <w:tr>
        <w:tc>
          <w:tcPr>
            <w:tcW w:type="dxa" w:w="1584"/>
          </w:tcPr>
          <w:p>
            <w:pPr>
              <w:spacing w:before="40" w:after="40"/>
              <w:jc w:val="left"/>
            </w:pPr>
            <w:r/>
            <w:r>
              <w:rPr>
                <w:rFonts w:ascii="Cambria" w:hAnsi="Cambria"/>
                <w:b w:val="0"/>
                <w:sz w:val="19"/>
              </w:rPr>
              <w:t>0.4</w:t>
            </w:r>
          </w:p>
        </w:tc>
        <w:tc>
          <w:tcPr>
            <w:tcW w:type="dxa" w:w="1584"/>
          </w:tcPr>
          <w:p>
            <w:pPr>
              <w:spacing w:before="40" w:after="40"/>
              <w:jc w:val="right"/>
            </w:pPr>
            <w:r/>
            <w:r>
              <w:rPr>
                <w:rFonts w:ascii="Cambria" w:hAnsi="Cambria"/>
                <w:b w:val="0"/>
                <w:sz w:val="19"/>
              </w:rPr>
              <w:t>9.9%</w:t>
            </w:r>
          </w:p>
        </w:tc>
        <w:tc>
          <w:tcPr>
            <w:tcW w:type="dxa" w:w="1584"/>
          </w:tcPr>
          <w:p>
            <w:pPr>
              <w:spacing w:before="40" w:after="40"/>
              <w:jc w:val="right"/>
            </w:pPr>
            <w:r/>
            <w:r>
              <w:rPr>
                <w:rFonts w:ascii="Cambria" w:hAnsi="Cambria"/>
                <w:b w:val="0"/>
                <w:sz w:val="19"/>
              </w:rPr>
              <w:t>13.7%</w:t>
            </w:r>
          </w:p>
        </w:tc>
        <w:tc>
          <w:tcPr>
            <w:tcW w:type="dxa" w:w="1584"/>
          </w:tcPr>
          <w:p>
            <w:pPr>
              <w:spacing w:before="40" w:after="40"/>
              <w:jc w:val="right"/>
            </w:pPr>
            <w:r/>
            <w:r>
              <w:rPr>
                <w:rFonts w:ascii="Cambria" w:hAnsi="Cambria"/>
                <w:b w:val="0"/>
                <w:sz w:val="19"/>
              </w:rPr>
              <w:t>18.5%</w:t>
            </w:r>
          </w:p>
        </w:tc>
        <w:tc>
          <w:tcPr>
            <w:tcW w:type="dxa" w:w="1584"/>
          </w:tcPr>
          <w:p>
            <w:pPr>
              <w:spacing w:before="40" w:after="40"/>
              <w:jc w:val="right"/>
            </w:pPr>
            <w:r/>
            <w:r>
              <w:rPr>
                <w:rFonts w:ascii="Cambria" w:hAnsi="Cambria"/>
                <w:b w:val="0"/>
                <w:sz w:val="19"/>
              </w:rPr>
              <w:t>24.1%</w:t>
            </w:r>
          </w:p>
        </w:tc>
        <w:tc>
          <w:tcPr>
            <w:tcW w:type="dxa" w:w="1584"/>
          </w:tcPr>
          <w:p>
            <w:pPr>
              <w:spacing w:before="40" w:after="40"/>
              <w:jc w:val="right"/>
            </w:pPr>
            <w:r/>
            <w:r>
              <w:rPr>
                <w:rFonts w:ascii="Cambria" w:hAnsi="Cambria"/>
                <w:b w:val="0"/>
                <w:sz w:val="19"/>
              </w:rPr>
              <w:t>29.2%</w:t>
            </w:r>
          </w:p>
        </w:tc>
      </w:tr>
      <w:tr>
        <w:tc>
          <w:tcPr>
            <w:tcW w:type="dxa" w:w="1584"/>
          </w:tcPr>
          <w:p>
            <w:pPr>
              <w:spacing w:before="40" w:after="40"/>
              <w:jc w:val="left"/>
            </w:pPr>
            <w:r/>
            <w:r>
              <w:rPr>
                <w:rFonts w:ascii="Cambria" w:hAnsi="Cambria"/>
                <w:b w:val="0"/>
                <w:sz w:val="19"/>
              </w:rPr>
              <w:t>0.5</w:t>
            </w:r>
          </w:p>
        </w:tc>
        <w:tc>
          <w:tcPr>
            <w:tcW w:type="dxa" w:w="1584"/>
          </w:tcPr>
          <w:p>
            <w:pPr>
              <w:spacing w:before="40" w:after="40"/>
              <w:jc w:val="right"/>
            </w:pPr>
            <w:r/>
            <w:r>
              <w:rPr>
                <w:rFonts w:ascii="Cambria" w:hAnsi="Cambria"/>
                <w:b w:val="0"/>
                <w:sz w:val="19"/>
              </w:rPr>
              <w:t>9.1%</w:t>
            </w:r>
          </w:p>
        </w:tc>
        <w:tc>
          <w:tcPr>
            <w:tcW w:type="dxa" w:w="1584"/>
          </w:tcPr>
          <w:p>
            <w:pPr>
              <w:spacing w:before="40" w:after="40"/>
              <w:jc w:val="right"/>
            </w:pPr>
            <w:r/>
            <w:r>
              <w:rPr>
                <w:rFonts w:ascii="Cambria" w:hAnsi="Cambria"/>
                <w:b w:val="0"/>
                <w:sz w:val="19"/>
              </w:rPr>
              <w:t>12.0%</w:t>
            </w:r>
          </w:p>
        </w:tc>
        <w:tc>
          <w:tcPr>
            <w:tcW w:type="dxa" w:w="1584"/>
          </w:tcPr>
          <w:p>
            <w:pPr>
              <w:spacing w:before="40" w:after="40"/>
              <w:jc w:val="right"/>
            </w:pPr>
            <w:r/>
            <w:r>
              <w:rPr>
                <w:rFonts w:ascii="Cambria" w:hAnsi="Cambria"/>
                <w:b w:val="0"/>
                <w:sz w:val="19"/>
              </w:rPr>
              <w:t>15.9%</w:t>
            </w:r>
          </w:p>
        </w:tc>
        <w:tc>
          <w:tcPr>
            <w:tcW w:type="dxa" w:w="1584"/>
          </w:tcPr>
          <w:p>
            <w:pPr>
              <w:spacing w:before="40" w:after="40"/>
              <w:jc w:val="right"/>
            </w:pPr>
            <w:r/>
            <w:r>
              <w:rPr>
                <w:rFonts w:ascii="Cambria" w:hAnsi="Cambria"/>
                <w:b w:val="0"/>
                <w:sz w:val="19"/>
              </w:rPr>
              <w:t>20.4%</w:t>
            </w:r>
          </w:p>
        </w:tc>
        <w:tc>
          <w:tcPr>
            <w:tcW w:type="dxa" w:w="1584"/>
          </w:tcPr>
          <w:p>
            <w:pPr>
              <w:spacing w:before="40" w:after="40"/>
              <w:jc w:val="right"/>
            </w:pPr>
            <w:r/>
            <w:r>
              <w:rPr>
                <w:rFonts w:ascii="Cambria" w:hAnsi="Cambria"/>
                <w:b w:val="0"/>
                <w:sz w:val="19"/>
              </w:rPr>
              <w:t>25.3%</w:t>
            </w:r>
          </w:p>
        </w:tc>
      </w:tr>
    </w:tbl>
    <w:p>
      <w:pPr>
        <w:spacing w:after="80"/>
      </w:pPr>
    </w:p>
    <w:p>
      <w:pPr>
        <w:spacing w:after="120"/>
        <w:jc w:val="both"/>
      </w:pPr>
      <w:r>
        <w:rPr>
          <w:b w:val="0"/>
          <w:i w:val="0"/>
          <w:sz w:val="22"/>
        </w:rPr>
        <w:t>The optimum is threshold 0.3 with 32 px of dilation, giving +39.5 percent net at 61.7 percent recall and 22.2 percent collateral. It is interior on both axes: net falls away in all four directions, so it is a genuine maximum of the grid rather than a value sitting against its edge.</w:t>
      </w:r>
    </w:p>
    <w:p>
      <w:pPr>
        <w:spacing w:after="120"/>
        <w:jc w:val="both"/>
      </w:pPr>
      <w:r>
        <w:rPr>
          <w:b w:val="0"/>
          <w:i w:val="0"/>
          <w:sz w:val="22"/>
        </w:rPr>
        <w:t>The structure of the surface is the more useful result. Each row has its own interior peak, and the optimal dilation rises with the threshold — 16 px at 0.2, 32 px at 0.3, 48 px at both 0.4 and 0.5. The two parameters trade against one another along a ridge, which is precisely why sweeping dilation alone returned a local optimum: 16 px was optimal only at the threshold that sweep held fixed. Collateral, by contrast, is monotonic in both parameters, rising with dilation and falling with threshold, so it carries no optimum of its own and cannot be used to locate one.</w:t>
      </w:r>
    </w:p>
    <w:p>
      <w:pPr>
        <w:spacing w:after="120"/>
        <w:jc w:val="both"/>
      </w:pPr>
      <w:r>
        <w:rPr>
          <w:b w:val="0"/>
          <w:i w:val="0"/>
          <w:sz w:val="22"/>
        </w:rPr>
        <w:t>Against the untuned setting carried over from the compositing experiment, tuning is worth 7.5 points of net: +39.5 percent against +32.0 percent. Collateral falls from 39.1 to 22.2 percent, which is below the 24.2 percent of whole-frame editing, so the tuned system now exceeds the status quo on both quantities rather than trading one against the other. The margin over the human annotation widens from +26.8 to a clear gap, and the oracle at +53.0 percent still bounds what a perfect region would buy.</w:t>
      </w:r>
    </w:p>
    <w:p>
      <w:pPr>
        <w:jc w:val="center"/>
      </w:pPr>
      <w:r>
        <w:drawing>
          <wp:inline xmlns:a="http://schemas.openxmlformats.org/drawingml/2006/main" xmlns:pic="http://schemas.openxmlformats.org/drawingml/2006/picture">
            <wp:extent cx="5669280" cy="1934422"/>
            <wp:docPr id="4" name="Picture 4"/>
            <wp:cNvGraphicFramePr>
              <a:graphicFrameLocks noChangeAspect="1"/>
            </wp:cNvGraphicFramePr>
            <a:graphic>
              <a:graphicData uri="http://schemas.openxmlformats.org/drawingml/2006/picture">
                <pic:pic>
                  <pic:nvPicPr>
                    <pic:cNvPr id="0" name="grid_heatmap.png"/>
                    <pic:cNvPicPr/>
                  </pic:nvPicPr>
                  <pic:blipFill>
                    <a:blip r:embed="rId12"/>
                    <a:stretch>
                      <a:fillRect/>
                    </a:stretch>
                  </pic:blipFill>
                  <pic:spPr>
                    <a:xfrm>
                      <a:off x="0" y="0"/>
                      <a:ext cx="5669280" cy="1934422"/>
                    </a:xfrm>
                    <a:prstGeom prst="rect"/>
                  </pic:spPr>
                </pic:pic>
              </a:graphicData>
            </a:graphic>
          </wp:inline>
        </w:drawing>
      </w:r>
    </w:p>
    <w:p>
      <w:pPr>
        <w:spacing w:after="200"/>
        <w:jc w:val="left"/>
      </w:pPr>
      <w:r>
        <w:rPr>
          <w:i/>
          <w:color w:val="5A5852"/>
          <w:sz w:val="19"/>
        </w:rPr>
        <w:t>Figure 5. The operating-point grid. Net peaks at threshold 0.3 with 32 px of dilation and falls away in all four directions; collateral is monotonic in both parameters and carries no optimum.</w:t>
      </w:r>
    </w:p>
    <w:p>
      <w:pPr>
        <w:spacing w:after="120"/>
        <w:jc w:val="both"/>
      </w:pPr>
      <w:r>
        <w:rPr>
          <w:b w:val="0"/>
          <w:i w:val="0"/>
          <w:sz w:val="22"/>
        </w:rPr>
        <w:t>Two neighbouring cells are worth recording because they may suit a different priority. Threshold 0.4 with 48 px gives +39.4 percent, statistically indistinguishable from the optimum, at 24.1 percent collateral. Threshold 0.5 with 48 px gives +38.4 percent at 20.4 percent collateral — 1.1 points less net for 1.8 points less damage. Where preservation outside the region matters more than completeness of the edit, that is the better operating point.</w:t>
      </w:r>
    </w:p>
    <w:p>
      <w:pPr>
        <w:pStyle w:val="Heading1"/>
      </w:pPr>
      <w:r>
        <w:t>9  Validation and Corrective Actions</w:t>
      </w:r>
    </w:p>
    <w:p>
      <w:pPr>
        <w:spacing w:after="120"/>
        <w:jc w:val="both"/>
      </w:pPr>
      <w:r>
        <w:rPr>
          <w:b w:val="0"/>
          <w:i w:val="0"/>
          <w:sz w:val="22"/>
        </w:rPr>
        <w:t>We made four corrections during the work. They are recorded because the alternative would render the surviving results unverifiable.</w:t>
      </w:r>
    </w:p>
    <w:p>
      <w:pPr>
        <w:spacing w:after="120"/>
        <w:jc w:val="both"/>
      </w:pPr>
      <w:r>
        <w:rPr>
          <w:b w:val="0"/>
          <w:i w:val="0"/>
          <w:sz w:val="22"/>
        </w:rPr>
        <w:t>First, an overnight script contained a copy operation that merged the development partition into the training cache, so that the model was trained on the partition it was subsequently evaluated on. We found it when a baseline scored 0.3743 against a training-time 0.1397, a discrepancy too large to be attributable to a difference in metric. We withdrew the affected headline and the claim that our supervision beat human annotation, then re-established both on a disjoint split.</w:t>
      </w:r>
    </w:p>
    <w:p>
      <w:pPr>
        <w:spacing w:after="120"/>
        <w:jc w:val="both"/>
      </w:pPr>
      <w:r>
        <w:rPr>
          <w:b w:val="0"/>
          <w:i w:val="0"/>
          <w:sz w:val="22"/>
        </w:rPr>
        <w:t>Second, an earlier evaluation selected the best epoch by development IoU and concluded that the spatial head was inferior to the global head, 0.1373 against 0.1533. Selecting on a held-out slice of the training partition reverses the ordering significantly. So selection on the test set does not just inflate a result. It can flip it.</w:t>
      </w:r>
    </w:p>
    <w:p>
      <w:pPr>
        <w:spacing w:after="120"/>
        <w:jc w:val="both"/>
      </w:pPr>
      <w:r>
        <w:rPr>
          <w:b w:val="0"/>
          <w:i w:val="0"/>
          <w:sz w:val="22"/>
        </w:rPr>
        <w:t>Third, two proposed extensions to the prototype basis, a free-space basis and a geometric basis, were each required to exceed a random basis of equal dimensionality and failed to do so. We removed both.</w:t>
      </w:r>
    </w:p>
    <w:p>
      <w:pPr>
        <w:spacing w:after="120"/>
        <w:jc w:val="both"/>
      </w:pPr>
      <w:r>
        <w:rPr>
          <w:b w:val="0"/>
          <w:i w:val="0"/>
          <w:sz w:val="22"/>
        </w:rPr>
        <w:t>Fourth, an earlier conclusion that additional data would not assist insertion was drawn from a per-kind test at approximately 500 insertion samples. With 1,828 samples, insertion improved from 44 to 56 percent of its ceiling. The ceiling itself is unchanged. The surviving claim is that the basis bounds insertion at 0.212, not that data does not assist insertion.</w:t>
      </w:r>
    </w:p>
    <w:p>
      <w:pPr>
        <w:pStyle w:val="Heading1"/>
      </w:pPr>
      <w:r>
        <w:t>10  Limitations</w:t>
      </w:r>
    </w:p>
    <w:p>
      <w:pPr>
        <w:pStyle w:val="ListNumber"/>
        <w:spacing w:after="60"/>
      </w:pPr>
      <w:r>
        <w:rPr>
          <w:sz w:val="22"/>
        </w:rPr>
        <w:t>The insertion ceiling of 0.212 is a bound imposed by the present basis, of which 56 percent is attained. Raising it requires a basis spanning empty space; the single attempt at this was rejected by its control.</w:t>
      </w:r>
    </w:p>
    <w:p>
      <w:pPr>
        <w:pStyle w:val="ListNumber"/>
        <w:spacing w:after="60"/>
      </w:pPr>
      <w:r>
        <w:rPr>
          <w:sz w:val="22"/>
        </w:rPr>
        <w:t>We chose hyperparameters at 2,278 samples and reused them unchanged at 8,306 so that training-set size would be the only variable. The reported figures are therefore a lower bound.</w:t>
      </w:r>
    </w:p>
    <w:p>
      <w:pPr>
        <w:pStyle w:val="ListNumber"/>
        <w:spacing w:after="60"/>
      </w:pPr>
      <w:r>
        <w:rPr>
          <w:sz w:val="22"/>
        </w:rPr>
        <w:t>The backbone remains frozen. We accept that trade deliberately: it is what buys the parameter and latency advantages. It also caps how accurate we can get.</w:t>
      </w:r>
    </w:p>
    <w:p>
      <w:pPr>
        <w:pStyle w:val="ListNumber"/>
        <w:spacing w:after="60"/>
      </w:pPr>
      <w:r>
        <w:rPr>
          <w:sz w:val="22"/>
        </w:rPr>
        <w:t>Stage 2 uses InstructPix2Pix on sixty samples at one guidance setting. Stable Diffusion inpainting weights are available but were not used for the reported figures.</w:t>
      </w:r>
    </w:p>
    <w:p>
      <w:pPr>
        <w:pStyle w:val="ListNumber"/>
        <w:spacing w:after="60"/>
      </w:pPr>
      <w:r>
        <w:rPr>
          <w:sz w:val="22"/>
        </w:rPr>
        <w:t>Accuracy at 352 pixels is unmeasured, so the resolution-matched latency comparison is a latency comparison only.</w:t>
      </w:r>
    </w:p>
    <w:p>
      <w:pPr>
        <w:pStyle w:val="ListNumber"/>
        <w:spacing w:after="60"/>
      </w:pPr>
      <w:r>
        <w:rPr>
          <w:sz w:val="22"/>
        </w:rPr>
        <w:t>CLIPSeg is evaluated at its default operating point while the present threshold is selected on a held-out slice, so the tuned comparison favours this work. The fixed-threshold comparison is reported as the headline.</w:t>
      </w:r>
    </w:p>
    <w:p>
      <w:pPr>
        <w:pStyle w:val="ListNumber"/>
        <w:spacing w:after="60"/>
      </w:pPr>
      <w:r>
        <w:rPr>
          <w:sz w:val="22"/>
        </w:rPr>
        <w:t>AdaptEdit is not reproduced, and no claim here is a comparison against its reported figures.</w:t>
      </w:r>
    </w:p>
    <w:p>
      <w:pPr>
        <w:pStyle w:val="Heading1"/>
      </w:pPr>
      <w:r>
        <w:t>11  Conclusion and Future Work</w:t>
      </w:r>
    </w:p>
    <w:p>
      <w:pPr>
        <w:spacing w:after="120"/>
        <w:jc w:val="both"/>
      </w:pPr>
      <w:r>
        <w:rPr>
          <w:b w:val="0"/>
          <w:i w:val="0"/>
          <w:sz w:val="22"/>
        </w:rPr>
        <w:t>A 4.69 million parameter head operating entirely over frozen features predicts edit regions more accurately than a 150.7 million parameter pretrained referring segmenter and than the human annotations distributed with the dataset, at 32 times fewer trainable parameters and 10.3 times lower per-instruction latency, trained end to end on a single laptop. Localization is worth a factor of 3.3 downstream, which substantiates the two-stage premise.</w:t>
      </w:r>
    </w:p>
    <w:p>
      <w:pPr>
        <w:spacing w:after="120"/>
        <w:jc w:val="both"/>
      </w:pPr>
      <w:r>
        <w:rPr>
          <w:b w:val="0"/>
          <w:i w:val="0"/>
          <w:sz w:val="22"/>
        </w:rPr>
        <w:t>The principal finding, however, is the bound. Insertion, the case named by the base paper as its own limitation and the case this work addresses, is bounded at 0.212 by a prototype basis trained to segment objects, not to describe empty space. Part of the shortfall to that bound was closed with additional data; the bound itself was not moved.</w:t>
      </w:r>
    </w:p>
    <w:p>
      <w:pPr>
        <w:spacing w:after="120"/>
        <w:jc w:val="both"/>
      </w:pPr>
      <w:r>
        <w:rPr>
          <w:b w:val="0"/>
          <w:i w:val="0"/>
          <w:sz w:val="22"/>
        </w:rPr>
        <w:t>Three directions follow. The basis rather than the head should be addressed, since the ceiling is a property of the 32 prototypes: learning a small number of additional prototypes supervised on insertion regions, required to exceed a random basis of equal size, is the direct test. Hyperparameters should be re-swept at 8,306 samples, which is now inexpensive given that approximately 10 epochs suffice. Stage 2 recall should be raised without reintroducing collateral change, in order to exceed the +18.5 percent attained by the MagicBrush mask.</w:t>
      </w:r>
    </w:p>
    <w:p>
      <w:pPr>
        <w:pStyle w:val="Heading1"/>
      </w:pPr>
      <w:r>
        <w:t>Appendix A — Complete Configuration</w:t>
      </w:r>
    </w:p>
    <w:p>
      <w:pPr>
        <w:spacing w:after="120"/>
        <w:jc w:val="both"/>
      </w:pPr>
      <w:r>
        <w:rPr>
          <w:b w:val="0"/>
          <w:i w:val="0"/>
          <w:sz w:val="22"/>
        </w:rPr>
        <w:t>See Table 4. Every value here we read out of the source, not out of notes. The training partition comprises 8,306 usable turns drawn from all 51 shards, of 8,807 rows, with 501 rejected as degenerate. The partitions are image-disjoint as reported in Table 3.</w:t>
      </w:r>
    </w:p>
    <w:p>
      <w:pPr>
        <w:pStyle w:val="Heading1"/>
      </w:pPr>
      <w:r>
        <w:t>Appendix B — Reproduction</w:t>
      </w:r>
    </w:p>
    <w:p>
      <w:pPr>
        <w:spacing w:after="120"/>
        <w:jc w:val="both"/>
      </w:pPr>
      <w:r>
        <w:rPr>
          <w:b w:val="0"/>
          <w:i w:val="0"/>
          <w:sz w:val="22"/>
        </w:rPr>
        <w:t>We produced every result on one machine: Apple M5, 10 cores, 26 GB unified memory, macOS 26.6.2, PyTorch 2.13.0 on the Metal backend, NumPy 2.2.6, OpenCV 5.0.0, Ultralytics 8.3.209, SciPy 1.15.3.</w:t>
      </w:r>
    </w:p>
    <w:p>
      <w:pPr>
        <w:spacing w:after="20"/>
      </w:pPr>
      <w:r>
        <w:rPr>
          <w:rFonts w:ascii="Consolas" w:hAnsi="Consolas"/>
          <w:sz w:val="19"/>
        </w:rPr>
        <w:t>python train/precompute_full.py --split train --batch 8</w:t>
      </w:r>
    </w:p>
    <w:p>
      <w:pPr>
        <w:spacing w:after="20"/>
      </w:pPr>
      <w:r>
        <w:rPr>
          <w:rFonts w:ascii="Consolas" w:hAnsi="Consolas"/>
          <w:sz w:val="19"/>
        </w:rPr>
        <w:t>python train/leakage_check.py</w:t>
      </w:r>
    </w:p>
    <w:p>
      <w:pPr>
        <w:spacing w:after="20"/>
      </w:pPr>
      <w:r>
        <w:rPr>
          <w:rFonts w:ascii="Consolas" w:hAnsi="Consolas"/>
          <w:sz w:val="19"/>
        </w:rPr>
        <w:t>python train/clean_eval_full.py --seeds 12 --configs v2,v1</w:t>
      </w:r>
    </w:p>
    <w:p>
      <w:pPr>
        <w:spacing w:after="20"/>
      </w:pPr>
      <w:r>
        <w:rPr>
          <w:rFonts w:ascii="Consolas" w:hAnsi="Consolas"/>
          <w:sz w:val="19"/>
        </w:rPr>
        <w:t>python train/clean_eval_full.py --seeds 3 --configs v2,v1 --curves</w:t>
      </w:r>
    </w:p>
    <w:p>
      <w:pPr>
        <w:spacing w:after="20"/>
      </w:pPr>
      <w:r>
        <w:rPr>
          <w:rFonts w:ascii="Consolas" w:hAnsi="Consolas"/>
          <w:sz w:val="19"/>
        </w:rPr>
        <w:t>python train/metrics_full.py</w:t>
      </w:r>
    </w:p>
    <w:p>
      <w:pPr>
        <w:spacing w:after="20"/>
      </w:pPr>
      <w:r>
        <w:rPr>
          <w:rFonts w:ascii="Consolas" w:hAnsi="Consolas"/>
          <w:sz w:val="19"/>
        </w:rPr>
        <w:t>python train/threshold_select.py</w:t>
      </w:r>
    </w:p>
    <w:p>
      <w:pPr>
        <w:spacing w:after="20"/>
      </w:pPr>
      <w:r>
        <w:rPr>
          <w:rFonts w:ascii="Consolas" w:hAnsi="Consolas"/>
          <w:sz w:val="19"/>
        </w:rPr>
        <w:t>python train/latency_v2.py</w:t>
      </w:r>
    </w:p>
    <w:p>
      <w:pPr>
        <w:spacing w:after="20"/>
      </w:pPr>
      <w:r>
        <w:rPr>
          <w:rFonts w:ascii="Consolas" w:hAnsi="Consolas"/>
          <w:sz w:val="19"/>
        </w:rPr>
        <w:t>python train/plots_full.py &amp;&amp; python train/curve_plots.py</w:t>
      </w:r>
    </w:p>
    <w:p>
      <w:pPr>
        <w:spacing w:after="120"/>
        <w:jc w:val="both"/>
      </w:pPr>
      <w:r>
        <w:rPr>
          <w:b w:val="0"/>
          <w:i w:val="0"/>
          <w:sz w:val="22"/>
        </w:rPr>
      </w:r>
    </w:p>
    <w:p>
      <w:pPr>
        <w:spacing w:after="120"/>
        <w:jc w:val="both"/>
      </w:pPr>
      <w:r>
        <w:rPr>
          <w:b w:val="0"/>
          <w:i w:val="0"/>
          <w:sz w:val="22"/>
        </w:rPr>
        <w:t>Measured wall times: feature precomputation over 8,807 rows, 35.0 minutes; leakage audit over 55 shards, approximately 9 minutes; spatial-head training, 37 to 40 minutes per seed; global-head training, approximately 32 minutes per seed. Total compute approximately 21 hours. Repository: github.com/Amritha902/edit-region-prediction.</w:t>
      </w:r>
    </w:p>
    <w:p>
      <w:pPr>
        <w:jc w:val="center"/>
      </w:pPr>
      <w:r>
        <w:drawing>
          <wp:inline xmlns:a="http://schemas.openxmlformats.org/drawingml/2006/main" xmlns:pic="http://schemas.openxmlformats.org/drawingml/2006/picture">
            <wp:extent cx="5669280" cy="3645839"/>
            <wp:docPr id="5" name="Picture 5"/>
            <wp:cNvGraphicFramePr>
              <a:graphicFrameLocks noChangeAspect="1"/>
            </wp:cNvGraphicFramePr>
            <a:graphic>
              <a:graphicData uri="http://schemas.openxmlformats.org/drawingml/2006/picture">
                <pic:pic>
                  <pic:nvPicPr>
                    <pic:cNvPr id="0" name="run_evidence.png"/>
                    <pic:cNvPicPr/>
                  </pic:nvPicPr>
                  <pic:blipFill>
                    <a:blip r:embed="rId13"/>
                    <a:stretch>
                      <a:fillRect/>
                    </a:stretch>
                  </pic:blipFill>
                  <pic:spPr>
                    <a:xfrm>
                      <a:off x="0" y="0"/>
                      <a:ext cx="5669280" cy="3645839"/>
                    </a:xfrm>
                    <a:prstGeom prst="rect"/>
                  </pic:spPr>
                </pic:pic>
              </a:graphicData>
            </a:graphic>
          </wp:inline>
        </w:drawing>
      </w:r>
    </w:p>
    <w:p>
      <w:pPr>
        <w:spacing w:after="200"/>
        <w:jc w:val="left"/>
      </w:pPr>
      <w:r>
        <w:rPr>
          <w:i/>
          <w:color w:val="5A5852"/>
          <w:sz w:val="19"/>
        </w:rPr>
        <w:t>Figure 4. Output from the runs that produced this report, reproduced from the logs on the machine described above.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i w:val="0"/>
      <w:color w:val="1B1A1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i w:val="0"/>
      <w:color w:val="1B1A1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i w:val="0"/>
      <w:color w:val="1B1A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