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520"/>
        <w:jc w:val="center"/>
      </w:pPr>
      <w:r>
        <w:rPr>
          <w:b w:val="0"/>
          <w:i/>
          <w:color w:val="5A5852"/>
          <w:sz w:val="22"/>
        </w:rPr>
        <w:t>DA2 Submission</w:t>
      </w:r>
    </w:p>
    <w:p>
      <w:pPr>
        <w:spacing w:after="200"/>
        <w:jc w:val="center"/>
      </w:pPr>
      <w:r>
        <w:rPr>
          <w:rFonts w:ascii="Cambria" w:hAnsi="Cambria"/>
          <w:b/>
          <w:sz w:val="42"/>
        </w:rPr>
        <w:t>Disentangling Localization from Editing in Instruction-Guided Image Manipulation</w:t>
      </w:r>
    </w:p>
    <w:p>
      <w:pPr>
        <w:spacing w:after="800"/>
        <w:jc w:val="center"/>
      </w:pPr>
      <w:r>
        <w:rPr>
          <w:b w:val="0"/>
          <w:i/>
          <w:color w:val="5A5852"/>
          <w:sz w:val="25"/>
        </w:rPr>
        <w:t>Introduction · Literature Survey · Methodology</w:t>
      </w:r>
    </w:p>
    <w:p>
      <w:pPr>
        <w:spacing w:after="60"/>
        <w:jc w:val="center"/>
      </w:pPr>
      <w:r>
        <w:rPr>
          <w:b w:val="0"/>
          <w:i w:val="0"/>
          <w:sz w:val="24"/>
        </w:rPr>
        <w:t>Amritha S    23BEC1368</w:t>
      </w:r>
    </w:p>
    <w:p>
      <w:pPr>
        <w:spacing w:after="60"/>
        <w:jc w:val="center"/>
      </w:pPr>
      <w:r>
        <w:rPr>
          <w:b w:val="0"/>
          <w:i w:val="0"/>
          <w:sz w:val="24"/>
        </w:rPr>
        <w:t>Yugeshwaran P    23BEC1404</w:t>
      </w:r>
    </w:p>
    <w:p>
      <w:pPr>
        <w:spacing w:after="60"/>
        <w:jc w:val="center"/>
      </w:pPr>
      <w:r>
        <w:rPr>
          <w:b w:val="0"/>
          <w:i w:val="0"/>
          <w:sz w:val="12"/>
        </w:rPr>
      </w:r>
    </w:p>
    <w:p>
      <w:pPr>
        <w:spacing w:after="60"/>
        <w:jc w:val="center"/>
      </w:pPr>
      <w:r>
        <w:rPr>
          <w:b w:val="0"/>
          <w:i/>
          <w:sz w:val="22"/>
        </w:rPr>
        <w:t>Guide: Dr. Saranya M (54783)</w:t>
      </w:r>
    </w:p>
    <w:p>
      <w:pPr>
        <w:spacing w:after="60"/>
        <w:jc w:val="center"/>
      </w:pPr>
      <w:r>
        <w:rPr>
          <w:b w:val="0"/>
          <w:i/>
          <w:sz w:val="22"/>
        </w:rPr>
        <w:t>School of Electronics Engineering</w:t>
      </w:r>
    </w:p>
    <w:p>
      <w:pPr>
        <w:spacing w:after="60"/>
        <w:jc w:val="center"/>
      </w:pPr>
      <w:r>
        <w:rPr>
          <w:b w:val="0"/>
          <w:i/>
          <w:sz w:val="22"/>
        </w:rPr>
        <w:t>Vellore Institute of Technology, Chennai</w:t>
      </w:r>
    </w:p>
    <w:p>
      <w:pPr>
        <w:spacing w:after="60"/>
        <w:jc w:val="center"/>
      </w:pPr>
      <w:r>
        <w:rPr>
          <w:b w:val="0"/>
          <w:i w:val="0"/>
          <w:sz w:val="12"/>
        </w:rPr>
      </w:r>
    </w:p>
    <w:p>
      <w:pPr>
        <w:spacing w:after="60"/>
        <w:jc w:val="center"/>
      </w:pPr>
      <w:r>
        <w:rPr>
          <w:b w:val="0"/>
          <w:i w:val="0"/>
          <w:sz w:val="22"/>
        </w:rPr>
        <w:t>Foundations of Data Science — Review 1</w:t>
      </w:r>
    </w:p>
    <w:p>
      <w:pPr>
        <w:spacing w:after="60"/>
        <w:jc w:val="center"/>
      </w:pPr>
      <w:r>
        <w:rPr>
          <w:b w:val="0"/>
          <w:i w:val="0"/>
          <w:sz w:val="22"/>
        </w:rPr>
        <w:t>14 September 2026</w:t>
      </w:r>
    </w:p>
    <w:p>
      <w:r>
        <w:br w:type="page"/>
      </w:r>
    </w:p>
    <w:p>
      <w:pPr>
        <w:spacing w:after="80"/>
        <w:jc w:val="both"/>
      </w:pPr>
      <w:r>
        <w:rPr>
          <w:b/>
          <w:i w:val="0"/>
          <w:sz w:val="24"/>
        </w:rPr>
        <w:t>How to use this file</w:t>
      </w:r>
    </w:p>
    <w:p>
      <w:pPr>
        <w:spacing w:after="200"/>
        <w:jc w:val="both"/>
      </w:pPr>
      <w:r>
        <w:rPr>
          <w:b w:val="0"/>
          <w:i w:val="0"/>
          <w:sz w:val="21"/>
        </w:rPr>
        <w:t>Every red bracket is a place you write. The headings, the figures, the tables of measured numbers and the reference list are already here — those are facts and structure, not prose, and they are not what Turnitin flags. The sentences must be yours. Keep DA2_writing_notes.docx open beside this file: it has the facts for each section in bullet form.</w:t>
      </w:r>
    </w:p>
    <w:p>
      <w:pPr>
        <w:spacing w:after="120"/>
        <w:jc w:val="both"/>
      </w:pPr>
      <w:r>
        <w:rPr>
          <w:b w:val="0"/>
          <w:i/>
          <w:color w:val="5A5852"/>
          <w:sz w:val="21"/>
        </w:rPr>
        <w:t>Delete this page before submitting.</w:t>
      </w:r>
    </w:p>
    <w:p>
      <w:r>
        <w:br w:type="page"/>
      </w:r>
    </w:p>
    <w:p>
      <w:pPr>
        <w:pStyle w:val="Heading1"/>
      </w:pPr>
      <w:r>
        <w:t>1  Introduction</w:t>
      </w:r>
    </w:p>
    <w:p>
      <w:pPr>
        <w:pStyle w:val="Heading2"/>
      </w:pPr>
      <w:r>
        <w:t>1.1  Background</w:t>
      </w:r>
    </w:p>
    <w:p>
      <w:pPr>
        <w:spacing w:after="280"/>
      </w:pPr>
      <w:r>
        <w:rPr>
          <w:i/>
          <w:color w:val="B04020"/>
          <w:sz w:val="20"/>
        </w:rPr>
        <w:t>[ WRITE HERE — what instruction-guided editing is; that editors are told WHAT not WHERE; the two failure modes   ~150 words ]</w:t>
      </w:r>
    </w:p>
    <w:p>
      <w:pPr>
        <w:pStyle w:val="Heading2"/>
      </w:pPr>
      <w:r>
        <w:t>1.2  Motivation</w:t>
      </w:r>
    </w:p>
    <w:p>
      <w:pPr>
        <w:spacing w:after="280"/>
      </w:pPr>
      <w:r>
        <w:rPr>
          <w:i/>
          <w:color w:val="B04020"/>
          <w:sz w:val="20"/>
        </w:rPr>
        <w:t>[ WRITE HERE — the 'put a hat on the dog' case; why referring segmentation cannot solve it   ~150 words ]</w:t>
      </w:r>
    </w:p>
    <w:p>
      <w:pPr>
        <w:spacing w:after="60"/>
        <w:jc w:val="center"/>
      </w:pPr>
      <w:r>
        <w:rPr>
          <w:i/>
          <w:color w:val="B04020"/>
          <w:sz w:val="20"/>
        </w:rPr>
        <w:t>[ INSERT FIGURE 1 — see figures/ folder ]</w:t>
      </w:r>
    </w:p>
    <w:p>
      <w:pPr>
        <w:spacing w:after="280"/>
      </w:pPr>
      <w:r>
        <w:rPr>
          <w:i/>
          <w:color w:val="5A5852"/>
          <w:sz w:val="19"/>
        </w:rPr>
        <w:t>Figure 1. Failure of an off-the-shelf pipeline: FastSAM prototypes selected by CLIP similarity score 0 of 7 across modification, removal and insertion.</w:t>
      </w:r>
    </w:p>
    <w:p>
      <w:pPr>
        <w:pStyle w:val="Heading2"/>
      </w:pPr>
      <w:r>
        <w:t>1.3  Base paper and the identified gap</w:t>
      </w:r>
    </w:p>
    <w:p>
      <w:pPr>
        <w:spacing w:after="280"/>
      </w:pPr>
      <w:r>
        <w:rPr>
          <w:i/>
          <w:color w:val="B04020"/>
          <w:sz w:val="20"/>
        </w:rPr>
        <w:t>[ WRITE HERE — AdaptEdit, its scale, that it reports no mask IoU, and the limitation it states about itself   ~200 words ]</w:t>
      </w:r>
    </w:p>
    <w:p>
      <w:pPr>
        <w:spacing w:after="80"/>
        <w:jc w:val="both"/>
      </w:pPr>
      <w:r>
        <w:rPr>
          <w:b w:val="0"/>
          <w:i/>
          <w:color w:val="5A5852"/>
          <w:sz w:val="21"/>
        </w:rPr>
        <w:t>Quote to use verbatim, in quotation marks, with the citation — an attributed quote is not plagiarism:</w:t>
      </w:r>
    </w:p>
    <w:p>
      <w:pPr>
        <w:spacing w:after="240"/>
        <w:ind w:left="576"/>
      </w:pPr>
      <w:r>
        <w:rPr>
          <w:sz w:val="21"/>
        </w:rPr>
        <w:t>"Geometry-changing edits with no localized source region ('put a hat on the dog' where the dog has no hat): the GT mask covers the new content's location but there is no clean source signal to 'protect' outside it." — Cai et al., arXiv:2604.23763</w:t>
      </w:r>
    </w:p>
    <w:p>
      <w:pPr>
        <w:pStyle w:val="Heading2"/>
      </w:pPr>
      <w:r>
        <w:t>1.4  Objectives</w:t>
      </w:r>
    </w:p>
    <w:p>
      <w:pPr>
        <w:spacing w:after="280"/>
      </w:pPr>
      <w:r>
        <w:rPr>
          <w:i/>
          <w:color w:val="B04020"/>
          <w:sz w:val="20"/>
        </w:rPr>
        <w:t>[ WRITE HERE — six numbered objectives — the list is in the writing notes   ~150 words ]</w:t>
      </w:r>
    </w:p>
    <w:p>
      <w:r>
        <w:br w:type="page"/>
      </w:r>
    </w:p>
    <w:p>
      <w:pPr>
        <w:pStyle w:val="Heading1"/>
      </w:pPr>
      <w:r>
        <w:t>2  Literature Survey</w:t>
      </w:r>
    </w:p>
    <w:p>
      <w:pPr>
        <w:pStyle w:val="Heading2"/>
      </w:pPr>
      <w:r>
        <w:t>2.1  Scope and selection</w:t>
      </w:r>
    </w:p>
    <w:p>
      <w:pPr>
        <w:spacing w:after="280"/>
      </w:pPr>
      <w:r>
        <w:rPr>
          <w:i/>
          <w:color w:val="B04020"/>
          <w:sz w:val="20"/>
        </w:rPr>
        <w:t>[ WRITE HERE — how many works, the date window, how you scored relevance   ~120 words ]</w:t>
      </w:r>
    </w:p>
    <w:p>
      <w:pPr>
        <w:spacing w:after="60"/>
      </w:pPr>
      <w:r>
        <w:rPr>
          <w:i/>
          <w:color w:val="5A5852"/>
          <w:sz w:val="19"/>
        </w:rPr>
        <w:t>Table 1. Works surveyed by publication year.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4536"/>
        <w:gridCol w:w="4536"/>
      </w:tblGrid>
      <w:tr>
        <w:tc>
          <w:tcPr>
            <w:tcW w:type="dxa" w:w="2016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Year</w:t>
            </w:r>
          </w:p>
        </w:tc>
        <w:tc>
          <w:tcPr>
            <w:tcW w:type="dxa" w:w="1440"/>
            <w:tcBorders>
              <w:bottom w:val="single" w:sz="6" w:color="1B1A17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Works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2024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6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2025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20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2026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19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Total</w:t>
            </w:r>
          </w:p>
        </w:tc>
        <w:tc>
          <w:tcPr>
            <w:tcW w:type="dxa" w:w="144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45</w:t>
            </w:r>
          </w:p>
        </w:tc>
      </w:tr>
    </w:tbl>
    <w:p>
      <w:pPr>
        <w:spacing w:after="80"/>
      </w:pPr>
    </w:p>
    <w:p>
      <w:pPr>
        <w:pStyle w:val="Heading2"/>
      </w:pPr>
      <w:r>
        <w:t>2.2  Classification of the field</w:t>
      </w:r>
    </w:p>
    <w:p>
      <w:pPr>
        <w:spacing w:after="280"/>
      </w:pPr>
      <w:r>
        <w:rPr>
          <w:i/>
          <w:color w:val="B04020"/>
          <w:sz w:val="20"/>
        </w:rPr>
        <w:t>[ WRITE HERE — explain the four postures and why sorting this way is more revealing than by date   ~200 words ]</w:t>
      </w:r>
    </w:p>
    <w:p>
      <w:pPr>
        <w:spacing w:after="60"/>
      </w:pPr>
      <w:r>
        <w:rPr>
          <w:i/>
          <w:color w:val="5A5852"/>
          <w:sz w:val="19"/>
        </w:rPr>
        <w:t>Table 2. The 45 works by what each does with the edit region.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3024"/>
        <w:gridCol w:w="3024"/>
        <w:gridCol w:w="3024"/>
      </w:tblGrid>
      <w:tr>
        <w:tc>
          <w:tcPr>
            <w:tcW w:type="dxa" w:w="3744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Posture</w:t>
            </w:r>
          </w:p>
        </w:tc>
        <w:tc>
          <w:tcPr>
            <w:tcW w:type="dxa" w:w="1152"/>
            <w:tcBorders>
              <w:bottom w:val="single" w:sz="6" w:color="1B1A17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Works</w:t>
            </w:r>
          </w:p>
        </w:tc>
        <w:tc>
          <w:tcPr>
            <w:tcW w:type="dxa" w:w="3744"/>
            <w:tcBorders>
              <w:bottom w:val="single" w:sz="6" w:color="1B1A17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Representative work</w:t>
            </w:r>
          </w:p>
        </w:tc>
      </w:tr>
      <w:tr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Consumes a region supplied to it</w:t>
            </w:r>
          </w:p>
        </w:tc>
        <w:tc>
          <w:tcPr>
            <w:tcW w:type="dxa" w:w="1152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17</w:t>
            </w:r>
          </w:p>
        </w:tc>
        <w:tc>
          <w:tcPr>
            <w:tcW w:type="dxa" w:w="3744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NEP, MaskFlow, LazyDiffusion</w:t>
            </w:r>
          </w:p>
        </w:tc>
      </w:tr>
      <w:tr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Reads a region from model internals</w:t>
            </w:r>
          </w:p>
        </w:tc>
        <w:tc>
          <w:tcPr>
            <w:tcW w:type="dxa" w:w="1152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11</w:t>
            </w:r>
          </w:p>
        </w:tc>
        <w:tc>
          <w:tcPr>
            <w:tcW w:type="dxa" w:w="3744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WhereEdit, RegionE</w:t>
            </w:r>
          </w:p>
        </w:tc>
      </w:tr>
      <w:tr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Predicts a region from the instruction</w:t>
            </w:r>
          </w:p>
        </w:tc>
        <w:tc>
          <w:tcPr>
            <w:tcW w:type="dxa" w:w="1152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2</w:t>
            </w:r>
          </w:p>
        </w:tc>
        <w:tc>
          <w:tcPr>
            <w:tcW w:type="dxa" w:w="3744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AdaptEdit, MADiff</w:t>
            </w:r>
          </w:p>
        </w:tc>
      </w:tr>
      <w:tr>
        <w:tc>
          <w:tcPr>
            <w:tcW w:type="dxa" w:w="374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Scores or frames the problem</w:t>
            </w:r>
          </w:p>
        </w:tc>
        <w:tc>
          <w:tcPr>
            <w:tcW w:type="dxa" w:w="1152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15</w:t>
            </w:r>
          </w:p>
        </w:tc>
        <w:tc>
          <w:tcPr>
            <w:tcW w:type="dxa" w:w="3744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LocateEdit-Bench, surveys</w:t>
            </w:r>
          </w:p>
        </w:tc>
      </w:tr>
    </w:tbl>
    <w:p>
      <w:pPr>
        <w:spacing w:after="80"/>
      </w:pPr>
    </w:p>
    <w:p>
      <w:pPr>
        <w:pStyle w:val="Heading2"/>
      </w:pPr>
      <w:r>
        <w:t>2.3  Instruction editors — 9 works</w:t>
      </w:r>
    </w:p>
    <w:p>
      <w:pPr>
        <w:spacing w:after="280"/>
      </w:pPr>
      <w:r>
        <w:rPr>
          <w:i/>
          <w:color w:val="B04020"/>
          <w:sz w:val="20"/>
        </w:rPr>
        <w:t>[ WRITE HERE — summarise the cluster and name what it leaves undone   ~180 words ]</w:t>
      </w:r>
    </w:p>
    <w:p>
      <w:pPr>
        <w:pStyle w:val="Heading2"/>
      </w:pPr>
      <w:r>
        <w:t>2.4  Edit localization — 7 works</w:t>
      </w:r>
    </w:p>
    <w:p>
      <w:pPr>
        <w:spacing w:after="280"/>
      </w:pPr>
      <w:r>
        <w:rPr>
          <w:i/>
          <w:color w:val="B04020"/>
          <w:sz w:val="20"/>
        </w:rPr>
        <w:t>[ WRITE HERE — summarise the cluster and name what it leaves undone   ~200 words ]</w:t>
      </w:r>
    </w:p>
    <w:p>
      <w:pPr>
        <w:pStyle w:val="Heading2"/>
      </w:pPr>
      <w:r>
        <w:t>2.5  Insertion and affordance — 4 works</w:t>
      </w:r>
    </w:p>
    <w:p>
      <w:pPr>
        <w:spacing w:after="280"/>
      </w:pPr>
      <w:r>
        <w:rPr>
          <w:i/>
          <w:color w:val="B04020"/>
          <w:sz w:val="20"/>
        </w:rPr>
        <w:t>[ WRITE HERE — summarise the cluster and name what it leaves undone   ~160 words ]</w:t>
      </w:r>
    </w:p>
    <w:p>
      <w:pPr>
        <w:pStyle w:val="Heading2"/>
      </w:pPr>
      <w:r>
        <w:t>2.6  Region-aware efficiency — 3 works</w:t>
      </w:r>
    </w:p>
    <w:p>
      <w:pPr>
        <w:spacing w:after="280"/>
      </w:pPr>
      <w:r>
        <w:rPr>
          <w:i/>
          <w:color w:val="B04020"/>
          <w:sz w:val="20"/>
        </w:rPr>
        <w:t>[ WRITE HERE — summarise the cluster and name what it leaves undone   ~140 words ]</w:t>
      </w:r>
    </w:p>
    <w:p>
      <w:pPr>
        <w:pStyle w:val="Heading2"/>
      </w:pPr>
      <w:r>
        <w:t>2.7  Text-guided segmentation — 5 works</w:t>
      </w:r>
    </w:p>
    <w:p>
      <w:pPr>
        <w:spacing w:after="280"/>
      </w:pPr>
      <w:r>
        <w:rPr>
          <w:i/>
          <w:color w:val="B04020"/>
          <w:sz w:val="20"/>
        </w:rPr>
        <w:t>[ WRITE HERE — summarise the cluster and name what it leaves undone   ~160 words ]</w:t>
      </w:r>
    </w:p>
    <w:p>
      <w:pPr>
        <w:pStyle w:val="Heading2"/>
      </w:pPr>
      <w:r>
        <w:t>2.8  Benchmarks and metrics — 4 works</w:t>
      </w:r>
    </w:p>
    <w:p>
      <w:pPr>
        <w:spacing w:after="280"/>
      </w:pPr>
      <w:r>
        <w:rPr>
          <w:i/>
          <w:color w:val="B04020"/>
          <w:sz w:val="20"/>
        </w:rPr>
        <w:t>[ WRITE HERE — summarise the cluster and name what it leaves undone   ~140 words ]</w:t>
      </w:r>
    </w:p>
    <w:p>
      <w:pPr>
        <w:pStyle w:val="Heading2"/>
      </w:pPr>
      <w:r>
        <w:t>2.9  Planning, scene representations, surveys — 13 works</w:t>
      </w:r>
    </w:p>
    <w:p>
      <w:pPr>
        <w:spacing w:after="280"/>
      </w:pPr>
      <w:r>
        <w:rPr>
          <w:i/>
          <w:color w:val="B04020"/>
          <w:sz w:val="20"/>
        </w:rPr>
        <w:t>[ WRITE HERE — summarise the cluster and name what it leaves undone   ~160 words ]</w:t>
      </w:r>
    </w:p>
    <w:p>
      <w:pPr>
        <w:pStyle w:val="Heading2"/>
      </w:pPr>
      <w:r>
        <w:t>2.10  Identified research gaps</w:t>
      </w:r>
    </w:p>
    <w:p>
      <w:pPr>
        <w:spacing w:after="280"/>
      </w:pPr>
      <w:r>
        <w:rPr>
          <w:i/>
          <w:color w:val="B04020"/>
          <w:sz w:val="20"/>
        </w:rPr>
        <w:t>[ WRITE HERE — the four gaps, each with evidence from the literature AND your own measurement   ~300 words ]</w:t>
      </w:r>
    </w:p>
    <w:p>
      <w:pPr>
        <w:pStyle w:val="Heading2"/>
      </w:pPr>
      <w:r>
        <w:t>2.11  Position of this work</w:t>
      </w:r>
    </w:p>
    <w:p>
      <w:pPr>
        <w:spacing w:after="280"/>
      </w:pPr>
      <w:r>
        <w:rPr>
          <w:i/>
          <w:color w:val="B04020"/>
          <w:sz w:val="20"/>
        </w:rPr>
        <w:t>[ WRITE HERE — what is available to claim and what is not — say plainly that FiLM and BCE+Dice are shared   ~180 words ]</w:t>
      </w:r>
    </w:p>
    <w:p>
      <w:r>
        <w:br w:type="page"/>
      </w:r>
    </w:p>
    <w:p>
      <w:pPr>
        <w:pStyle w:val="Heading1"/>
      </w:pPr>
      <w:r>
        <w:t>3  Methodology</w:t>
      </w:r>
    </w:p>
    <w:p>
      <w:pPr>
        <w:pStyle w:val="Heading2"/>
      </w:pPr>
      <w:r>
        <w:t>3.1  Overview</w:t>
      </w:r>
    </w:p>
    <w:p>
      <w:pPr>
        <w:spacing w:after="280"/>
      </w:pPr>
      <w:r>
        <w:rPr>
          <w:i/>
          <w:color w:val="B04020"/>
          <w:sz w:val="20"/>
        </w:rPr>
        <w:t>[ WRITE HERE — the two stages, and what trains versus what is frozen   ~140 words ]</w:t>
      </w:r>
    </w:p>
    <w:p>
      <w:pPr>
        <w:spacing w:after="60"/>
        <w:jc w:val="center"/>
      </w:pPr>
      <w:r>
        <w:rPr>
          <w:i/>
          <w:color w:val="B04020"/>
          <w:sz w:val="20"/>
        </w:rPr>
        <w:t>[ INSERT FIGURE 2 — see figures/ folder ]</w:t>
      </w:r>
    </w:p>
    <w:p>
      <w:pPr>
        <w:spacing w:after="280"/>
      </w:pPr>
      <w:r>
        <w:rPr>
          <w:i/>
          <w:color w:val="5A5852"/>
          <w:sz w:val="19"/>
        </w:rPr>
        <w:t>Figure 2. System architecture. The frozen backbone runs once per image; the 4.69 M parameter head runs once per instruction.</w:t>
      </w:r>
    </w:p>
    <w:p>
      <w:pPr>
        <w:pStyle w:val="Heading2"/>
      </w:pPr>
      <w:r>
        <w:t>3.2  Frozen feature extraction</w:t>
      </w:r>
    </w:p>
    <w:p>
      <w:pPr>
        <w:spacing w:after="280"/>
      </w:pPr>
      <w:r>
        <w:rPr>
          <w:i/>
          <w:color w:val="B04020"/>
          <w:sz w:val="20"/>
        </w:rPr>
        <w:t>[ WRITE HERE — FastSAM prototypes, the context vector, the CLIP text embedding, and why prototypes are a basis   ~200 words ]</w:t>
      </w:r>
    </w:p>
    <w:p>
      <w:pPr>
        <w:pStyle w:val="Heading2"/>
      </w:pPr>
      <w:r>
        <w:t>3.3  Coefficient prediction</w:t>
      </w:r>
    </w:p>
    <w:p>
      <w:pPr>
        <w:spacing w:after="280"/>
      </w:pPr>
      <w:r>
        <w:rPr>
          <w:i/>
          <w:color w:val="B04020"/>
          <w:sz w:val="20"/>
        </w:rPr>
        <w:t>[ WRITE HERE — v1 global vector and v2 spatial field; why one vector is structurally limiting   ~250 words ]</w:t>
      </w:r>
    </w:p>
    <w:p>
      <w:pPr>
        <w:spacing w:after="60"/>
      </w:pPr>
      <w:r>
        <w:rPr>
          <w:i/>
          <w:color w:val="5A5852"/>
          <w:sz w:val="19"/>
        </w:rPr>
        <w:t>Table 3. The two heads.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3024"/>
        <w:gridCol w:w="3024"/>
        <w:gridCol w:w="3024"/>
      </w:tblGrid>
      <w:tr>
        <w:tc>
          <w:tcPr>
            <w:tcW w:type="dxa" w:w="1872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Head</w:t>
            </w:r>
          </w:p>
        </w:tc>
        <w:tc>
          <w:tcPr>
            <w:tcW w:type="dxa" w:w="2736"/>
            <w:tcBorders>
              <w:bottom w:val="single" w:sz="6" w:color="1B1A17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Trainable parameters</w:t>
            </w:r>
          </w:p>
        </w:tc>
        <w:tc>
          <w:tcPr>
            <w:tcW w:type="dxa" w:w="4896"/>
            <w:tcBorders>
              <w:bottom w:val="single" w:sz="6" w:color="1B1A17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Coefficients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v1 global</w:t>
            </w:r>
          </w:p>
        </w:tc>
        <w:tc>
          <w:tcPr>
            <w:tcW w:type="dxa" w:w="2736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1,399,073</w:t>
            </w:r>
          </w:p>
        </w:tc>
        <w:tc>
          <w:tcPr>
            <w:tcW w:type="dxa" w:w="4896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one 32-d vector per image-instruction pair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v2 spatial</w:t>
            </w:r>
          </w:p>
        </w:tc>
        <w:tc>
          <w:tcPr>
            <w:tcW w:type="dxa" w:w="2736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4,693,633</w:t>
            </w:r>
          </w:p>
        </w:tc>
        <w:tc>
          <w:tcPr>
            <w:tcW w:type="dxa" w:w="4896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a 20 x 20 field, upsampled to prototype resolution</w:t>
            </w:r>
          </w:p>
        </w:tc>
      </w:tr>
    </w:tbl>
    <w:p>
      <w:pPr>
        <w:spacing w:after="80"/>
      </w:pPr>
    </w:p>
    <w:p>
      <w:pPr>
        <w:pStyle w:val="Heading2"/>
      </w:pPr>
      <w:r>
        <w:t>3.4  Supervision</w:t>
      </w:r>
    </w:p>
    <w:p>
      <w:pPr>
        <w:spacing w:after="280"/>
      </w:pPr>
      <w:r>
        <w:rPr>
          <w:i/>
          <w:color w:val="B04020"/>
          <w:sz w:val="20"/>
        </w:rPr>
        <w:t>[ WRITE HERE — why the dataset masks are unusable, and how the target is derived instead   ~250 words ]</w:t>
      </w:r>
    </w:p>
    <w:p>
      <w:pPr>
        <w:spacing w:after="60"/>
      </w:pPr>
      <w:r>
        <w:rPr>
          <w:i/>
          <w:color w:val="5A5852"/>
          <w:sz w:val="19"/>
        </w:rPr>
        <w:t>Table 4. Supervision parameters.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3024"/>
        <w:gridCol w:w="3024"/>
        <w:gridCol w:w="3024"/>
      </w:tblGrid>
      <w:tr>
        <w:tc>
          <w:tcPr>
            <w:tcW w:type="dxa" w:w="2160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Parameter</w:t>
            </w:r>
          </w:p>
        </w:tc>
        <w:tc>
          <w:tcPr>
            <w:tcW w:type="dxa" w:w="2304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Value</w:t>
            </w:r>
          </w:p>
        </w:tc>
        <w:tc>
          <w:tcPr>
            <w:tcW w:type="dxa" w:w="5040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Reason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Colour metric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CIE76 in L*a*b*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perceptual, not raw RGB distance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Threshold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12.0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from a noise-robustness sweep; holds at sigma=8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Morphological kernel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5 x 5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open then close, to solidify speckled regions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Minimum component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40 px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dE is noisier per-pixel than grayscale differencing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Sample filter</w:t>
            </w:r>
          </w:p>
        </w:tc>
        <w:tc>
          <w:tcPr>
            <w:tcW w:type="dxa" w:w="2304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0.4% - 45%</w:t>
            </w:r>
          </w:p>
        </w:tc>
        <w:tc>
          <w:tcPr>
            <w:tcW w:type="dxa" w:w="5040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reject unlearnable edits and whole-frame restyles</w:t>
            </w:r>
          </w:p>
        </w:tc>
      </w:tr>
    </w:tbl>
    <w:p>
      <w:pPr>
        <w:spacing w:after="80"/>
      </w:pPr>
    </w:p>
    <w:p>
      <w:pPr>
        <w:pStyle w:val="Heading2"/>
      </w:pPr>
      <w:r>
        <w:t>3.5  Dataset and split integrity</w:t>
      </w:r>
    </w:p>
    <w:p>
      <w:pPr>
        <w:spacing w:after="280"/>
      </w:pPr>
      <w:r>
        <w:rPr>
          <w:i/>
          <w:color w:val="B04020"/>
          <w:sz w:val="20"/>
        </w:rPr>
        <w:t>[ WRITE HERE — MagicBrush, the counts, and why the image-level audit was necessary   ~200 words ]</w:t>
      </w:r>
    </w:p>
    <w:p>
      <w:pPr>
        <w:spacing w:after="60"/>
      </w:pPr>
      <w:r>
        <w:rPr>
          <w:i/>
          <w:color w:val="5A5852"/>
          <w:sz w:val="19"/>
        </w:rPr>
        <w:t>Table 5. Dataset after filtering, and the disjointness audit.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4536"/>
        <w:gridCol w:w="4536"/>
      </w:tblGrid>
      <w:tr>
        <w:tc>
          <w:tcPr>
            <w:tcW w:type="dxa" w:w="4608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Quantity</w:t>
            </w:r>
          </w:p>
        </w:tc>
        <w:tc>
          <w:tcPr>
            <w:tcW w:type="dxa" w:w="2880"/>
            <w:tcBorders>
              <w:bottom w:val="single" w:sz="6" w:color="1B1A17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Value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Training shards / rows / usable</w:t>
            </w:r>
          </w:p>
        </w:tc>
        <w:tc>
          <w:tcPr>
            <w:tcW w:type="dxa" w:w="288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51 / 8,807 / 8,306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Held-out dev turns</w:t>
            </w:r>
          </w:p>
        </w:tc>
        <w:tc>
          <w:tcPr>
            <w:tcW w:type="dxa" w:w="288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503 of 528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Distinct dev images</w:t>
            </w:r>
          </w:p>
        </w:tc>
        <w:tc>
          <w:tcPr>
            <w:tcW w:type="dxa" w:w="288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794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Distinct training images</w:t>
            </w:r>
          </w:p>
        </w:tc>
        <w:tc>
          <w:tcPr>
            <w:tcW w:type="dxa" w:w="288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13,317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Images present in both</w:t>
            </w:r>
          </w:p>
        </w:tc>
        <w:tc>
          <w:tcPr>
            <w:tcW w:type="dxa" w:w="288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t>3.6  Training protocol</w:t>
      </w:r>
    </w:p>
    <w:p>
      <w:pPr>
        <w:spacing w:after="280"/>
      </w:pPr>
      <w:r>
        <w:rPr>
          <w:i/>
          <w:color w:val="B04020"/>
          <w:sz w:val="20"/>
        </w:rPr>
        <w:t>[ WRITE HERE — selection on train-val, dev touched once, 12 seeds, and why each matters   ~200 words ]</w:t>
      </w:r>
    </w:p>
    <w:p>
      <w:pPr>
        <w:spacing w:after="60"/>
      </w:pPr>
      <w:r>
        <w:rPr>
          <w:i/>
          <w:color w:val="5A5852"/>
          <w:sz w:val="19"/>
        </w:rPr>
        <w:t>Table 6. Training configuration.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B1A17"/>
          <w:bottom w:val="single" w:sz="12" w:color="1B1A17"/>
          <w:left w:val="none"/>
          <w:right w:val="none"/>
          <w:insideV w:val="none"/>
          <w:insideH w:val="none"/>
        </w:tblBorders>
      </w:tblPr>
      <w:tblGrid>
        <w:gridCol w:w="4536"/>
        <w:gridCol w:w="4536"/>
      </w:tblGrid>
      <w:tr>
        <w:tc>
          <w:tcPr>
            <w:tcW w:type="dxa" w:w="3168"/>
            <w:tcBorders>
              <w:bottom w:val="single" w:sz="6" w:color="1B1A17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/>
                <w:sz w:val="19"/>
              </w:rPr>
              <w:t>Parameter</w:t>
            </w:r>
          </w:p>
        </w:tc>
        <w:tc>
          <w:tcPr>
            <w:tcW w:type="dxa" w:w="4320"/>
            <w:tcBorders>
              <w:bottom w:val="single" w:sz="6" w:color="1B1A17"/>
            </w:tcBorders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Optimiser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AdamW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Learning rate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 x 10^-3, cosine to zero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Weight decay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0.01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Batch size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32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Epochs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60, best selected on a train-val slice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Loss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BCE + 2 x Dice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Gradient clipping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norm 1.0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Seeds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12 (1368, 1-11)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  <w:jc w:val="left"/>
            </w:pPr>
            <w:r/>
            <w:r>
              <w:rPr>
                <w:rFonts w:ascii="Cambria" w:hAnsi="Cambria"/>
                <w:b w:val="0"/>
                <w:sz w:val="19"/>
              </w:rPr>
              <w:t>Decision threshold</w:t>
            </w:r>
          </w:p>
        </w:tc>
        <w:tc>
          <w:tcPr>
            <w:tcW w:type="dxa" w:w="4320"/>
          </w:tcPr>
          <w:p>
            <w:pPr>
              <w:spacing w:before="40" w:after="40"/>
              <w:jc w:val="right"/>
            </w:pPr>
            <w:r/>
            <w:r>
              <w:rPr>
                <w:rFonts w:ascii="Cambria" w:hAnsi="Cambria"/>
                <w:b w:val="0"/>
                <w:sz w:val="19"/>
              </w:rPr>
              <w:t>0.5</w:t>
            </w:r>
          </w:p>
        </w:tc>
      </w:tr>
    </w:tbl>
    <w:p>
      <w:pPr>
        <w:spacing w:after="80"/>
      </w:pPr>
    </w:p>
    <w:p>
      <w:pPr>
        <w:pStyle w:val="Heading2"/>
      </w:pPr>
      <w:r>
        <w:t>3.7  Evaluation</w:t>
      </w:r>
    </w:p>
    <w:p>
      <w:pPr>
        <w:spacing w:after="280"/>
      </w:pPr>
      <w:r>
        <w:rPr>
          <w:i/>
          <w:color w:val="B04020"/>
          <w:sz w:val="20"/>
        </w:rPr>
        <w:t>[ WRITE HERE — the metrics, the statistical tests, and the least-squares ceiling method   ~200 words ]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spacing w:after="200"/>
        <w:jc w:val="both"/>
      </w:pPr>
      <w:r>
        <w:rPr>
          <w:b w:val="0"/>
          <w:i/>
          <w:color w:val="5A5852"/>
          <w:sz w:val="20"/>
        </w:rPr>
        <w:t>45 works, most recent first. Cite in text as [n].</w:t>
      </w:r>
    </w:p>
    <w:p>
      <w:pPr>
        <w:spacing w:after="60"/>
        <w:ind w:left="504" w:hanging="504"/>
      </w:pPr>
      <w:r>
        <w:rPr>
          <w:sz w:val="19"/>
        </w:rPr>
        <w:t xml:space="preserve">[1]  </w:t>
      </w:r>
      <w:hyperlink r:id="rId9">
        <w:r>
          <w:rPr>
            <w:color w:val="1155CC"/>
            <w:u w:val="single"/>
            <w:sz w:val="19"/>
            <w:rFonts w:ascii="Cambria" w:hAnsi="Cambria"/>
          </w:rPr>
          <w:t xml:space="preserve">*** AdaptEdit / Edit Where You Mean *** [BASE PAPER]</w:t>
        </w:r>
      </w:hyperlink>
      <w:r>
        <w:rPr>
          <w:sz w:val="19"/>
        </w:rPr>
        <w:t>. arXiv, 2026. arXiv:2604.23763.</w:t>
      </w:r>
    </w:p>
    <w:p>
      <w:pPr>
        <w:spacing w:after="60"/>
        <w:ind w:left="504" w:hanging="504"/>
      </w:pPr>
      <w:r>
        <w:rPr>
          <w:sz w:val="19"/>
        </w:rPr>
        <w:t xml:space="preserve">[2]  </w:t>
      </w:r>
      <w:hyperlink r:id="rId10">
        <w:r>
          <w:rPr>
            <w:color w:val="1155CC"/>
            <w:u w:val="single"/>
            <w:sz w:val="19"/>
            <w:rFonts w:ascii="Cambria" w:hAnsi="Cambria"/>
          </w:rPr>
          <w:t xml:space="preserve">AnchorSeg: Language Grounded Query Banks</w:t>
        </w:r>
      </w:hyperlink>
      <w:r>
        <w:rPr>
          <w:sz w:val="19"/>
        </w:rPr>
        <w:t>. arXiv, 2026. arXiv:2604.18562.</w:t>
      </w:r>
    </w:p>
    <w:p>
      <w:pPr>
        <w:spacing w:after="60"/>
        <w:ind w:left="504" w:hanging="504"/>
      </w:pPr>
      <w:r>
        <w:rPr>
          <w:sz w:val="19"/>
        </w:rPr>
        <w:t xml:space="preserve">[3]  </w:t>
      </w:r>
      <w:hyperlink r:id="rId11">
        <w:r>
          <w:rPr>
            <w:color w:val="1155CC"/>
            <w:u w:val="single"/>
            <w:sz w:val="19"/>
            <w:rFonts w:ascii="Cambria" w:hAnsi="Cambria"/>
          </w:rPr>
          <w:t xml:space="preserve">DGSeg: Dynamic Gating of Semantic-Spatial Predictions</w:t>
        </w:r>
      </w:hyperlink>
      <w:r>
        <w:rPr>
          <w:sz w:val="19"/>
        </w:rPr>
        <w:t>. arXiv, 2026. arXiv:2607.04779.</w:t>
      </w:r>
    </w:p>
    <w:p>
      <w:pPr>
        <w:spacing w:after="60"/>
        <w:ind w:left="504" w:hanging="504"/>
      </w:pPr>
      <w:r>
        <w:rPr>
          <w:sz w:val="19"/>
        </w:rPr>
        <w:t xml:space="preserve">[4]  </w:t>
      </w:r>
      <w:hyperlink r:id="rId12">
        <w:r>
          <w:rPr>
            <w:color w:val="1155CC"/>
            <w:u w:val="single"/>
            <w:sz w:val="19"/>
            <w:rFonts w:ascii="Cambria" w:hAnsi="Cambria"/>
          </w:rPr>
          <w:t xml:space="preserve">EditMGT: Masked Generative Transformer Is What You Need</w:t>
        </w:r>
      </w:hyperlink>
      <w:r>
        <w:rPr>
          <w:sz w:val="19"/>
        </w:rPr>
        <w:t>. arXiv, 2026. arXiv:2605.10859.</w:t>
      </w:r>
    </w:p>
    <w:p>
      <w:pPr>
        <w:spacing w:after="60"/>
        <w:ind w:left="504" w:hanging="504"/>
      </w:pPr>
      <w:r>
        <w:rPr>
          <w:sz w:val="19"/>
        </w:rPr>
        <w:t xml:space="preserve">[5]  </w:t>
      </w:r>
      <w:hyperlink r:id="rId13">
        <w:r>
          <w:rPr>
            <w:color w:val="1155CC"/>
            <w:u w:val="single"/>
            <w:sz w:val="19"/>
            <w:rFonts w:ascii="Cambria" w:hAnsi="Cambria"/>
          </w:rPr>
          <w:t xml:space="preserve">EditSSC: Editable Semantic Occupancy</w:t>
        </w:r>
      </w:hyperlink>
      <w:r>
        <w:rPr>
          <w:sz w:val="19"/>
        </w:rPr>
        <w:t>. arXiv, 2026. arXiv:2606.09273.</w:t>
      </w:r>
    </w:p>
    <w:p>
      <w:pPr>
        <w:spacing w:after="60"/>
        <w:ind w:left="504" w:hanging="504"/>
      </w:pPr>
      <w:r>
        <w:rPr>
          <w:sz w:val="19"/>
        </w:rPr>
        <w:t xml:space="preserve">[6]  </w:t>
      </w:r>
      <w:r>
        <w:rPr>
          <w:sz w:val="19"/>
        </w:rPr>
        <w:t>Follow-Your-Shape: Trajectory-Guided Region Control</w:t>
      </w:r>
      <w:r>
        <w:rPr>
          <w:sz w:val="19"/>
        </w:rPr>
        <w:t>. ICLR 2026, 2026.</w:t>
      </w:r>
    </w:p>
    <w:p>
      <w:pPr>
        <w:spacing w:after="60"/>
        <w:ind w:left="504" w:hanging="504"/>
      </w:pPr>
      <w:r>
        <w:rPr>
          <w:sz w:val="19"/>
        </w:rPr>
        <w:t xml:space="preserve">[7]  </w:t>
      </w:r>
      <w:hyperlink r:id="rId14">
        <w:r>
          <w:rPr>
            <w:color w:val="1155CC"/>
            <w:u w:val="single"/>
            <w:sz w:val="19"/>
            <w:rFonts w:ascii="Cambria" w:hAnsi="Cambria"/>
          </w:rPr>
          <w:t xml:space="preserve">GIDE: Unlocking Diffusion LLMs for Precise Training-Free Editing</w:t>
        </w:r>
      </w:hyperlink>
      <w:r>
        <w:rPr>
          <w:sz w:val="19"/>
        </w:rPr>
        <w:t>. arXiv, 2026. arXiv:2603.21176.</w:t>
      </w:r>
    </w:p>
    <w:p>
      <w:pPr>
        <w:spacing w:after="60"/>
        <w:ind w:left="504" w:hanging="504"/>
      </w:pPr>
      <w:r>
        <w:rPr>
          <w:sz w:val="19"/>
        </w:rPr>
        <w:t xml:space="preserve">[8]  </w:t>
      </w:r>
      <w:hyperlink r:id="rId15">
        <w:r>
          <w:rPr>
            <w:color w:val="1155CC"/>
            <w:u w:val="single"/>
            <w:sz w:val="19"/>
            <w:rFonts w:ascii="Cambria" w:hAnsi="Cambria"/>
          </w:rPr>
          <w:t xml:space="preserve">I2E: From Image Pixels to Interactive Environments</w:t>
        </w:r>
      </w:hyperlink>
      <w:r>
        <w:rPr>
          <w:sz w:val="19"/>
        </w:rPr>
        <w:t>. arXiv, 2026. arXiv:2601.03741.</w:t>
      </w:r>
    </w:p>
    <w:p>
      <w:pPr>
        <w:spacing w:after="60"/>
        <w:ind w:left="504" w:hanging="504"/>
      </w:pPr>
      <w:r>
        <w:rPr>
          <w:sz w:val="19"/>
        </w:rPr>
        <w:t xml:space="preserve">[9]  </w:t>
      </w:r>
      <w:hyperlink r:id="rId16">
        <w:r>
          <w:rPr>
            <w:color w:val="1155CC"/>
            <w:u w:val="single"/>
            <w:sz w:val="19"/>
            <w:rFonts w:ascii="Cambria" w:hAnsi="Cambria"/>
          </w:rPr>
          <w:t xml:space="preserve">Instruction-based Image Editing: A Survey</w:t>
        </w:r>
      </w:hyperlink>
      <w:r>
        <w:rPr>
          <w:sz w:val="19"/>
        </w:rPr>
        <w:t>. arXiv, 2026. arXiv:2607.25642.</w:t>
      </w:r>
    </w:p>
    <w:p>
      <w:pPr>
        <w:spacing w:after="60"/>
        <w:ind w:left="504" w:hanging="504"/>
      </w:pPr>
      <w:r>
        <w:rPr>
          <w:sz w:val="19"/>
        </w:rPr>
        <w:t xml:space="preserve">[10]  </w:t>
      </w:r>
      <w:hyperlink r:id="rId17">
        <w:r>
          <w:rPr>
            <w:color w:val="1155CC"/>
            <w:u w:val="single"/>
            <w:sz w:val="19"/>
            <w:rFonts w:ascii="Cambria" w:hAnsi="Cambria"/>
          </w:rPr>
          <w:t xml:space="preserve">LocateEdit-Bench: Benchmark for Editing Localization</w:t>
        </w:r>
      </w:hyperlink>
      <w:r>
        <w:rPr>
          <w:sz w:val="19"/>
        </w:rPr>
        <w:t>. arXiv, 2026. arXiv:2602.05577.</w:t>
      </w:r>
    </w:p>
    <w:p>
      <w:pPr>
        <w:spacing w:after="60"/>
        <w:ind w:left="504" w:hanging="504"/>
      </w:pPr>
      <w:r>
        <w:rPr>
          <w:sz w:val="19"/>
        </w:rPr>
        <w:t xml:space="preserve">[11]  </w:t>
      </w:r>
      <w:hyperlink r:id="rId18">
        <w:r>
          <w:rPr>
            <w:color w:val="1155CC"/>
            <w:u w:val="single"/>
            <w:sz w:val="19"/>
            <w:rFonts w:ascii="Cambria" w:hAnsi="Cambria"/>
          </w:rPr>
          <w:t xml:space="preserve">MUSE: Agentic 3D Scene Authoring via Memory</w:t>
        </w:r>
      </w:hyperlink>
      <w:r>
        <w:rPr>
          <w:sz w:val="19"/>
        </w:rPr>
        <w:t>. arXiv, 2026. arXiv:2606.14168.</w:t>
      </w:r>
    </w:p>
    <w:p>
      <w:pPr>
        <w:spacing w:after="60"/>
        <w:ind w:left="504" w:hanging="504"/>
      </w:pPr>
      <w:r>
        <w:rPr>
          <w:sz w:val="19"/>
        </w:rPr>
        <w:t xml:space="preserve">[12]  </w:t>
      </w:r>
      <w:hyperlink r:id="rId19">
        <w:r>
          <w:rPr>
            <w:color w:val="1155CC"/>
            <w:u w:val="single"/>
            <w:sz w:val="19"/>
            <w:rFonts w:ascii="Cambria" w:hAnsi="Cambria"/>
          </w:rPr>
          <w:t xml:space="preserve">MaskFlow: Precise, Consistent and Seamless Regional Editing</w:t>
        </w:r>
      </w:hyperlink>
      <w:r>
        <w:rPr>
          <w:sz w:val="19"/>
        </w:rPr>
        <w:t>. arXiv, 2026. arXiv:2608.06929.</w:t>
      </w:r>
    </w:p>
    <w:p>
      <w:pPr>
        <w:spacing w:after="60"/>
        <w:ind w:left="504" w:hanging="504"/>
      </w:pPr>
      <w:r>
        <w:rPr>
          <w:sz w:val="19"/>
        </w:rPr>
        <w:t xml:space="preserve">[13]  </w:t>
      </w:r>
      <w:hyperlink r:id="rId20">
        <w:r>
          <w:rPr>
            <w:color w:val="1155CC"/>
            <w:u w:val="single"/>
            <w:sz w:val="19"/>
            <w:rFonts w:ascii="Cambria" w:hAnsi="Cambria"/>
          </w:rPr>
          <w:t xml:space="preserve">Qwen-Image-Edit (2509 / 2511 / 2.0)</w:t>
        </w:r>
      </w:hyperlink>
      <w:r>
        <w:rPr>
          <w:sz w:val="19"/>
        </w:rPr>
        <w:t>. Alibaba release, 2026.</w:t>
      </w:r>
    </w:p>
    <w:p>
      <w:pPr>
        <w:spacing w:after="60"/>
        <w:ind w:left="504" w:hanging="504"/>
      </w:pPr>
      <w:r>
        <w:rPr>
          <w:sz w:val="19"/>
        </w:rPr>
        <w:t xml:space="preserve">[14]  </w:t>
      </w:r>
      <w:r>
        <w:rPr>
          <w:sz w:val="19"/>
        </w:rPr>
        <w:t>RePlan: Reasoning-Guided Region Planning</w:t>
      </w:r>
      <w:r>
        <w:rPr>
          <w:sz w:val="19"/>
        </w:rPr>
        <w:t>. ECCV 2026, 2026.</w:t>
      </w:r>
    </w:p>
    <w:p>
      <w:pPr>
        <w:spacing w:after="60"/>
        <w:ind w:left="504" w:hanging="504"/>
      </w:pPr>
      <w:r>
        <w:rPr>
          <w:sz w:val="19"/>
        </w:rPr>
        <w:t xml:space="preserve">[15]  </w:t>
      </w:r>
      <w:hyperlink r:id="rId21">
        <w:r>
          <w:rPr>
            <w:color w:val="1155CC"/>
            <w:u w:val="single"/>
            <w:sz w:val="19"/>
            <w:rFonts w:ascii="Cambria" w:hAnsi="Cambria"/>
          </w:rPr>
          <w:t xml:space="preserve">RegionE: Adaptive Region-Aware Generation</w:t>
        </w:r>
      </w:hyperlink>
      <w:r>
        <w:rPr>
          <w:sz w:val="19"/>
        </w:rPr>
        <w:t>. ICLR 2026, 2026. arXiv:2510.25590.</w:t>
      </w:r>
    </w:p>
    <w:p>
      <w:pPr>
        <w:spacing w:after="60"/>
        <w:ind w:left="504" w:hanging="504"/>
      </w:pPr>
      <w:r>
        <w:rPr>
          <w:sz w:val="19"/>
        </w:rPr>
        <w:t xml:space="preserve">[16]  </w:t>
      </w:r>
      <w:hyperlink r:id="rId22">
        <w:r>
          <w:rPr>
            <w:color w:val="1155CC"/>
            <w:u w:val="single"/>
            <w:sz w:val="19"/>
            <w:rFonts w:ascii="Cambria" w:hAnsi="Cambria"/>
          </w:rPr>
          <w:t xml:space="preserve">Rethinking Where to Edit: Task-Aware Localization</w:t>
        </w:r>
      </w:hyperlink>
      <w:r>
        <w:rPr>
          <w:sz w:val="19"/>
        </w:rPr>
        <w:t>. arXiv, 2026. arXiv:2604.20258.</w:t>
      </w:r>
    </w:p>
    <w:p>
      <w:pPr>
        <w:spacing w:after="60"/>
        <w:ind w:left="504" w:hanging="504"/>
      </w:pPr>
      <w:r>
        <w:rPr>
          <w:sz w:val="19"/>
        </w:rPr>
        <w:t xml:space="preserve">[17]  </w:t>
      </w:r>
      <w:hyperlink r:id="rId23">
        <w:r>
          <w:rPr>
            <w:color w:val="1155CC"/>
            <w:u w:val="single"/>
            <w:sz w:val="19"/>
            <w:rFonts w:ascii="Cambria" w:hAnsi="Cambria"/>
          </w:rPr>
          <w:t xml:space="preserve">SetCon: Open-Ended Referring Segmentation</w:t>
        </w:r>
      </w:hyperlink>
      <w:r>
        <w:rPr>
          <w:sz w:val="19"/>
        </w:rPr>
        <w:t>. arXiv, 2026. arXiv:2605.20110.</w:t>
      </w:r>
    </w:p>
    <w:p>
      <w:pPr>
        <w:spacing w:after="60"/>
        <w:ind w:left="504" w:hanging="504"/>
      </w:pPr>
      <w:r>
        <w:rPr>
          <w:sz w:val="19"/>
        </w:rPr>
        <w:t xml:space="preserve">[18]  </w:t>
      </w:r>
      <w:hyperlink r:id="rId24">
        <w:r>
          <w:rPr>
            <w:color w:val="1155CC"/>
            <w:u w:val="single"/>
            <w:sz w:val="19"/>
            <w:rFonts w:ascii="Cambria" w:hAnsi="Cambria"/>
          </w:rPr>
          <w:t xml:space="preserve">VespaSeg: Resource-Aware Ground-then-Segment RES</w:t>
        </w:r>
      </w:hyperlink>
      <w:r>
        <w:rPr>
          <w:sz w:val="19"/>
        </w:rPr>
        <w:t>. arXiv, 2026. arXiv:2608.01077.</w:t>
      </w:r>
    </w:p>
    <w:p>
      <w:pPr>
        <w:spacing w:after="60"/>
        <w:ind w:left="504" w:hanging="504"/>
      </w:pPr>
      <w:r>
        <w:rPr>
          <w:sz w:val="19"/>
        </w:rPr>
        <w:t xml:space="preserve">[19]  </w:t>
      </w:r>
      <w:hyperlink r:id="rId25">
        <w:r>
          <w:rPr>
            <w:color w:val="1155CC"/>
            <w:u w:val="single"/>
            <w:sz w:val="19"/>
            <w:rFonts w:ascii="Cambria" w:hAnsi="Cambria"/>
          </w:rPr>
          <w:t xml:space="preserve">WhereEdit: Mask-aware Local Latent Editing for One-Step Editing</w:t>
        </w:r>
      </w:hyperlink>
      <w:r>
        <w:rPr>
          <w:sz w:val="19"/>
        </w:rPr>
        <w:t>. arXiv, 2026. arXiv:2607.20883.</w:t>
      </w:r>
    </w:p>
    <w:p>
      <w:pPr>
        <w:spacing w:after="60"/>
        <w:ind w:left="504" w:hanging="504"/>
      </w:pPr>
      <w:r>
        <w:rPr>
          <w:sz w:val="19"/>
        </w:rPr>
        <w:t xml:space="preserve">[20]  </w:t>
      </w:r>
      <w:hyperlink r:id="rId26">
        <w:r>
          <w:rPr>
            <w:color w:val="1155CC"/>
            <w:u w:val="single"/>
            <w:sz w:val="19"/>
            <w:rFonts w:ascii="Cambria" w:hAnsi="Cambria"/>
          </w:rPr>
          <w:t xml:space="preserve">Balancing Preservation and Modification: Region+Semantic Metric</w:t>
        </w:r>
      </w:hyperlink>
      <w:r>
        <w:rPr>
          <w:sz w:val="19"/>
        </w:rPr>
        <w:t>. arXiv, 2025. arXiv:2506.13827.</w:t>
      </w:r>
    </w:p>
    <w:p>
      <w:pPr>
        <w:spacing w:after="60"/>
        <w:ind w:left="504" w:hanging="504"/>
      </w:pPr>
      <w:r>
        <w:rPr>
          <w:sz w:val="19"/>
        </w:rPr>
        <w:t xml:space="preserve">[21]  </w:t>
      </w:r>
      <w:hyperlink r:id="rId27">
        <w:r>
          <w:rPr>
            <w:color w:val="1155CC"/>
            <w:u w:val="single"/>
            <w:sz w:val="19"/>
            <w:rFonts w:ascii="Cambria" w:hAnsi="Cambria"/>
          </w:rPr>
          <w:t xml:space="preserve">CannyEdit: Selective Canny Control and Dual-Prompt Guidance</w:t>
        </w:r>
      </w:hyperlink>
      <w:r>
        <w:rPr>
          <w:sz w:val="19"/>
        </w:rPr>
        <w:t>. arXiv, 2025. arXiv:2508.06937.</w:t>
      </w:r>
    </w:p>
    <w:p>
      <w:pPr>
        <w:spacing w:after="60"/>
        <w:ind w:left="504" w:hanging="504"/>
      </w:pPr>
      <w:r>
        <w:rPr>
          <w:sz w:val="19"/>
        </w:rPr>
        <w:t xml:space="preserve">[22]  </w:t>
      </w:r>
      <w:hyperlink r:id="rId28">
        <w:r>
          <w:rPr>
            <w:color w:val="1155CC"/>
            <w:u w:val="single"/>
            <w:sz w:val="19"/>
            <w:rFonts w:ascii="Cambria" w:hAnsi="Cambria"/>
          </w:rPr>
          <w:t xml:space="preserve">Counterfactual Segmentation Reasoning</w:t>
        </w:r>
      </w:hyperlink>
      <w:r>
        <w:rPr>
          <w:sz w:val="19"/>
        </w:rPr>
        <w:t>. arXiv, 2025. arXiv:2506.21546.</w:t>
      </w:r>
    </w:p>
    <w:p>
      <w:pPr>
        <w:spacing w:after="60"/>
        <w:ind w:left="504" w:hanging="504"/>
      </w:pPr>
      <w:r>
        <w:rPr>
          <w:sz w:val="19"/>
        </w:rPr>
        <w:t xml:space="preserve">[23]  </w:t>
      </w:r>
      <w:hyperlink r:id="rId29">
        <w:r>
          <w:rPr>
            <w:color w:val="1155CC"/>
            <w:u w:val="single"/>
            <w:sz w:val="19"/>
            <w:rFonts w:ascii="Cambria" w:hAnsi="Cambria"/>
          </w:rPr>
          <w:t xml:space="preserve">FLUX.1 Kontext [dev] / FLUX.2</w:t>
        </w:r>
      </w:hyperlink>
      <w:r>
        <w:rPr>
          <w:sz w:val="19"/>
        </w:rPr>
        <w:t>. Black Forest Labs, 2025.</w:t>
      </w:r>
    </w:p>
    <w:p>
      <w:pPr>
        <w:spacing w:after="60"/>
        <w:ind w:left="504" w:hanging="504"/>
      </w:pPr>
      <w:r>
        <w:rPr>
          <w:sz w:val="19"/>
        </w:rPr>
        <w:t xml:space="preserve">[24]  </w:t>
      </w:r>
      <w:hyperlink r:id="rId30">
        <w:r>
          <w:rPr>
            <w:color w:val="1155CC"/>
            <w:u w:val="single"/>
            <w:sz w:val="19"/>
            <w:rFonts w:ascii="Cambria" w:hAnsi="Cambria"/>
          </w:rPr>
          <w:t xml:space="preserve">Free-Form Scene Editor: Multi-Round Object Manipulation</w:t>
        </w:r>
      </w:hyperlink>
      <w:r>
        <w:rPr>
          <w:sz w:val="19"/>
        </w:rPr>
        <w:t>. arXiv, 2025. arXiv:2511.13713.</w:t>
      </w:r>
    </w:p>
    <w:p>
      <w:pPr>
        <w:spacing w:after="60"/>
        <w:ind w:left="504" w:hanging="504"/>
      </w:pPr>
      <w:r>
        <w:rPr>
          <w:sz w:val="19"/>
        </w:rPr>
        <w:t xml:space="preserve">[25]  </w:t>
      </w:r>
      <w:hyperlink r:id="rId31">
        <w:r>
          <w:rPr>
            <w:color w:val="1155CC"/>
            <w:u w:val="single"/>
            <w:sz w:val="19"/>
            <w:rFonts w:ascii="Cambria" w:hAnsi="Cambria"/>
          </w:rPr>
          <w:t xml:space="preserve">GEdit-Bench (via Step1X-Edit)</w:t>
        </w:r>
      </w:hyperlink>
      <w:r>
        <w:rPr>
          <w:sz w:val="19"/>
        </w:rPr>
        <w:t>. benchmark, 2025. arXiv:2504.17761.</w:t>
      </w:r>
    </w:p>
    <w:p>
      <w:pPr>
        <w:spacing w:after="60"/>
        <w:ind w:left="504" w:hanging="504"/>
      </w:pPr>
      <w:r>
        <w:rPr>
          <w:sz w:val="19"/>
        </w:rPr>
        <w:t xml:space="preserve">[26]  </w:t>
      </w:r>
      <w:hyperlink r:id="rId32">
        <w:r>
          <w:rPr>
            <w:color w:val="1155CC"/>
            <w:u w:val="single"/>
            <w:sz w:val="19"/>
            <w:rFonts w:ascii="Cambria" w:hAnsi="Cambria"/>
          </w:rPr>
          <w:t xml:space="preserve">Image Editing As Programs</w:t>
        </w:r>
      </w:hyperlink>
      <w:r>
        <w:rPr>
          <w:sz w:val="19"/>
        </w:rPr>
        <w:t>. arXiv, 2025. arXiv:2506.04158.</w:t>
      </w:r>
    </w:p>
    <w:p>
      <w:pPr>
        <w:spacing w:after="60"/>
        <w:ind w:left="504" w:hanging="504"/>
      </w:pPr>
      <w:r>
        <w:rPr>
          <w:sz w:val="19"/>
        </w:rPr>
        <w:t xml:space="preserve">[27]  </w:t>
      </w:r>
      <w:hyperlink r:id="rId33">
        <w:r>
          <w:rPr>
            <w:color w:val="1155CC"/>
            <w:u w:val="single"/>
            <w:sz w:val="19"/>
            <w:rFonts w:ascii="Cambria" w:hAnsi="Cambria"/>
          </w:rPr>
          <w:t xml:space="preserve">Layer-wise Memory for Sequential Editing</w:t>
        </w:r>
      </w:hyperlink>
      <w:r>
        <w:rPr>
          <w:sz w:val="19"/>
        </w:rPr>
        <w:t>. arXiv, 2025. arXiv:2505.01079.</w:t>
      </w:r>
    </w:p>
    <w:p>
      <w:pPr>
        <w:spacing w:after="60"/>
        <w:ind w:left="504" w:hanging="504"/>
      </w:pPr>
      <w:r>
        <w:rPr>
          <w:sz w:val="19"/>
        </w:rPr>
        <w:t xml:space="preserve">[28]  </w:t>
      </w:r>
      <w:hyperlink r:id="rId34">
        <w:r>
          <w:rPr>
            <w:color w:val="1155CC"/>
            <w:u w:val="single"/>
            <w:sz w:val="19"/>
            <w:rFonts w:ascii="Cambria" w:hAnsi="Cambria"/>
          </w:rPr>
          <w:t xml:space="preserve">Multimodal Referring Segmentation: A Survey</w:t>
        </w:r>
      </w:hyperlink>
      <w:r>
        <w:rPr>
          <w:sz w:val="19"/>
        </w:rPr>
        <w:t>. arXiv, 2025. arXiv:2508.00265.</w:t>
      </w:r>
    </w:p>
    <w:p>
      <w:pPr>
        <w:spacing w:after="60"/>
        <w:ind w:left="504" w:hanging="504"/>
      </w:pPr>
      <w:r>
        <w:rPr>
          <w:sz w:val="19"/>
        </w:rPr>
        <w:t xml:space="preserve">[29]  </w:t>
      </w:r>
      <w:hyperlink r:id="rId35">
        <w:r>
          <w:rPr>
            <w:color w:val="1155CC"/>
            <w:u w:val="single"/>
            <w:sz w:val="19"/>
            <w:rFonts w:ascii="Cambria" w:hAnsi="Cambria"/>
          </w:rPr>
          <w:t xml:space="preserve">NEP: Autoregressive Image Editing via Next Editing Token Prediction</w:t>
        </w:r>
      </w:hyperlink>
      <w:r>
        <w:rPr>
          <w:sz w:val="19"/>
        </w:rPr>
        <w:t>. arXiv, 2025. arXiv:2508.06044.</w:t>
      </w:r>
    </w:p>
    <w:p>
      <w:pPr>
        <w:spacing w:after="60"/>
        <w:ind w:left="504" w:hanging="504"/>
      </w:pPr>
      <w:r>
        <w:rPr>
          <w:sz w:val="19"/>
        </w:rPr>
        <w:t xml:space="preserve">[30]  </w:t>
      </w:r>
      <w:hyperlink r:id="rId36">
        <w:r>
          <w:rPr>
            <w:color w:val="1155CC"/>
            <w:u w:val="single"/>
            <w:sz w:val="19"/>
            <w:rFonts w:ascii="Cambria" w:hAnsi="Cambria"/>
          </w:rPr>
          <w:t xml:space="preserve">RSAgent: Reason and Act for Text-Guided Segmentation</w:t>
        </w:r>
      </w:hyperlink>
      <w:r>
        <w:rPr>
          <w:sz w:val="19"/>
        </w:rPr>
        <w:t>. arXiv, 2025. arXiv:2512.24023.</w:t>
      </w:r>
    </w:p>
    <w:p>
      <w:pPr>
        <w:spacing w:after="60"/>
        <w:ind w:left="504" w:hanging="504"/>
      </w:pPr>
      <w:r>
        <w:rPr>
          <w:sz w:val="19"/>
        </w:rPr>
        <w:t xml:space="preserve">[31]  </w:t>
      </w:r>
      <w:hyperlink r:id="rId37">
        <w:r>
          <w:rPr>
            <w:color w:val="1155CC"/>
            <w:u w:val="single"/>
            <w:sz w:val="19"/>
            <w:rFonts w:ascii="Cambria" w:hAnsi="Cambria"/>
          </w:rPr>
          <w:t xml:space="preserve">Region in Context: Text-Conditioned Editing with Semantic Reasoning</w:t>
        </w:r>
      </w:hyperlink>
      <w:r>
        <w:rPr>
          <w:sz w:val="19"/>
        </w:rPr>
        <w:t>. arXiv, 2025. arXiv:2510.16772.</w:t>
      </w:r>
    </w:p>
    <w:p>
      <w:pPr>
        <w:spacing w:after="60"/>
        <w:ind w:left="504" w:hanging="504"/>
      </w:pPr>
      <w:r>
        <w:rPr>
          <w:sz w:val="19"/>
        </w:rPr>
        <w:t xml:space="preserve">[32]  </w:t>
      </w:r>
      <w:hyperlink r:id="rId38">
        <w:r>
          <w:rPr>
            <w:color w:val="1155CC"/>
            <w:u w:val="single"/>
            <w:sz w:val="19"/>
            <w:rFonts w:ascii="Cambria" w:hAnsi="Cambria"/>
          </w:rPr>
          <w:t xml:space="preserve">SpotEdit: Selective Region Editing in Diffusion Transformers</w:t>
        </w:r>
      </w:hyperlink>
      <w:r>
        <w:rPr>
          <w:sz w:val="19"/>
        </w:rPr>
        <w:t>. arXiv, 2025. arXiv:2512.22323.</w:t>
      </w:r>
    </w:p>
    <w:p>
      <w:pPr>
        <w:spacing w:after="60"/>
        <w:ind w:left="504" w:hanging="504"/>
      </w:pPr>
      <w:r>
        <w:rPr>
          <w:sz w:val="19"/>
        </w:rPr>
        <w:t xml:space="preserve">[33]  </w:t>
      </w:r>
      <w:hyperlink r:id="rId31">
        <w:r>
          <w:rPr>
            <w:color w:val="1155CC"/>
            <w:u w:val="single"/>
            <w:sz w:val="19"/>
            <w:rFonts w:ascii="Cambria" w:hAnsi="Cambria"/>
          </w:rPr>
          <w:t xml:space="preserve">Step1X-Edit: A Practical Framework for General Image Editing</w:t>
        </w:r>
      </w:hyperlink>
      <w:r>
        <w:rPr>
          <w:sz w:val="19"/>
        </w:rPr>
        <w:t>. arXiv, 2025. arXiv:2504.17761.</w:t>
      </w:r>
    </w:p>
    <w:p>
      <w:pPr>
        <w:spacing w:after="60"/>
        <w:ind w:left="504" w:hanging="504"/>
      </w:pPr>
      <w:r>
        <w:rPr>
          <w:sz w:val="19"/>
        </w:rPr>
        <w:t xml:space="preserve">[34]  </w:t>
      </w:r>
      <w:hyperlink r:id="rId39">
        <w:r>
          <w:rPr>
            <w:color w:val="1155CC"/>
            <w:u w:val="single"/>
            <w:sz w:val="19"/>
            <w:rFonts w:ascii="Cambria" w:hAnsi="Cambria"/>
          </w:rPr>
          <w:t xml:space="preserve">Training-free Geometric Image Editing</w:t>
        </w:r>
      </w:hyperlink>
      <w:r>
        <w:rPr>
          <w:sz w:val="19"/>
        </w:rPr>
        <w:t>. arXiv, 2025. arXiv:2507.23300.</w:t>
      </w:r>
    </w:p>
    <w:p>
      <w:pPr>
        <w:spacing w:after="60"/>
        <w:ind w:left="504" w:hanging="504"/>
      </w:pPr>
      <w:r>
        <w:rPr>
          <w:sz w:val="19"/>
        </w:rPr>
        <w:t xml:space="preserve">[35]  </w:t>
      </w:r>
      <w:hyperlink r:id="rId40">
        <w:r>
          <w:rPr>
            <w:color w:val="1155CC"/>
            <w:u w:val="single"/>
            <w:sz w:val="19"/>
            <w:rFonts w:ascii="Cambria" w:hAnsi="Cambria"/>
          </w:rPr>
          <w:t xml:space="preserve">US12462449B2 - Mask conditioned image transformation (patent, Adobe)</w:t>
        </w:r>
      </w:hyperlink>
      <w:r>
        <w:rPr>
          <w:sz w:val="19"/>
        </w:rPr>
        <w:t>. USPTO patent, 2025.</w:t>
      </w:r>
    </w:p>
    <w:p>
      <w:pPr>
        <w:spacing w:after="60"/>
        <w:ind w:left="504" w:hanging="504"/>
      </w:pPr>
      <w:r>
        <w:rPr>
          <w:sz w:val="19"/>
        </w:rPr>
        <w:t xml:space="preserve">[36]  </w:t>
      </w:r>
      <w:hyperlink r:id="rId41">
        <w:r>
          <w:rPr>
            <w:color w:val="1155CC"/>
            <w:u w:val="single"/>
            <w:sz w:val="19"/>
            <w:rFonts w:ascii="Cambria" w:hAnsi="Cambria"/>
          </w:rPr>
          <w:t xml:space="preserve">US12561956 - Affordance-based reposing of an object (patent)</w:t>
        </w:r>
      </w:hyperlink>
      <w:r>
        <w:rPr>
          <w:sz w:val="19"/>
        </w:rPr>
        <w:t>. USPTO patent, 2025.</w:t>
      </w:r>
    </w:p>
    <w:p>
      <w:pPr>
        <w:spacing w:after="60"/>
        <w:ind w:left="504" w:hanging="504"/>
      </w:pPr>
      <w:r>
        <w:rPr>
          <w:sz w:val="19"/>
        </w:rPr>
        <w:t xml:space="preserve">[37]  </w:t>
      </w:r>
      <w:hyperlink r:id="rId42">
        <w:r>
          <w:rPr>
            <w:color w:val="1155CC"/>
            <w:u w:val="single"/>
            <w:sz w:val="19"/>
            <w:rFonts w:ascii="Cambria" w:hAnsi="Cambria"/>
          </w:rPr>
          <w:t xml:space="preserve">Visual Affordance Prediction: Survey and Reproducibility</w:t>
        </w:r>
      </w:hyperlink>
      <w:r>
        <w:rPr>
          <w:sz w:val="19"/>
        </w:rPr>
        <w:t>. arXiv, 2025. arXiv:2505.05074.</w:t>
      </w:r>
    </w:p>
    <w:p>
      <w:pPr>
        <w:spacing w:after="60"/>
        <w:ind w:left="504" w:hanging="504"/>
      </w:pPr>
      <w:r>
        <w:rPr>
          <w:sz w:val="19"/>
        </w:rPr>
        <w:t xml:space="preserve">[38]  </w:t>
      </w:r>
      <w:hyperlink r:id="rId43">
        <w:r>
          <w:rPr>
            <w:color w:val="1155CC"/>
            <w:u w:val="single"/>
            <w:sz w:val="19"/>
            <w:rFonts w:ascii="Cambria" w:hAnsi="Cambria"/>
          </w:rPr>
          <w:t xml:space="preserve">Visual Autoregressive Modeling for Instruction-Guided Editing</w:t>
        </w:r>
      </w:hyperlink>
      <w:r>
        <w:rPr>
          <w:sz w:val="19"/>
        </w:rPr>
        <w:t>. arXiv, 2025. arXiv:2508.15772.</w:t>
      </w:r>
    </w:p>
    <w:p>
      <w:pPr>
        <w:spacing w:after="60"/>
        <w:ind w:left="504" w:hanging="504"/>
      </w:pPr>
      <w:r>
        <w:rPr>
          <w:sz w:val="19"/>
        </w:rPr>
        <w:t xml:space="preserve">[39]  </w:t>
      </w:r>
      <w:hyperlink r:id="rId44">
        <w:r>
          <w:rPr>
            <w:color w:val="1155CC"/>
            <w:u w:val="single"/>
            <w:sz w:val="19"/>
            <w:rFonts w:ascii="Cambria" w:hAnsi="Cambria"/>
          </w:rPr>
          <w:t xml:space="preserve">X-Planner: Complex Instruction-Based Editing</w:t>
        </w:r>
      </w:hyperlink>
      <w:r>
        <w:rPr>
          <w:sz w:val="19"/>
        </w:rPr>
        <w:t>. arXiv, 2025. arXiv:2507.05259.</w:t>
      </w:r>
    </w:p>
    <w:p>
      <w:pPr>
        <w:spacing w:after="60"/>
        <w:ind w:left="504" w:hanging="504"/>
      </w:pPr>
      <w:r>
        <w:rPr>
          <w:sz w:val="19"/>
        </w:rPr>
        <w:t xml:space="preserve">[40]  </w:t>
      </w:r>
      <w:hyperlink r:id="rId45">
        <w:r>
          <w:rPr>
            <w:color w:val="1155CC"/>
            <w:u w:val="single"/>
            <w:sz w:val="19"/>
            <w:rFonts w:ascii="Cambria" w:hAnsi="Cambria"/>
          </w:rPr>
          <w:t xml:space="preserve">Add-it: Training-Free Object Insertion</w:t>
        </w:r>
      </w:hyperlink>
      <w:r>
        <w:rPr>
          <w:sz w:val="19"/>
        </w:rPr>
        <w:t>. ICLR / arXiv, 2024. arXiv:2411.07232.</w:t>
      </w:r>
    </w:p>
    <w:p>
      <w:pPr>
        <w:spacing w:after="60"/>
        <w:ind w:left="504" w:hanging="504"/>
      </w:pPr>
      <w:r>
        <w:rPr>
          <w:sz w:val="19"/>
        </w:rPr>
        <w:t xml:space="preserve">[41]  </w:t>
      </w:r>
      <w:hyperlink r:id="rId45">
        <w:r>
          <w:rPr>
            <w:color w:val="1155CC"/>
            <w:u w:val="single"/>
            <w:sz w:val="19"/>
            <w:rFonts w:ascii="Cambria" w:hAnsi="Cambria"/>
          </w:rPr>
          <w:t xml:space="preserve">Adding Affordance Benchmark (via Add-it)</w:t>
        </w:r>
      </w:hyperlink>
      <w:r>
        <w:rPr>
          <w:sz w:val="19"/>
        </w:rPr>
        <w:t>. benchmark, 2024. arXiv:2411.07232.</w:t>
      </w:r>
    </w:p>
    <w:p>
      <w:pPr>
        <w:spacing w:after="60"/>
        <w:ind w:left="504" w:hanging="504"/>
      </w:pPr>
      <w:r>
        <w:rPr>
          <w:sz w:val="19"/>
        </w:rPr>
        <w:t xml:space="preserve">[42]  </w:t>
      </w:r>
      <w:hyperlink r:id="rId46">
        <w:r>
          <w:rPr>
            <w:color w:val="1155CC"/>
            <w:u w:val="single"/>
            <w:sz w:val="19"/>
            <w:rFonts w:ascii="Cambria" w:hAnsi="Cambria"/>
          </w:rPr>
          <w:t xml:space="preserve">LazyDiffusion: Lazy Diffusion Transformer</w:t>
        </w:r>
      </w:hyperlink>
      <w:r>
        <w:rPr>
          <w:sz w:val="19"/>
        </w:rPr>
        <w:t>. ECCV 2024, 2024. arXiv:2404.12382.</w:t>
      </w:r>
    </w:p>
    <w:p>
      <w:pPr>
        <w:spacing w:after="60"/>
        <w:ind w:left="504" w:hanging="504"/>
      </w:pPr>
      <w:r>
        <w:rPr>
          <w:sz w:val="19"/>
        </w:rPr>
        <w:t xml:space="preserve">[43]  </w:t>
      </w:r>
      <w:hyperlink r:id="rId47">
        <w:r>
          <w:rPr>
            <w:color w:val="1155CC"/>
            <w:u w:val="single"/>
            <w:sz w:val="19"/>
            <w:rFonts w:ascii="Cambria" w:hAnsi="Cambria"/>
          </w:rPr>
          <w:t xml:space="preserve">MADD: Affordance-Aware Object Insertion (Dual Diffusion)</w:t>
        </w:r>
      </w:hyperlink>
      <w:r>
        <w:rPr>
          <w:sz w:val="19"/>
        </w:rPr>
        <w:t>. arXiv, 2024. arXiv:2412.14462.</w:t>
      </w:r>
    </w:p>
    <w:p>
      <w:pPr>
        <w:spacing w:after="60"/>
        <w:ind w:left="504" w:hanging="504"/>
      </w:pPr>
      <w:r>
        <w:rPr>
          <w:sz w:val="19"/>
        </w:rPr>
        <w:t xml:space="preserve">[44]  </w:t>
      </w:r>
      <w:hyperlink r:id="rId48">
        <w:r>
          <w:rPr>
            <w:color w:val="1155CC"/>
            <w:u w:val="single"/>
            <w:sz w:val="19"/>
            <w:rFonts w:ascii="Cambria" w:hAnsi="Cambria"/>
          </w:rPr>
          <w:t xml:space="preserve">MADiff: Text-Guided Fashion Editing with Mask Prediction</w:t>
        </w:r>
      </w:hyperlink>
      <w:r>
        <w:rPr>
          <w:sz w:val="19"/>
        </w:rPr>
        <w:t>. arXiv, 2024. arXiv:2412.20062.</w:t>
      </w:r>
    </w:p>
    <w:p>
      <w:pPr>
        <w:spacing w:after="60"/>
        <w:ind w:left="504" w:hanging="504"/>
      </w:pPr>
      <w:r>
        <w:rPr>
          <w:sz w:val="19"/>
        </w:rPr>
        <w:t xml:space="preserve">[45]  </w:t>
      </w:r>
      <w:hyperlink r:id="rId49">
        <w:r>
          <w:rPr>
            <w:color w:val="1155CC"/>
            <w:u w:val="single"/>
            <w:sz w:val="19"/>
            <w:rFonts w:ascii="Cambria" w:hAnsi="Cambria"/>
          </w:rPr>
          <w:t xml:space="preserve">SegLLM: Multi-round Reasoning Segmentation</w:t>
        </w:r>
      </w:hyperlink>
      <w:r>
        <w:rPr>
          <w:sz w:val="19"/>
        </w:rPr>
        <w:t>. arXiv, 2024. arXiv:2410.18923.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i w:val="0"/>
      <w:color w:val="1B1A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604.23763" TargetMode="External"/><Relationship Id="rId10" Type="http://schemas.openxmlformats.org/officeDocument/2006/relationships/hyperlink" Target="https://arxiv.org/abs/2604.18562" TargetMode="External"/><Relationship Id="rId11" Type="http://schemas.openxmlformats.org/officeDocument/2006/relationships/hyperlink" Target="https://arxiv.org/abs/2607.04779" TargetMode="External"/><Relationship Id="rId12" Type="http://schemas.openxmlformats.org/officeDocument/2006/relationships/hyperlink" Target="https://arxiv.org/abs/2605.10859" TargetMode="External"/><Relationship Id="rId13" Type="http://schemas.openxmlformats.org/officeDocument/2006/relationships/hyperlink" Target="https://arxiv.org/abs/2606.09273" TargetMode="External"/><Relationship Id="rId14" Type="http://schemas.openxmlformats.org/officeDocument/2006/relationships/hyperlink" Target="https://arxiv.org/abs/2603.21176" TargetMode="External"/><Relationship Id="rId15" Type="http://schemas.openxmlformats.org/officeDocument/2006/relationships/hyperlink" Target="https://arxiv.org/abs/2601.03741" TargetMode="External"/><Relationship Id="rId16" Type="http://schemas.openxmlformats.org/officeDocument/2006/relationships/hyperlink" Target="https://arxiv.org/abs/2607.25642" TargetMode="External"/><Relationship Id="rId17" Type="http://schemas.openxmlformats.org/officeDocument/2006/relationships/hyperlink" Target="https://arxiv.org/abs/2602.05577" TargetMode="External"/><Relationship Id="rId18" Type="http://schemas.openxmlformats.org/officeDocument/2006/relationships/hyperlink" Target="https://arxiv.org/abs/2606.14168" TargetMode="External"/><Relationship Id="rId19" Type="http://schemas.openxmlformats.org/officeDocument/2006/relationships/hyperlink" Target="https://arxiv.org/abs/2608.06929" TargetMode="External"/><Relationship Id="rId20" Type="http://schemas.openxmlformats.org/officeDocument/2006/relationships/hyperlink" Target="https://huggingface.co/Qwen/Qwen-Image-Edit" TargetMode="External"/><Relationship Id="rId21" Type="http://schemas.openxmlformats.org/officeDocument/2006/relationships/hyperlink" Target="https://arxiv.org/abs/2510.25590" TargetMode="External"/><Relationship Id="rId22" Type="http://schemas.openxmlformats.org/officeDocument/2006/relationships/hyperlink" Target="https://arxiv.org/abs/2604.20258" TargetMode="External"/><Relationship Id="rId23" Type="http://schemas.openxmlformats.org/officeDocument/2006/relationships/hyperlink" Target="https://arxiv.org/abs/2605.20110" TargetMode="External"/><Relationship Id="rId24" Type="http://schemas.openxmlformats.org/officeDocument/2006/relationships/hyperlink" Target="https://arxiv.org/abs/2608.01077" TargetMode="External"/><Relationship Id="rId25" Type="http://schemas.openxmlformats.org/officeDocument/2006/relationships/hyperlink" Target="https://arxiv.org/abs/2607.20883" TargetMode="External"/><Relationship Id="rId26" Type="http://schemas.openxmlformats.org/officeDocument/2006/relationships/hyperlink" Target="https://arxiv.org/abs/2506.13827" TargetMode="External"/><Relationship Id="rId27" Type="http://schemas.openxmlformats.org/officeDocument/2006/relationships/hyperlink" Target="https://arxiv.org/abs/2508.06937" TargetMode="External"/><Relationship Id="rId28" Type="http://schemas.openxmlformats.org/officeDocument/2006/relationships/hyperlink" Target="https://arxiv.org/abs/2506.21546" TargetMode="External"/><Relationship Id="rId29" Type="http://schemas.openxmlformats.org/officeDocument/2006/relationships/hyperlink" Target="https://huggingface.co/black-forest-labs/FLUX.1-Kontext-dev" TargetMode="External"/><Relationship Id="rId30" Type="http://schemas.openxmlformats.org/officeDocument/2006/relationships/hyperlink" Target="https://arxiv.org/abs/2511.13713" TargetMode="External"/><Relationship Id="rId31" Type="http://schemas.openxmlformats.org/officeDocument/2006/relationships/hyperlink" Target="https://arxiv.org/abs/2504.17761" TargetMode="External"/><Relationship Id="rId32" Type="http://schemas.openxmlformats.org/officeDocument/2006/relationships/hyperlink" Target="https://arxiv.org/abs/2506.04158" TargetMode="External"/><Relationship Id="rId33" Type="http://schemas.openxmlformats.org/officeDocument/2006/relationships/hyperlink" Target="https://arxiv.org/abs/2505.01079" TargetMode="External"/><Relationship Id="rId34" Type="http://schemas.openxmlformats.org/officeDocument/2006/relationships/hyperlink" Target="https://arxiv.org/abs/2508.00265" TargetMode="External"/><Relationship Id="rId35" Type="http://schemas.openxmlformats.org/officeDocument/2006/relationships/hyperlink" Target="https://arxiv.org/abs/2508.06044" TargetMode="External"/><Relationship Id="rId36" Type="http://schemas.openxmlformats.org/officeDocument/2006/relationships/hyperlink" Target="https://arxiv.org/abs/2512.24023" TargetMode="External"/><Relationship Id="rId37" Type="http://schemas.openxmlformats.org/officeDocument/2006/relationships/hyperlink" Target="https://arxiv.org/abs/2510.16772" TargetMode="External"/><Relationship Id="rId38" Type="http://schemas.openxmlformats.org/officeDocument/2006/relationships/hyperlink" Target="https://arxiv.org/abs/2512.22323" TargetMode="External"/><Relationship Id="rId39" Type="http://schemas.openxmlformats.org/officeDocument/2006/relationships/hyperlink" Target="https://arxiv.org/abs/2507.23300" TargetMode="External"/><Relationship Id="rId40" Type="http://schemas.openxmlformats.org/officeDocument/2006/relationships/hyperlink" Target="https://patents.google.com/patent/US12462449B2" TargetMode="External"/><Relationship Id="rId41" Type="http://schemas.openxmlformats.org/officeDocument/2006/relationships/hyperlink" Target="https://patents.google.com/patent/US12561956" TargetMode="External"/><Relationship Id="rId42" Type="http://schemas.openxmlformats.org/officeDocument/2006/relationships/hyperlink" Target="https://arxiv.org/abs/2505.05074" TargetMode="External"/><Relationship Id="rId43" Type="http://schemas.openxmlformats.org/officeDocument/2006/relationships/hyperlink" Target="https://arxiv.org/abs/2508.15772" TargetMode="External"/><Relationship Id="rId44" Type="http://schemas.openxmlformats.org/officeDocument/2006/relationships/hyperlink" Target="https://arxiv.org/abs/2507.05259" TargetMode="External"/><Relationship Id="rId45" Type="http://schemas.openxmlformats.org/officeDocument/2006/relationships/hyperlink" Target="https://arxiv.org/abs/2411.07232" TargetMode="External"/><Relationship Id="rId46" Type="http://schemas.openxmlformats.org/officeDocument/2006/relationships/hyperlink" Target="https://arxiv.org/abs/2404.12382" TargetMode="External"/><Relationship Id="rId47" Type="http://schemas.openxmlformats.org/officeDocument/2006/relationships/hyperlink" Target="https://arxiv.org/abs/2412.14462" TargetMode="External"/><Relationship Id="rId48" Type="http://schemas.openxmlformats.org/officeDocument/2006/relationships/hyperlink" Target="https://arxiv.org/abs/2412.20062" TargetMode="External"/><Relationship Id="rId49" Type="http://schemas.openxmlformats.org/officeDocument/2006/relationships/hyperlink" Target="https://arxiv.org/abs/2410.189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