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03"/>
        <w:gridCol w:w="9389"/>
      </w:tblGrid>
      <w:tr>
        <w:trPr>
          <w:cantSplit/>
        </w:trPr>
        <w:tc>
          <w:tcPr>
            <w:tcW w:type="dxa" w:w="5112"/>
            <w:shd w:fill="0F5C4D"/>
            <w:tcBorders>
              <w:top w:val="nil"/>
              <w:left w:val="nil"/>
              <w:bottom w:val="nil"/>
              <w:right w:val="nil"/>
            </w:tcBorders>
          </w:tcPr>
          <w:p/>
        </w:tc>
        <w:tc>
          <w:tcPr>
            <w:tcW w:type="dxa" w:w="5112"/>
            <w:shd w:fill="F7F4EC"/>
            <w:tcBorders>
              <w:top w:val="nil"/>
              <w:left w:val="nil"/>
              <w:bottom w:val="nil"/>
              <w:right w:val="nil"/>
            </w:tcBorders>
            <w:tcMar>
              <w:top w:w="340" w:type="dxa"/>
              <w:start w:w="310" w:type="dxa"/>
              <w:bottom w:w="340" w:type="dxa"/>
              <w:end w:w="310" w:type="dxa"/>
            </w:tcMar>
          </w:tcPr>
          <w:p>
            <w:pPr>
              <w:spacing w:after="140"/>
            </w:pPr>
            <w:r>
              <w:rPr>
                <w:rFonts w:ascii="Inter" w:hAnsi="Inter"/>
                <w:b/>
                <w:color w:val="0F5C4D"/>
                <w:sz w:val="26"/>
              </w:rPr>
              <w:t>HILALMARKETS</w:t>
            </w:r>
          </w:p>
          <w:p>
            <w:pPr>
              <w:spacing w:after="160"/>
            </w:pPr>
            <w:r>
              <w:rPr>
                <w:rFonts w:ascii="Inter" w:hAnsi="Inter"/>
                <w:b/>
                <w:color w:val="172B27"/>
                <w:sz w:val="56"/>
              </w:rPr>
              <w:t>Business Overview</w:t>
              <w:br/>
              <w:t>&amp; Accelerator Brief</w:t>
            </w:r>
          </w:p>
          <w:p>
            <w:pPr>
              <w:spacing w:after="320"/>
            </w:pPr>
            <w:r>
              <w:rPr>
                <w:color w:val="5E6A66"/>
                <w:sz w:val="24"/>
              </w:rPr>
              <w:t>Sharia-screened market intelligence and monitoring for self-directed Muslim investors.</w:t>
            </w:r>
          </w:p>
          <w:p>
            <w:pPr>
              <w:spacing w:after="320"/>
            </w:pPr>
            <w:r>
              <w:rPr>
                <w:b/>
                <w:color w:val="C7A55B"/>
                <w:sz w:val="23"/>
              </w:rPr>
              <w:t>Know what fits your values. Know when it matters.</w:t>
            </w:r>
          </w:p>
          <w:p>
            <w:pPr>
              <w:spacing w:after="40"/>
            </w:pPr>
            <w:r>
              <w:rPr>
                <w:b/>
                <w:color w:val="5E6A66"/>
              </w:rPr>
              <w:t xml:space="preserve">Domain  </w:t>
            </w:r>
            <w:r>
              <w:t>HilalMarkets.com</w:t>
            </w:r>
          </w:p>
          <w:p>
            <w:pPr>
              <w:spacing w:after="40"/>
            </w:pPr>
            <w:r>
              <w:rPr>
                <w:b/>
                <w:color w:val="5E6A66"/>
              </w:rPr>
              <w:t xml:space="preserve">Stage  </w:t>
            </w:r>
            <w:r>
              <w:t>Private beta / product repositioning</w:t>
            </w:r>
          </w:p>
          <w:p>
            <w:pPr>
              <w:spacing w:after="40"/>
            </w:pPr>
            <w:r>
              <w:rPr>
                <w:b/>
                <w:color w:val="5E6A66"/>
              </w:rPr>
              <w:t xml:space="preserve">Prepared  </w:t>
            </w:r>
            <w:r>
              <w:t>14 July 2026</w:t>
            </w:r>
          </w:p>
        </w:tc>
      </w:tr>
    </w:tbl>
    <w:p>
      <w:pPr>
        <w:keepLines/>
      </w:pPr>
    </w:p>
    <w:tbl>
      <w:tblPr>
        <w:tblW w:type="auto" w:w="0"/>
        <w:jc w:val="center"/>
        <w:tblLayout w:type="fixed"/>
        <w:tblLook w:firstColumn="1" w:firstRow="1" w:lastColumn="0" w:lastRow="0" w:noHBand="0" w:noVBand="1" w:val="04A0"/>
      </w:tblPr>
      <w:tblGrid>
        <w:gridCol w:w="173"/>
        <w:gridCol w:w="9619"/>
      </w:tblGrid>
      <w:tr>
        <w:trPr>
          <w:cantSplit/>
        </w:trPr>
        <w:tc>
          <w:tcPr>
            <w:tcW w:type="dxa" w:w="5112"/>
            <w:shd w:fill="C7A55B"/>
            <w:tcBorders>
              <w:top w:val="nil"/>
              <w:left w:val="nil"/>
              <w:bottom w:val="nil"/>
              <w:right w:val="nil"/>
            </w:tcBorders>
            <w:tcMar>
              <w:top w:w="70" w:type="dxa"/>
              <w:start w:w="0" w:type="dxa"/>
              <w:bottom w:w="70" w:type="dxa"/>
              <w:end w:w="0" w:type="dxa"/>
            </w:tcMar>
          </w:tcPr>
          <w:p/>
        </w:tc>
        <w:tc>
          <w:tcPr>
            <w:tcW w:type="dxa" w:w="5112"/>
            <w:shd w:fill="F6F0DF"/>
            <w:tcBorders>
              <w:top w:val="nil"/>
              <w:left w:val="nil"/>
              <w:bottom w:val="nil"/>
              <w:right w:val="nil"/>
            </w:tcBorders>
            <w:tcMar>
              <w:top w:w="130" w:type="dxa"/>
              <w:start w:w="170" w:type="dxa"/>
              <w:bottom w:w="130" w:type="dxa"/>
              <w:end w:w="170" w:type="dxa"/>
            </w:tcMar>
          </w:tcPr>
          <w:p>
            <w:pPr>
              <w:spacing w:after="60"/>
            </w:pPr>
            <w:r>
              <w:rPr>
                <w:b/>
                <w:color w:val="172B27"/>
                <w:sz w:val="21"/>
              </w:rPr>
              <w:t>Document status</w:t>
            </w:r>
          </w:p>
          <w:p>
            <w:pPr>
              <w:spacing w:after="0"/>
            </w:pPr>
            <w:r>
              <w:t>This brief combines the verified public TraceEdge codebase and website with planned local changes for the HilalMarkets rebrand. Current capabilities and planned Sharia-first features are clearly separated; planned features should not be presented as live until implemented, reviewed, and tested.</w:t>
            </w:r>
          </w:p>
        </w:tc>
      </w:tr>
    </w:tbl>
    <w:p>
      <w:pPr>
        <w:keepLines/>
      </w:pPr>
      <w:r>
        <w:br w:type="page"/>
      </w:r>
    </w:p>
    <w:p>
      <w:pPr>
        <w:spacing w:before="80" w:after="40"/>
        <w:keepLines/>
      </w:pPr>
      <w:r>
        <w:rPr>
          <w:rFonts w:ascii="Inter" w:hAnsi="Inter"/>
          <w:b/>
          <w:color w:val="C7A55B"/>
          <w:sz w:val="16"/>
        </w:rPr>
        <w:t>EXECUTIVE SNAPSHOT</w:t>
      </w:r>
    </w:p>
    <w:p>
      <w:pPr>
        <w:pStyle w:val="Heading1"/>
        <w:keepNext/>
        <w:keepLines/>
      </w:pPr>
      <w:r>
        <w:t>HilalMarkets at a glance</w:t>
      </w:r>
    </w:p>
    <w:p>
      <w:pPr>
        <w:keepLines/>
      </w:pPr>
      <w:r>
        <w:rPr>
          <w:b/>
        </w:rPr>
        <w:t xml:space="preserve">HilalMarkets </w:t>
      </w:r>
      <w:r>
        <w:t>is the planned Sharia-first evolution of the TraceEdge monitoring platform. It is designed for self-directed Muslim crypto spot investors who want to participate in market opportunities without compromising their values, relying on black-box signals, or spending the day checking charts.</w:t>
      </w:r>
    </w:p>
    <w:tbl>
      <w:tblPr>
        <w:tblW w:type="auto" w:w="0"/>
        <w:jc w:val="center"/>
        <w:tblLayout w:type="fixed"/>
        <w:tblLook w:firstColumn="1" w:firstRow="1" w:lastColumn="0" w:lastRow="0" w:noHBand="0" w:noVBand="1" w:val="04A0"/>
      </w:tblPr>
      <w:tblGrid>
        <w:gridCol w:w="173"/>
        <w:gridCol w:w="9619"/>
      </w:tblGrid>
      <w:tr>
        <w:trPr>
          <w:cantSplit/>
        </w:trPr>
        <w:tc>
          <w:tcPr>
            <w:tcW w:type="dxa" w:w="5112"/>
            <w:shd w:fill="0F5C4D"/>
            <w:tcBorders>
              <w:top w:val="nil"/>
              <w:left w:val="nil"/>
              <w:bottom w:val="nil"/>
              <w:right w:val="nil"/>
            </w:tcBorders>
            <w:tcMar>
              <w:top w:w="70" w:type="dxa"/>
              <w:start w:w="0" w:type="dxa"/>
              <w:bottom w:w="70" w:type="dxa"/>
              <w:end w:w="0" w:type="dxa"/>
            </w:tcMar>
          </w:tcPr>
          <w:p/>
        </w:tc>
        <w:tc>
          <w:tcPr>
            <w:tcW w:type="dxa" w:w="5112"/>
            <w:shd w:fill="EAF3F0"/>
            <w:tcBorders>
              <w:top w:val="nil"/>
              <w:left w:val="nil"/>
              <w:bottom w:val="nil"/>
              <w:right w:val="nil"/>
            </w:tcBorders>
            <w:tcMar>
              <w:top w:w="130" w:type="dxa"/>
              <w:start w:w="170" w:type="dxa"/>
              <w:bottom w:w="130" w:type="dxa"/>
              <w:end w:w="170" w:type="dxa"/>
            </w:tcMar>
          </w:tcPr>
          <w:p>
            <w:pPr>
              <w:spacing w:after="60"/>
            </w:pPr>
            <w:r>
              <w:rPr>
                <w:b/>
                <w:color w:val="172B27"/>
                <w:sz w:val="21"/>
              </w:rPr>
              <w:t>The category</w:t>
            </w:r>
          </w:p>
          <w:p>
            <w:pPr>
              <w:spacing w:after="0"/>
            </w:pPr>
            <w:r>
              <w:t>A guided market-watching platform that combines Sharia-screened asset discovery, user-controlled Watch Plans, compliance monitoring, opportunity lifecycles, and evidence behind every alert or status change.</w:t>
            </w:r>
          </w:p>
        </w:tc>
      </w:tr>
    </w:tbl>
    <w:tbl>
      <w:tblPr>
        <w:tblW w:type="auto" w:w="0"/>
        <w:jc w:val="center"/>
        <w:tblLayout w:type="fixed"/>
        <w:tblLook w:firstColumn="1" w:firstRow="1" w:lastColumn="0" w:lastRow="0" w:noHBand="0" w:noVBand="1" w:val="04A0"/>
      </w:tblPr>
      <w:tblGrid>
        <w:gridCol w:w="2556"/>
        <w:gridCol w:w="2556"/>
        <w:gridCol w:w="2556"/>
        <w:gridCol w:w="2556"/>
      </w:tblGrid>
      <w:tr>
        <w:trPr>
          <w:cantSplit/>
        </w:trPr>
        <w:tc>
          <w:tcPr>
            <w:tcW w:type="dxa" w:w="2448"/>
            <w:shd w:fill="EAF3F0"/>
            <w:tcBorders>
              <w:top w:val="single" w:sz="5" w:color="DDE7E3"/>
              <w:left w:val="single" w:sz="5" w:color="DDE7E3"/>
              <w:bottom w:val="single" w:sz="5" w:color="DDE7E3"/>
              <w:right w:val="single" w:sz="5" w:color="DDE7E3"/>
            </w:tcBorders>
            <w:tcMar>
              <w:top w:w="130" w:type="dxa"/>
              <w:start w:w="140" w:type="dxa"/>
              <w:bottom w:w="130" w:type="dxa"/>
              <w:end w:w="140" w:type="dxa"/>
            </w:tcMar>
          </w:tcPr>
          <w:p>
            <w:pPr>
              <w:spacing w:after="40"/>
            </w:pPr>
            <w:r>
              <w:rPr>
                <w:b/>
                <w:color w:val="5E6A66"/>
                <w:sz w:val="14"/>
              </w:rPr>
              <w:t>PRIMARY MARKET</w:t>
            </w:r>
          </w:p>
          <w:p>
            <w:pPr>
              <w:spacing w:after="40"/>
            </w:pPr>
            <w:r>
              <w:rPr>
                <w:b/>
                <w:color w:val="0F5C4D"/>
                <w:sz w:val="28"/>
              </w:rPr>
              <w:t>Crypto spot</w:t>
            </w:r>
          </w:p>
          <w:p>
            <w:pPr>
              <w:spacing w:after="0"/>
            </w:pPr>
            <w:r>
              <w:rPr>
                <w:color w:val="5E6A66"/>
                <w:sz w:val="16"/>
              </w:rPr>
              <w:t>Initial launch scope</w:t>
            </w:r>
          </w:p>
        </w:tc>
        <w:tc>
          <w:tcPr>
            <w:tcW w:type="dxa" w:w="2448"/>
            <w:shd w:fill="F6F0DF"/>
            <w:tcBorders>
              <w:top w:val="single" w:sz="5" w:color="DDE7E3"/>
              <w:left w:val="single" w:sz="5" w:color="DDE7E3"/>
              <w:bottom w:val="single" w:sz="5" w:color="DDE7E3"/>
              <w:right w:val="single" w:sz="5" w:color="DDE7E3"/>
            </w:tcBorders>
            <w:tcMar>
              <w:top w:w="130" w:type="dxa"/>
              <w:start w:w="140" w:type="dxa"/>
              <w:bottom w:w="130" w:type="dxa"/>
              <w:end w:w="140" w:type="dxa"/>
            </w:tcMar>
          </w:tcPr>
          <w:p>
            <w:pPr>
              <w:spacing w:after="40"/>
            </w:pPr>
            <w:r>
              <w:rPr>
                <w:b/>
                <w:color w:val="5E6A66"/>
                <w:sz w:val="14"/>
              </w:rPr>
              <w:t>PRIMARY USER</w:t>
            </w:r>
          </w:p>
          <w:p>
            <w:pPr>
              <w:spacing w:after="40"/>
            </w:pPr>
            <w:r>
              <w:rPr>
                <w:b/>
                <w:color w:val="0F5C4D"/>
                <w:sz w:val="28"/>
              </w:rPr>
              <w:t>Guided active investor</w:t>
            </w:r>
          </w:p>
          <w:p>
            <w:pPr>
              <w:spacing w:after="0"/>
            </w:pPr>
            <w:r>
              <w:rPr>
                <w:color w:val="5E6A66"/>
                <w:sz w:val="16"/>
              </w:rPr>
              <w:t>Beginner to mid-level</w:t>
            </w:r>
          </w:p>
        </w:tc>
        <w:tc>
          <w:tcPr>
            <w:tcW w:type="dxa" w:w="2448"/>
            <w:shd w:fill="EAF3F0"/>
            <w:tcBorders>
              <w:top w:val="single" w:sz="5" w:color="DDE7E3"/>
              <w:left w:val="single" w:sz="5" w:color="DDE7E3"/>
              <w:bottom w:val="single" w:sz="5" w:color="DDE7E3"/>
              <w:right w:val="single" w:sz="5" w:color="DDE7E3"/>
            </w:tcBorders>
            <w:tcMar>
              <w:top w:w="130" w:type="dxa"/>
              <w:start w:w="140" w:type="dxa"/>
              <w:bottom w:w="130" w:type="dxa"/>
              <w:end w:w="140" w:type="dxa"/>
            </w:tcMar>
          </w:tcPr>
          <w:p>
            <w:pPr>
              <w:spacing w:after="40"/>
            </w:pPr>
            <w:r>
              <w:rPr>
                <w:b/>
                <w:color w:val="5E6A66"/>
                <w:sz w:val="14"/>
              </w:rPr>
              <w:t>BUSINESS MODEL</w:t>
            </w:r>
          </w:p>
          <w:p>
            <w:pPr>
              <w:spacing w:after="40"/>
            </w:pPr>
            <w:r>
              <w:rPr>
                <w:b/>
                <w:color w:val="0F5C4D"/>
                <w:sz w:val="28"/>
              </w:rPr>
              <w:t>Subscription SaaS</w:t>
            </w:r>
          </w:p>
          <w:p>
            <w:pPr>
              <w:spacing w:after="0"/>
            </w:pPr>
            <w:r>
              <w:rPr>
                <w:color w:val="5E6A66"/>
                <w:sz w:val="16"/>
              </w:rPr>
              <w:t>B2C first; B2B later</w:t>
            </w:r>
          </w:p>
        </w:tc>
        <w:tc>
          <w:tcPr>
            <w:tcW w:type="dxa" w:w="2448"/>
            <w:shd w:fill="F6F0DF"/>
            <w:tcBorders>
              <w:top w:val="single" w:sz="5" w:color="DDE7E3"/>
              <w:left w:val="single" w:sz="5" w:color="DDE7E3"/>
              <w:bottom w:val="single" w:sz="5" w:color="DDE7E3"/>
              <w:right w:val="single" w:sz="5" w:color="DDE7E3"/>
            </w:tcBorders>
            <w:tcMar>
              <w:top w:w="130" w:type="dxa"/>
              <w:start w:w="140" w:type="dxa"/>
              <w:bottom w:w="130" w:type="dxa"/>
              <w:end w:w="140" w:type="dxa"/>
            </w:tcMar>
          </w:tcPr>
          <w:p>
            <w:pPr>
              <w:spacing w:after="40"/>
            </w:pPr>
            <w:r>
              <w:rPr>
                <w:b/>
                <w:color w:val="5E6A66"/>
                <w:sz w:val="14"/>
              </w:rPr>
              <w:t>CORE PROMISE</w:t>
            </w:r>
          </w:p>
          <w:p>
            <w:pPr>
              <w:spacing w:after="40"/>
            </w:pPr>
            <w:r>
              <w:rPr>
                <w:b/>
                <w:color w:val="0F5C4D"/>
                <w:sz w:val="28"/>
              </w:rPr>
              <w:t>Screened + watched</w:t>
            </w:r>
          </w:p>
          <w:p>
            <w:pPr>
              <w:spacing w:after="0"/>
            </w:pPr>
            <w:r>
              <w:rPr>
                <w:color w:val="5E6A66"/>
                <w:sz w:val="16"/>
              </w:rPr>
              <w:t>Values and market timing</w:t>
            </w:r>
          </w:p>
        </w:tc>
      </w:tr>
    </w:tbl>
    <w:p>
      <w:pPr>
        <w:keepLines/>
      </w:pPr>
    </w:p>
    <w:tbl>
      <w:tblPr>
        <w:tblW w:type="auto" w:w="0"/>
        <w:jc w:val="center"/>
        <w:tblLayout w:type="fixed"/>
        <w:tblLook w:firstColumn="1" w:firstRow="1" w:lastColumn="0" w:lastRow="0" w:noHBand="0" w:noVBand="1" w:val="04A0"/>
      </w:tblPr>
      <w:tblGrid>
        <w:gridCol w:w="4824"/>
        <w:gridCol w:w="4968"/>
      </w:tblGrid>
      <w:tr>
        <w:trPr>
          <w:cantSplit/>
        </w:trPr>
        <w:tc>
          <w:tcPr>
            <w:tcW w:type="dxa" w:w="5112"/>
            <w:shd w:fill="EAF3F0"/>
            <w:tcBorders>
              <w:top w:val="single" w:sz="4" w:color="DFE7E3"/>
              <w:left w:val="single" w:sz="4" w:color="DFE7E3"/>
              <w:bottom w:val="single" w:sz="4" w:color="DFE7E3"/>
              <w:right w:val="single" w:sz="4" w:color="DFE7E3"/>
            </w:tcBorders>
            <w:tcMar>
              <w:top w:w="150" w:type="dxa"/>
              <w:start w:w="160" w:type="dxa"/>
              <w:bottom w:w="150" w:type="dxa"/>
              <w:end w:w="160" w:type="dxa"/>
            </w:tcMar>
          </w:tcPr>
          <w:p>
            <w:pPr>
              <w:spacing w:after="80"/>
            </w:pPr>
            <w:r>
              <w:rPr>
                <w:b/>
                <w:color w:val="0F5C4D"/>
                <w:sz w:val="21"/>
              </w:rPr>
              <w:t>Mission</w:t>
            </w:r>
          </w:p>
          <w:p>
            <w:pPr>
              <w:spacing w:after="0"/>
            </w:pPr>
            <w:r>
              <w:t>Make Sharia-screened market participation easier to understand, easier to monitor, and more transparent for everyday Muslim investors.</w:t>
            </w:r>
          </w:p>
        </w:tc>
        <w:tc>
          <w:tcPr>
            <w:tcW w:type="dxa" w:w="5112"/>
            <w:shd w:fill="F2F4F3"/>
            <w:tcBorders>
              <w:top w:val="single" w:sz="4" w:color="DFE7E3"/>
              <w:left w:val="single" w:sz="4" w:color="DFE7E3"/>
              <w:bottom w:val="single" w:sz="4" w:color="DFE7E3"/>
              <w:right w:val="single" w:sz="4" w:color="DFE7E3"/>
            </w:tcBorders>
            <w:tcMar>
              <w:top w:w="150" w:type="dxa"/>
              <w:start w:w="160" w:type="dxa"/>
              <w:bottom w:w="150" w:type="dxa"/>
              <w:end w:w="160" w:type="dxa"/>
            </w:tcMar>
          </w:tcPr>
          <w:p>
            <w:pPr>
              <w:spacing w:after="80"/>
            </w:pPr>
            <w:r>
              <w:rPr>
                <w:b/>
                <w:color w:val="0F5C4D"/>
                <w:sz w:val="21"/>
              </w:rPr>
              <w:t>Vision</w:t>
            </w:r>
          </w:p>
          <w:p>
            <w:pPr>
              <w:spacing w:after="0"/>
            </w:pPr>
            <w:r>
              <w:t>Become the trust and monitoring layer between Muslim investors and global financial markets.</w:t>
            </w:r>
          </w:p>
        </w:tc>
      </w:tr>
    </w:tbl>
    <w:p>
      <w:pPr>
        <w:keepLines/>
      </w:pPr>
    </w:p>
    <w:tbl>
      <w:tblPr>
        <w:tblW w:type="auto" w:w="0"/>
        <w:jc w:val="center"/>
        <w:tblLayout w:type="fixed"/>
        <w:tblLook w:firstColumn="1" w:firstRow="1" w:lastColumn="0" w:lastRow="0" w:noHBand="0" w:noVBand="1" w:val="04A0"/>
      </w:tblPr>
      <w:tblGrid>
        <w:gridCol w:w="4824"/>
        <w:gridCol w:w="4968"/>
      </w:tblGrid>
      <w:tr>
        <w:trPr>
          <w:cantSplit/>
        </w:trPr>
        <w:tc>
          <w:tcPr>
            <w:tcW w:type="dxa" w:w="5112"/>
            <w:shd w:fill="EAF3F0"/>
            <w:tcBorders>
              <w:top w:val="single" w:sz="4" w:color="DFE7E3"/>
              <w:left w:val="single" w:sz="4" w:color="DFE7E3"/>
              <w:bottom w:val="single" w:sz="4" w:color="DFE7E3"/>
              <w:right w:val="single" w:sz="4" w:color="DFE7E3"/>
            </w:tcBorders>
            <w:tcMar>
              <w:top w:w="150" w:type="dxa"/>
              <w:start w:w="160" w:type="dxa"/>
              <w:bottom w:w="150" w:type="dxa"/>
              <w:end w:w="160" w:type="dxa"/>
            </w:tcMar>
          </w:tcPr>
          <w:p>
            <w:pPr>
              <w:spacing w:after="80"/>
            </w:pPr>
            <w:r>
              <w:rPr>
                <w:b/>
                <w:color w:val="0F5C4D"/>
                <w:sz w:val="21"/>
              </w:rPr>
              <w:t>Recommended headline</w:t>
            </w:r>
          </w:p>
          <w:p>
            <w:pPr>
              <w:spacing w:after="0"/>
            </w:pPr>
            <w:r>
              <w:t>Know what fits your values. Know when it matters.</w:t>
            </w:r>
          </w:p>
        </w:tc>
        <w:tc>
          <w:tcPr>
            <w:tcW w:type="dxa" w:w="5112"/>
            <w:shd w:fill="F2F4F3"/>
            <w:tcBorders>
              <w:top w:val="single" w:sz="4" w:color="DFE7E3"/>
              <w:left w:val="single" w:sz="4" w:color="DFE7E3"/>
              <w:bottom w:val="single" w:sz="4" w:color="DFE7E3"/>
              <w:right w:val="single" w:sz="4" w:color="DFE7E3"/>
            </w:tcBorders>
            <w:tcMar>
              <w:top w:w="150" w:type="dxa"/>
              <w:start w:w="160" w:type="dxa"/>
              <w:bottom w:w="150" w:type="dxa"/>
              <w:end w:w="160" w:type="dxa"/>
            </w:tcMar>
          </w:tcPr>
          <w:p>
            <w:pPr>
              <w:spacing w:after="80"/>
            </w:pPr>
            <w:r>
              <w:rPr>
                <w:b/>
                <w:color w:val="0F5C4D"/>
                <w:sz w:val="21"/>
              </w:rPr>
              <w:t>One-sentence pitch</w:t>
            </w:r>
          </w:p>
          <w:p>
            <w:pPr>
              <w:spacing w:after="0"/>
            </w:pPr>
            <w:r>
              <w:t>HilalMarkets helps Muslim investors explore screened spot assets, create guided Watch Plans, and understand every opportunity, alert, and compliance change.</w:t>
            </w:r>
          </w:p>
        </w:tc>
      </w:tr>
    </w:tbl>
    <w:p>
      <w:pPr>
        <w:pStyle w:val="Heading2"/>
        <w:keepNext/>
        <w:keepLines/>
      </w:pPr>
      <w:r>
        <w:t>What makes the business coherent</w:t>
      </w:r>
    </w:p>
    <w:p>
      <w:pPr>
        <w:keepLines/>
      </w:pPr>
      <w:r>
        <w:rPr>
          <w:b/>
        </w:rPr>
        <w:t xml:space="preserve">Sharia screening is not a separate feature beside a technical scanner. </w:t>
      </w:r>
      <w:r>
        <w:t>It is the foundation of the market universe. Every discovery result, market check, Watch Plan, opportunity journey, and alert begins with the user’s approved Sharia policy.</w:t>
      </w:r>
    </w:p>
    <w:p>
      <w:pPr>
        <w:keepLines/>
      </w:pPr>
      <w:r>
        <w:br w:type="page"/>
      </w:r>
    </w:p>
    <w:p>
      <w:pPr>
        <w:spacing w:before="80" w:after="40"/>
        <w:keepLines/>
      </w:pPr>
      <w:r>
        <w:rPr>
          <w:rFonts w:ascii="Inter" w:hAnsi="Inter"/>
          <w:b/>
          <w:color w:val="C7A55B"/>
          <w:sz w:val="16"/>
        </w:rPr>
        <w:t>01 | COMPANY IDENTITY</w:t>
      </w:r>
    </w:p>
    <w:p>
      <w:pPr>
        <w:pStyle w:val="Heading1"/>
        <w:keepNext/>
        <w:keepLines/>
      </w:pPr>
      <w:r>
        <w:t>Who we are</w:t>
      </w:r>
    </w:p>
    <w:p>
      <w:pPr>
        <w:keepLines/>
      </w:pPr>
      <w:r>
        <w:rPr>
          <w:b/>
        </w:rPr>
        <w:t xml:space="preserve">HilalMarkets is a values-aligned financial technology company. </w:t>
      </w:r>
      <w:r>
        <w:t>The platform combines transparent Sharia screening with explainable market monitoring. It does not tell users what to buy, promise returns, or place trades. Instead, it helps users decide what assets they are willing to consider, what market behavior matters to them, and what happened before and after an alert.</w:t>
      </w:r>
    </w:p>
    <w:tbl>
      <w:tblPr>
        <w:tblW w:type="auto" w:w="0"/>
        <w:jc w:val="center"/>
        <w:tblLayout w:type="fixed"/>
        <w:tblLook w:firstColumn="1" w:firstRow="1" w:lastColumn="0" w:lastRow="0" w:noHBand="0" w:noVBand="1" w:val="04A0"/>
      </w:tblPr>
      <w:tblGrid>
        <w:gridCol w:w="2232"/>
        <w:gridCol w:w="7560"/>
      </w:tblGrid>
      <w:tr>
        <w:trPr>
          <w:tblHeader w:val="true"/>
          <w:cantSplit/>
        </w:trPr>
        <w:tc>
          <w:tcPr>
            <w:tcW w:type="dxa" w:w="5112"/>
            <w:shd w:fill="0F5C4D"/>
            <w:tcBorders>
              <w:top w:val="single" w:sz="4" w:color="0F5C4D"/>
              <w:left w:val="single" w:sz="4" w:color="0F5C4D"/>
              <w:bottom w:val="single" w:sz="4" w:color="0F5C4D"/>
              <w:right w:val="single" w:sz="4" w:color="0F5C4D"/>
            </w:tcBorders>
            <w:tcMar>
              <w:top w:w="100" w:type="dxa"/>
              <w:start w:w="105" w:type="dxa"/>
              <w:bottom w:w="100" w:type="dxa"/>
              <w:end w:w="105" w:type="dxa"/>
            </w:tcMar>
          </w:tcPr>
          <w:p>
            <w:pPr>
              <w:spacing w:after="0"/>
            </w:pPr>
            <w:r>
              <w:rPr>
                <w:b/>
                <w:color w:val="FFFFFF"/>
                <w:sz w:val="16"/>
              </w:rPr>
              <w:t>Element</w:t>
            </w:r>
          </w:p>
        </w:tc>
        <w:tc>
          <w:tcPr>
            <w:tcW w:type="dxa" w:w="5112"/>
            <w:shd w:fill="0F5C4D"/>
            <w:tcBorders>
              <w:top w:val="single" w:sz="4" w:color="0F5C4D"/>
              <w:left w:val="single" w:sz="4" w:color="0F5C4D"/>
              <w:bottom w:val="single" w:sz="4" w:color="0F5C4D"/>
              <w:right w:val="single" w:sz="4" w:color="0F5C4D"/>
            </w:tcBorders>
            <w:tcMar>
              <w:top w:w="100" w:type="dxa"/>
              <w:start w:w="105" w:type="dxa"/>
              <w:bottom w:w="100" w:type="dxa"/>
              <w:end w:w="105" w:type="dxa"/>
            </w:tcMar>
          </w:tcPr>
          <w:p>
            <w:pPr>
              <w:spacing w:after="0"/>
            </w:pPr>
            <w:r>
              <w:rPr>
                <w:b/>
                <w:color w:val="FFFFFF"/>
                <w:sz w:val="16"/>
              </w:rPr>
              <w:t>HilalMarkets definition</w:t>
            </w:r>
          </w:p>
        </w:tc>
      </w:tr>
      <w:tr>
        <w:trPr>
          <w:cantSplit/>
        </w:trPr>
        <w:tc>
          <w:tcPr>
            <w:tcW w:type="dxa" w:w="2232"/>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Company type</w:t>
            </w:r>
          </w:p>
        </w:tc>
        <w:tc>
          <w:tcPr>
            <w:tcW w:type="dxa" w:w="7560"/>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Subscription market-intelligence and monitoring SaaS</w:t>
            </w:r>
          </w:p>
        </w:tc>
      </w:tr>
      <w:tr>
        <w:trPr>
          <w:cantSplit/>
        </w:trPr>
        <w:tc>
          <w:tcPr>
            <w:tcW w:type="dxa" w:w="2232"/>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Initial asset class</w:t>
            </w:r>
          </w:p>
        </w:tc>
        <w:tc>
          <w:tcPr>
            <w:tcW w:type="dxa" w:w="7560"/>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Liquid crypto spot assets</w:t>
            </w:r>
          </w:p>
        </w:tc>
      </w:tr>
      <w:tr>
        <w:trPr>
          <w:cantSplit/>
        </w:trPr>
        <w:tc>
          <w:tcPr>
            <w:tcW w:type="dxa" w:w="2232"/>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Core audience</w:t>
            </w:r>
          </w:p>
        </w:tc>
        <w:tc>
          <w:tcPr>
            <w:tcW w:type="dxa" w:w="7560"/>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Self-directed Muslim investors, mainly beginner to mid-level</w:t>
            </w:r>
          </w:p>
        </w:tc>
      </w:tr>
      <w:tr>
        <w:trPr>
          <w:cantSplit/>
        </w:trPr>
        <w:tc>
          <w:tcPr>
            <w:tcW w:type="dxa" w:w="2232"/>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Primary outcome</w:t>
            </w:r>
          </w:p>
        </w:tc>
        <w:tc>
          <w:tcPr>
            <w:tcW w:type="dxa" w:w="7560"/>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Find and follow screened opportunities without continuously watching charts</w:t>
            </w:r>
          </w:p>
        </w:tc>
      </w:tr>
      <w:tr>
        <w:trPr>
          <w:cantSplit/>
        </w:trPr>
        <w:tc>
          <w:tcPr>
            <w:tcW w:type="dxa" w:w="2232"/>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Decision model</w:t>
            </w:r>
          </w:p>
        </w:tc>
        <w:tc>
          <w:tcPr>
            <w:tcW w:type="dxa" w:w="7560"/>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User-controlled; no automatic execution</w:t>
            </w:r>
          </w:p>
        </w:tc>
      </w:tr>
      <w:tr>
        <w:trPr>
          <w:cantSplit/>
        </w:trPr>
        <w:tc>
          <w:tcPr>
            <w:tcW w:type="dxa" w:w="2232"/>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Religious-governance boundary</w:t>
            </w:r>
          </w:p>
        </w:tc>
        <w:tc>
          <w:tcPr>
            <w:tcW w:type="dxa" w:w="7560"/>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Technology supports evidence collection and rule evaluation; qualified human governance approves methodologies and statuses</w:t>
            </w:r>
          </w:p>
        </w:tc>
      </w:tr>
      <w:tr>
        <w:trPr>
          <w:cantSplit/>
        </w:trPr>
        <w:tc>
          <w:tcPr>
            <w:tcW w:type="dxa" w:w="2232"/>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Primary channels</w:t>
            </w:r>
          </w:p>
        </w:tc>
        <w:tc>
          <w:tcPr>
            <w:tcW w:type="dxa" w:w="7560"/>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Web platform, Telegram, and later supported delivery integrations</w:t>
            </w:r>
          </w:p>
        </w:tc>
      </w:tr>
      <w:tr>
        <w:trPr>
          <w:cantSplit/>
        </w:trPr>
        <w:tc>
          <w:tcPr>
            <w:tcW w:type="dxa" w:w="2232"/>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Expansion path</w:t>
            </w:r>
          </w:p>
        </w:tc>
        <w:tc>
          <w:tcPr>
            <w:tcW w:type="dxa" w:w="7560"/>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Crypto first; selected US and local stock markets after data and Sharia-governance readiness</w:t>
            </w:r>
          </w:p>
        </w:tc>
      </w:tr>
    </w:tbl>
    <w:p>
      <w:pPr>
        <w:pStyle w:val="Heading2"/>
        <w:keepNext/>
        <w:keepLines/>
      </w:pPr>
      <w:r>
        <w:t>Brand position</w:t>
      </w:r>
    </w:p>
    <w:p>
      <w:pPr>
        <w:keepLines/>
      </w:pPr>
      <w:r>
        <w:rPr>
          <w:b/>
        </w:rPr>
        <w:t xml:space="preserve">Recommended descriptor: </w:t>
      </w:r>
      <w:r>
        <w:t>Sharia-screened market intelligence and monitoring.</w:t>
      </w:r>
    </w:p>
    <w:p>
      <w:pPr>
        <w:keepLines/>
      </w:pPr>
      <w:r>
        <w:rPr>
          <w:b/>
        </w:rPr>
        <w:t xml:space="preserve">Recommended positioning statement: </w:t>
      </w:r>
      <w:r>
        <w:t>For self-directed Muslim crypto spot investors who want to participate without compromising their values or watching every chart, HilalMarkets is a guided market-watching platform that filters assets through transparent methodologies, turns plain-language intentions into Watch Plans, and explains every opportunity, alert, and compliance change.</w:t>
      </w:r>
    </w:p>
    <w:p>
      <w:pPr>
        <w:pStyle w:val="Heading2"/>
        <w:keepNext/>
        <w:keepLines/>
      </w:pPr>
      <w:r>
        <w:t>Brand personality</w:t>
      </w:r>
    </w:p>
    <w:tbl>
      <w:tblPr>
        <w:tblW w:type="auto" w:w="0"/>
        <w:jc w:val="center"/>
        <w:tblLayout w:type="fixed"/>
        <w:tblLook w:firstColumn="1" w:firstRow="1" w:lastColumn="0" w:lastRow="0" w:noHBand="0" w:noVBand="1" w:val="04A0"/>
      </w:tblPr>
      <w:tblGrid>
        <w:gridCol w:w="4824"/>
        <w:gridCol w:w="4968"/>
      </w:tblGrid>
      <w:tr>
        <w:trPr>
          <w:tblHeader w:val="true"/>
          <w:cantSplit/>
        </w:trPr>
        <w:tc>
          <w:tcPr>
            <w:tcW w:type="dxa" w:w="5112"/>
            <w:shd w:fill="0F5C4D"/>
            <w:tcBorders>
              <w:top w:val="single" w:sz="4" w:color="0F5C4D"/>
              <w:left w:val="single" w:sz="4" w:color="0F5C4D"/>
              <w:bottom w:val="single" w:sz="4" w:color="0F5C4D"/>
              <w:right w:val="single" w:sz="4" w:color="0F5C4D"/>
            </w:tcBorders>
            <w:tcMar>
              <w:top w:w="100" w:type="dxa"/>
              <w:start w:w="105" w:type="dxa"/>
              <w:bottom w:w="100" w:type="dxa"/>
              <w:end w:w="105" w:type="dxa"/>
            </w:tcMar>
          </w:tcPr>
          <w:p>
            <w:pPr>
              <w:spacing w:after="0"/>
            </w:pPr>
            <w:r>
              <w:rPr>
                <w:b/>
                <w:color w:val="FFFFFF"/>
                <w:sz w:val="16"/>
              </w:rPr>
              <w:t>Be</w:t>
            </w:r>
          </w:p>
        </w:tc>
        <w:tc>
          <w:tcPr>
            <w:tcW w:type="dxa" w:w="5112"/>
            <w:shd w:fill="0F5C4D"/>
            <w:tcBorders>
              <w:top w:val="single" w:sz="4" w:color="0F5C4D"/>
              <w:left w:val="single" w:sz="4" w:color="0F5C4D"/>
              <w:bottom w:val="single" w:sz="4" w:color="0F5C4D"/>
              <w:right w:val="single" w:sz="4" w:color="0F5C4D"/>
            </w:tcBorders>
            <w:tcMar>
              <w:top w:w="100" w:type="dxa"/>
              <w:start w:w="105" w:type="dxa"/>
              <w:bottom w:w="100" w:type="dxa"/>
              <w:end w:w="105" w:type="dxa"/>
            </w:tcMar>
          </w:tcPr>
          <w:p>
            <w:pPr>
              <w:spacing w:after="0"/>
            </w:pPr>
            <w:r>
              <w:rPr>
                <w:b/>
                <w:color w:val="FFFFFF"/>
                <w:sz w:val="16"/>
              </w:rPr>
              <w:t>Avoid</w:t>
            </w:r>
          </w:p>
        </w:tc>
      </w:tr>
      <w:tr>
        <w:trPr>
          <w:cantSplit/>
        </w:trPr>
        <w:tc>
          <w:tcPr>
            <w:tcW w:type="dxa" w:w="4824"/>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Calm, rigorous, evidence-led</w:t>
            </w:r>
          </w:p>
        </w:tc>
        <w:tc>
          <w:tcPr>
            <w:tcW w:type="dxa" w:w="4968"/>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Hype, urgency, and profit promises</w:t>
            </w:r>
          </w:p>
        </w:tc>
      </w:tr>
      <w:tr>
        <w:trPr>
          <w:cantSplit/>
        </w:trPr>
        <w:tc>
          <w:tcPr>
            <w:tcW w:type="dxa" w:w="4824"/>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Simple enough for non-native English speakers</w:t>
            </w:r>
          </w:p>
        </w:tc>
        <w:tc>
          <w:tcPr>
            <w:tcW w:type="dxa" w:w="4968"/>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Dense trader jargon as the default</w:t>
            </w:r>
          </w:p>
        </w:tc>
      </w:tr>
      <w:tr>
        <w:trPr>
          <w:cantSplit/>
        </w:trPr>
        <w:tc>
          <w:tcPr>
            <w:tcW w:type="dxa" w:w="4824"/>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Respectful about scholarly disagreement</w:t>
            </w:r>
          </w:p>
        </w:tc>
        <w:tc>
          <w:tcPr>
            <w:tcW w:type="dxa" w:w="4968"/>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Absolute religious claims without governance</w:t>
            </w:r>
          </w:p>
        </w:tc>
      </w:tr>
      <w:tr>
        <w:trPr>
          <w:cantSplit/>
        </w:trPr>
        <w:tc>
          <w:tcPr>
            <w:tcW w:type="dxa" w:w="4824"/>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Modern financial technology</w:t>
            </w:r>
          </w:p>
        </w:tc>
        <w:tc>
          <w:tcPr>
            <w:tcW w:type="dxa" w:w="4968"/>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Generic religious decoration</w:t>
            </w:r>
          </w:p>
        </w:tc>
      </w:tr>
      <w:tr>
        <w:trPr>
          <w:cantSplit/>
        </w:trPr>
        <w:tc>
          <w:tcPr>
            <w:tcW w:type="dxa" w:w="4824"/>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Transparent about limitations</w:t>
            </w:r>
          </w:p>
        </w:tc>
        <w:tc>
          <w:tcPr>
            <w:tcW w:type="dxa" w:w="4968"/>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Black-box scores or unexplained badges</w:t>
            </w:r>
          </w:p>
        </w:tc>
      </w:tr>
    </w:tbl>
    <w:p>
      <w:pPr>
        <w:spacing w:before="80" w:after="40"/>
        <w:keepLines/>
      </w:pPr>
      <w:r>
        <w:rPr>
          <w:rFonts w:ascii="Inter" w:hAnsi="Inter"/>
          <w:b/>
          <w:color w:val="C7A55B"/>
          <w:sz w:val="16"/>
        </w:rPr>
        <w:t>02 | PROBLEM AND AUDIENCE</w:t>
      </w:r>
    </w:p>
    <w:p>
      <w:pPr>
        <w:pStyle w:val="Heading1"/>
        <w:keepNext/>
        <w:keepLines/>
      </w:pPr>
      <w:r>
        <w:t>The customer problem</w:t>
      </w:r>
    </w:p>
    <w:tbl>
      <w:tblPr>
        <w:tblW w:type="auto" w:w="0"/>
        <w:jc w:val="center"/>
        <w:tblLayout w:type="fixed"/>
        <w:tblLook w:firstColumn="1" w:firstRow="1" w:lastColumn="0" w:lastRow="0" w:noHBand="0" w:noVBand="1" w:val="04A0"/>
      </w:tblPr>
      <w:tblGrid>
        <w:gridCol w:w="173"/>
        <w:gridCol w:w="9619"/>
      </w:tblGrid>
      <w:tr>
        <w:trPr>
          <w:cantSplit/>
        </w:trPr>
        <w:tc>
          <w:tcPr>
            <w:tcW w:type="dxa" w:w="5112"/>
            <w:shd w:fill="0F5C4D"/>
            <w:tcBorders>
              <w:top w:val="nil"/>
              <w:left w:val="nil"/>
              <w:bottom w:val="nil"/>
              <w:right w:val="nil"/>
            </w:tcBorders>
            <w:tcMar>
              <w:top w:w="70" w:type="dxa"/>
              <w:start w:w="0" w:type="dxa"/>
              <w:bottom w:w="70" w:type="dxa"/>
              <w:end w:w="0" w:type="dxa"/>
            </w:tcMar>
          </w:tcPr>
          <w:p/>
        </w:tc>
        <w:tc>
          <w:tcPr>
            <w:tcW w:type="dxa" w:w="5112"/>
            <w:shd w:fill="EAF3F0"/>
            <w:tcBorders>
              <w:top w:val="nil"/>
              <w:left w:val="nil"/>
              <w:bottom w:val="nil"/>
              <w:right w:val="nil"/>
            </w:tcBorders>
            <w:tcMar>
              <w:top w:w="130" w:type="dxa"/>
              <w:start w:w="170" w:type="dxa"/>
              <w:bottom w:w="130" w:type="dxa"/>
              <w:end w:w="170" w:type="dxa"/>
            </w:tcMar>
          </w:tcPr>
          <w:p>
            <w:pPr>
              <w:spacing w:after="60"/>
            </w:pPr>
            <w:r>
              <w:rPr>
                <w:b/>
                <w:color w:val="172B27"/>
                <w:sz w:val="21"/>
              </w:rPr>
              <w:t>The core pain</w:t>
            </w:r>
          </w:p>
          <w:p>
            <w:pPr>
              <w:spacing w:after="0"/>
            </w:pPr>
            <w:r>
              <w:t>Muslim investors often need to use separate sources to check whether an asset fits their values, understand why, watch the chart, set alerts, and later investigate what changed. This fragmented process creates uncertainty, missed opportunities, and low trust.</w:t>
            </w:r>
          </w:p>
        </w:tc>
      </w:tr>
    </w:tbl>
    <w:tbl>
      <w:tblPr>
        <w:tblW w:type="auto" w:w="0"/>
        <w:jc w:val="center"/>
        <w:tblLayout w:type="fixed"/>
        <w:tblLook w:firstColumn="1" w:firstRow="1" w:lastColumn="0" w:lastRow="0" w:noHBand="0" w:noVBand="1" w:val="04A0"/>
      </w:tblPr>
      <w:tblGrid>
        <w:gridCol w:w="3528"/>
        <w:gridCol w:w="6264"/>
      </w:tblGrid>
      <w:tr>
        <w:trPr>
          <w:tblHeader w:val="true"/>
          <w:cantSplit/>
        </w:trPr>
        <w:tc>
          <w:tcPr>
            <w:tcW w:type="dxa" w:w="5112"/>
            <w:shd w:fill="0F5C4D"/>
            <w:tcBorders>
              <w:top w:val="single" w:sz="4" w:color="0F5C4D"/>
              <w:left w:val="single" w:sz="4" w:color="0F5C4D"/>
              <w:bottom w:val="single" w:sz="4" w:color="0F5C4D"/>
              <w:right w:val="single" w:sz="4" w:color="0F5C4D"/>
            </w:tcBorders>
            <w:tcMar>
              <w:top w:w="100" w:type="dxa"/>
              <w:start w:w="105" w:type="dxa"/>
              <w:bottom w:w="100" w:type="dxa"/>
              <w:end w:w="105" w:type="dxa"/>
            </w:tcMar>
          </w:tcPr>
          <w:p>
            <w:pPr>
              <w:spacing w:after="0"/>
            </w:pPr>
            <w:r>
              <w:rPr>
                <w:b/>
                <w:color w:val="FFFFFF"/>
                <w:sz w:val="16"/>
              </w:rPr>
              <w:t>Customer question</w:t>
            </w:r>
          </w:p>
        </w:tc>
        <w:tc>
          <w:tcPr>
            <w:tcW w:type="dxa" w:w="5112"/>
            <w:shd w:fill="0F5C4D"/>
            <w:tcBorders>
              <w:top w:val="single" w:sz="4" w:color="0F5C4D"/>
              <w:left w:val="single" w:sz="4" w:color="0F5C4D"/>
              <w:bottom w:val="single" w:sz="4" w:color="0F5C4D"/>
              <w:right w:val="single" w:sz="4" w:color="0F5C4D"/>
            </w:tcBorders>
            <w:tcMar>
              <w:top w:w="100" w:type="dxa"/>
              <w:start w:w="105" w:type="dxa"/>
              <w:bottom w:w="100" w:type="dxa"/>
              <w:end w:w="105" w:type="dxa"/>
            </w:tcMar>
          </w:tcPr>
          <w:p>
            <w:pPr>
              <w:spacing w:after="0"/>
            </w:pPr>
            <w:r>
              <w:rPr>
                <w:b/>
                <w:color w:val="FFFFFF"/>
                <w:sz w:val="16"/>
              </w:rPr>
              <w:t>HilalMarkets answer</w:t>
            </w:r>
          </w:p>
        </w:tc>
      </w:tr>
      <w:tr>
        <w:trPr>
          <w:cantSplit/>
        </w:trPr>
        <w:tc>
          <w:tcPr>
            <w:tcW w:type="dxa" w:w="3528"/>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What assets may I consider?</w:t>
            </w:r>
          </w:p>
        </w:tc>
        <w:tc>
          <w:tcPr>
            <w:tcW w:type="dxa" w:w="6264"/>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A screened market based on a disclosed, versioned methodology.</w:t>
            </w:r>
          </w:p>
        </w:tc>
      </w:tr>
      <w:tr>
        <w:trPr>
          <w:cantSplit/>
        </w:trPr>
        <w:tc>
          <w:tcPr>
            <w:tcW w:type="dxa" w:w="3528"/>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Why is this asset eligible, qualified, disputed, or excluded?</w:t>
            </w:r>
          </w:p>
        </w:tc>
        <w:tc>
          <w:tcPr>
            <w:tcW w:type="dxa" w:w="6264"/>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A Sharia Evidence Passport with reasons, dates, and sources.</w:t>
            </w:r>
          </w:p>
        </w:tc>
      </w:tr>
      <w:tr>
        <w:trPr>
          <w:cantSplit/>
        </w:trPr>
        <w:tc>
          <w:tcPr>
            <w:tcW w:type="dxa" w:w="3528"/>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What deserves attention now?</w:t>
            </w:r>
          </w:p>
        </w:tc>
        <w:tc>
          <w:tcPr>
            <w:tcW w:type="dxa" w:w="6264"/>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Beginner-friendly opportunity cards and Check the Market Now scans.</w:t>
            </w:r>
          </w:p>
        </w:tc>
      </w:tr>
      <w:tr>
        <w:trPr>
          <w:cantSplit/>
        </w:trPr>
        <w:tc>
          <w:tcPr>
            <w:tcW w:type="dxa" w:w="3528"/>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How do I keep watching without staring at charts?</w:t>
            </w:r>
          </w:p>
        </w:tc>
        <w:tc>
          <w:tcPr>
            <w:tcW w:type="dxa" w:w="6264"/>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Guided Watch Plans across eligible assets or an approved watchlist.</w:t>
            </w:r>
          </w:p>
        </w:tc>
      </w:tr>
      <w:tr>
        <w:trPr>
          <w:cantSplit/>
        </w:trPr>
        <w:tc>
          <w:tcPr>
            <w:tcW w:type="dxa" w:w="3528"/>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What happened before the alert?</w:t>
            </w:r>
          </w:p>
        </w:tc>
        <w:tc>
          <w:tcPr>
            <w:tcW w:type="dxa" w:w="6264"/>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Opportunity journeys showing forming, ready, alert sent, and ended states.</w:t>
            </w:r>
          </w:p>
        </w:tc>
      </w:tr>
      <w:tr>
        <w:trPr>
          <w:cantSplit/>
        </w:trPr>
        <w:tc>
          <w:tcPr>
            <w:tcW w:type="dxa" w:w="3528"/>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Why did an expected alert not happen?</w:t>
            </w:r>
          </w:p>
        </w:tc>
        <w:tc>
          <w:tcPr>
            <w:tcW w:type="dxa" w:w="6264"/>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Evidence-based investigation of market, policy, data, and delivery reasons.</w:t>
            </w:r>
          </w:p>
        </w:tc>
      </w:tr>
      <w:tr>
        <w:trPr>
          <w:cantSplit/>
        </w:trPr>
        <w:tc>
          <w:tcPr>
            <w:tcW w:type="dxa" w:w="3528"/>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What if the project changes?</w:t>
            </w:r>
          </w:p>
        </w:tc>
        <w:tc>
          <w:tcPr>
            <w:tcW w:type="dxa" w:w="6264"/>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Compliance Watch and Compliance Drift Alerts.</w:t>
            </w:r>
          </w:p>
        </w:tc>
      </w:tr>
      <w:tr>
        <w:trPr>
          <w:cantSplit/>
        </w:trPr>
        <w:tc>
          <w:tcPr>
            <w:tcW w:type="dxa" w:w="3528"/>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What if methodologies disagree?</w:t>
            </w:r>
          </w:p>
        </w:tc>
        <w:tc>
          <w:tcPr>
            <w:tcW w:type="dxa" w:w="6264"/>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Methodology Comparison without hiding the disagreement.</w:t>
            </w:r>
          </w:p>
        </w:tc>
      </w:tr>
    </w:tbl>
    <w:p>
      <w:pPr>
        <w:pStyle w:val="Heading2"/>
        <w:keepNext/>
        <w:keepLines/>
      </w:pPr>
      <w:r>
        <w:t>Primary target audience</w:t>
      </w:r>
    </w:p>
    <w:p>
      <w:pPr>
        <w:keepLines/>
      </w:pPr>
      <w:r>
        <w:rPr>
          <w:b/>
        </w:rPr>
        <w:t>The guided active Muslim investor</w:t>
      </w:r>
      <w:r>
        <w:t xml:space="preserve"> is the unifying audience. This user is more active than a passive holder but does not want to become an algorithmic or professional technical trader.</w:t>
      </w:r>
    </w:p>
    <w:p>
      <w:pPr>
        <w:pStyle w:val="ListBullet"/>
        <w:spacing w:after="40"/>
        <w:keepLines/>
      </w:pPr>
      <w:r>
        <w:t>Uses or is considering crypto spot markets.</w:t>
      </w:r>
    </w:p>
    <w:p>
      <w:pPr>
        <w:pStyle w:val="ListBullet"/>
        <w:spacing w:after="40"/>
        <w:keepLines/>
      </w:pPr>
      <w:r>
        <w:t>Avoids leverage, futures, interest-based products, and clearly prohibited activities.</w:t>
      </w:r>
    </w:p>
    <w:p>
      <w:pPr>
        <w:pStyle w:val="ListBullet"/>
        <w:spacing w:after="40"/>
        <w:keepLines/>
      </w:pPr>
      <w:r>
        <w:t>Understands basic concepts such as price levels, trends, breakouts, and volume, but may not know exact formulas.</w:t>
      </w:r>
    </w:p>
    <w:p>
      <w:pPr>
        <w:pStyle w:val="ListBullet"/>
        <w:spacing w:after="40"/>
        <w:keepLines/>
      </w:pPr>
      <w:r>
        <w:t>Wants guidance and understandable defaults, while retaining control over every decision.</w:t>
      </w:r>
    </w:p>
    <w:p>
      <w:pPr>
        <w:pStyle w:val="ListBullet"/>
        <w:spacing w:after="40"/>
        <w:keepLines/>
      </w:pPr>
      <w:r>
        <w:t>Values transparency more than a simple green badge or anonymous signal.</w:t>
      </w:r>
    </w:p>
    <w:p>
      <w:pPr>
        <w:pStyle w:val="ListBullet"/>
        <w:spacing w:after="40"/>
        <w:keepLines/>
      </w:pPr>
      <w:r>
        <w:t>Wants alerts in familiar channels and a clear explanation of why each alert happened.</w:t>
      </w:r>
    </w:p>
    <w:p>
      <w:pPr>
        <w:pStyle w:val="Heading2"/>
        <w:keepNext/>
        <w:keepLines/>
      </w:pPr>
      <w:r>
        <w:t>Secondary audience</w:t>
      </w:r>
    </w:p>
    <w:p>
      <w:pPr>
        <w:keepLines/>
      </w:pPr>
      <w:r>
        <w:t xml:space="preserve">Experienced self-directed traders can open Advanced Controls to define exact indicators, thresholds, multiple timeframes, and logical rule groups. </w:t>
      </w:r>
      <w:r>
        <w:rPr>
          <w:b/>
        </w:rPr>
        <w:t>The advanced engine remains available, but it is not the default experience or the main marketing message.</w:t>
      </w:r>
    </w:p>
    <w:p>
      <w:pPr>
        <w:pStyle w:val="Heading2"/>
        <w:keepNext/>
        <w:keepLines/>
      </w:pPr>
      <w:r>
        <w:t>Initial exclusions</w:t>
      </w:r>
    </w:p>
    <w:p>
      <w:pPr>
        <w:pStyle w:val="ListBullet"/>
        <w:spacing w:after="40"/>
        <w:keepLines/>
      </w:pPr>
      <w:r>
        <w:t>Not a copy-trading, signal-selling, or automatic execution platform.</w:t>
      </w:r>
    </w:p>
    <w:p>
      <w:pPr>
        <w:pStyle w:val="ListBullet"/>
        <w:spacing w:after="40"/>
        <w:keepLines/>
      </w:pPr>
      <w:r>
        <w:t>Not a general Islamic education, social community, prayer, Zakat, or lifestyle application.</w:t>
      </w:r>
    </w:p>
    <w:p>
      <w:pPr>
        <w:pStyle w:val="ListBullet"/>
        <w:spacing w:after="40"/>
        <w:keepLines/>
      </w:pPr>
      <w:r>
        <w:t>Not initially designed for high-frequency scalpers, institutional asset managers, or users seeking unrestricted futures and leverage.</w:t>
      </w:r>
    </w:p>
    <w:p>
      <w:pPr>
        <w:pStyle w:val="ListBullet"/>
        <w:spacing w:after="40"/>
        <w:keepLines/>
      </w:pPr>
      <w:r>
        <w:t>Not a replacement for qualified religious, financial, legal, or investment advice.</w:t>
      </w:r>
    </w:p>
    <w:p>
      <w:pPr>
        <w:keepLines/>
      </w:pPr>
      <w:r>
        <w:br w:type="page"/>
      </w:r>
    </w:p>
    <w:p>
      <w:pPr>
        <w:spacing w:before="80" w:after="40"/>
        <w:keepLines/>
      </w:pPr>
      <w:r>
        <w:rPr>
          <w:rFonts w:ascii="Inter" w:hAnsi="Inter"/>
          <w:b/>
          <w:color w:val="C7A55B"/>
          <w:sz w:val="16"/>
        </w:rPr>
        <w:t>03 | PRODUCT JOURNEY</w:t>
      </w:r>
    </w:p>
    <w:p>
      <w:pPr>
        <w:pStyle w:val="Heading1"/>
        <w:keepNext/>
        <w:keepLines/>
      </w:pPr>
      <w:r>
        <w:t>The HilalMarkets user journey</w:t>
      </w:r>
    </w:p>
    <w:tbl>
      <w:tblPr>
        <w:tblW w:type="auto" w:w="0"/>
        <w:jc w:val="center"/>
        <w:tblLayout w:type="fixed"/>
        <w:tblLook w:firstColumn="1" w:firstRow="1" w:lastColumn="0" w:lastRow="0" w:noHBand="0" w:noVBand="1" w:val="04A0"/>
      </w:tblPr>
      <w:tblGrid>
        <w:gridCol w:w="1800"/>
        <w:gridCol w:w="7992"/>
      </w:tblGrid>
      <w:tr>
        <w:trPr>
          <w:tblHeader w:val="true"/>
          <w:cantSplit/>
        </w:trPr>
        <w:tc>
          <w:tcPr>
            <w:tcW w:type="dxa" w:w="5112"/>
            <w:shd w:fill="0F5C4D"/>
            <w:tcBorders>
              <w:top w:val="single" w:sz="4" w:color="0F5C4D"/>
              <w:left w:val="single" w:sz="4" w:color="0F5C4D"/>
              <w:bottom w:val="single" w:sz="4" w:color="0F5C4D"/>
              <w:right w:val="single" w:sz="4" w:color="0F5C4D"/>
            </w:tcBorders>
            <w:tcMar>
              <w:top w:w="100" w:type="dxa"/>
              <w:start w:w="105" w:type="dxa"/>
              <w:bottom w:w="100" w:type="dxa"/>
              <w:end w:w="105" w:type="dxa"/>
            </w:tcMar>
          </w:tcPr>
          <w:p>
            <w:pPr>
              <w:spacing w:after="0"/>
            </w:pPr>
            <w:r>
              <w:rPr>
                <w:b/>
                <w:color w:val="FFFFFF"/>
                <w:sz w:val="16"/>
              </w:rPr>
              <w:t>Stage</w:t>
            </w:r>
          </w:p>
        </w:tc>
        <w:tc>
          <w:tcPr>
            <w:tcW w:type="dxa" w:w="5112"/>
            <w:shd w:fill="0F5C4D"/>
            <w:tcBorders>
              <w:top w:val="single" w:sz="4" w:color="0F5C4D"/>
              <w:left w:val="single" w:sz="4" w:color="0F5C4D"/>
              <w:bottom w:val="single" w:sz="4" w:color="0F5C4D"/>
              <w:right w:val="single" w:sz="4" w:color="0F5C4D"/>
            </w:tcBorders>
            <w:tcMar>
              <w:top w:w="100" w:type="dxa"/>
              <w:start w:w="105" w:type="dxa"/>
              <w:bottom w:w="100" w:type="dxa"/>
              <w:end w:w="105" w:type="dxa"/>
            </w:tcMar>
          </w:tcPr>
          <w:p>
            <w:pPr>
              <w:spacing w:after="0"/>
            </w:pPr>
            <w:r>
              <w:rPr>
                <w:b/>
                <w:color w:val="FFFFFF"/>
                <w:sz w:val="16"/>
              </w:rPr>
              <w:t>User experience</w:t>
            </w:r>
          </w:p>
        </w:tc>
      </w:tr>
      <w:tr>
        <w:trPr>
          <w:cantSplit/>
        </w:trPr>
        <w:tc>
          <w:tcPr>
            <w:tcW w:type="dxa" w:w="1800"/>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1. Discover</w:t>
            </w:r>
          </w:p>
        </w:tc>
        <w:tc>
          <w:tcPr>
            <w:tcW w:type="dxa" w:w="7992"/>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Browse the Screened Market and see only assets allowed by the selected Sharia policy.</w:t>
            </w:r>
          </w:p>
        </w:tc>
      </w:tr>
      <w:tr>
        <w:trPr>
          <w:cantSplit/>
        </w:trPr>
        <w:tc>
          <w:tcPr>
            <w:tcW w:type="dxa" w:w="1800"/>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2. Understand</w:t>
            </w:r>
          </w:p>
        </w:tc>
        <w:tc>
          <w:tcPr>
            <w:tcW w:type="dxa" w:w="7992"/>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Open the Sharia Evidence Passport to review the status, methodology, reasons, sources, and history.</w:t>
            </w:r>
          </w:p>
        </w:tc>
      </w:tr>
      <w:tr>
        <w:trPr>
          <w:cantSplit/>
        </w:trPr>
        <w:tc>
          <w:tcPr>
            <w:tcW w:type="dxa" w:w="1800"/>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3. Choose</w:t>
            </w:r>
          </w:p>
        </w:tc>
        <w:tc>
          <w:tcPr>
            <w:tcW w:type="dxa" w:w="7992"/>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Select a guided opportunity type or describe what market change matters in normal words.</w:t>
            </w:r>
          </w:p>
        </w:tc>
      </w:tr>
      <w:tr>
        <w:trPr>
          <w:cantSplit/>
        </w:trPr>
        <w:tc>
          <w:tcPr>
            <w:tcW w:type="dxa" w:w="1800"/>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4. Check now</w:t>
            </w:r>
          </w:p>
        </w:tc>
        <w:tc>
          <w:tcPr>
            <w:tcW w:type="dxa" w:w="7992"/>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Run a one-time market check across eligible assets and see full matches, forming opportunities, and what is missing.</w:t>
            </w:r>
          </w:p>
        </w:tc>
      </w:tr>
      <w:tr>
        <w:trPr>
          <w:cantSplit/>
        </w:trPr>
        <w:tc>
          <w:tcPr>
            <w:tcW w:type="dxa" w:w="1800"/>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5. Keep watching</w:t>
            </w:r>
          </w:p>
        </w:tc>
        <w:tc>
          <w:tcPr>
            <w:tcW w:type="dxa" w:w="7992"/>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Create a Watch Plan across the eligible market, approved watchlist, or selected eligible assets.</w:t>
            </w:r>
          </w:p>
        </w:tc>
      </w:tr>
      <w:tr>
        <w:trPr>
          <w:cantSplit/>
        </w:trPr>
        <w:tc>
          <w:tcPr>
            <w:tcW w:type="dxa" w:w="1800"/>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6. Follow</w:t>
            </w:r>
          </w:p>
        </w:tc>
        <w:tc>
          <w:tcPr>
            <w:tcW w:type="dxa" w:w="7992"/>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See each Opportunity Journey progress from detected to forming, ready for review, alert sent, or ended.</w:t>
            </w:r>
          </w:p>
        </w:tc>
      </w:tr>
      <w:tr>
        <w:trPr>
          <w:cantSplit/>
        </w:trPr>
        <w:tc>
          <w:tcPr>
            <w:tcW w:type="dxa" w:w="1800"/>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7. Decide</w:t>
            </w:r>
          </w:p>
        </w:tc>
        <w:tc>
          <w:tcPr>
            <w:tcW w:type="dxa" w:w="7992"/>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Receive Telegram or web alerts with market evidence and Sharia status context; the user makes the decision.</w:t>
            </w:r>
          </w:p>
        </w:tc>
      </w:tr>
      <w:tr>
        <w:trPr>
          <w:cantSplit/>
        </w:trPr>
        <w:tc>
          <w:tcPr>
            <w:tcW w:type="dxa" w:w="1800"/>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8. Investigate</w:t>
            </w:r>
          </w:p>
        </w:tc>
        <w:tc>
          <w:tcPr>
            <w:tcW w:type="dxa" w:w="7992"/>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Open Why Didn’t This Alert Happen? to inspect rule, policy, data, cooldown, or delivery reasons.</w:t>
            </w:r>
          </w:p>
        </w:tc>
      </w:tr>
      <w:tr>
        <w:trPr>
          <w:cantSplit/>
        </w:trPr>
        <w:tc>
          <w:tcPr>
            <w:tcW w:type="dxa" w:w="1800"/>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9. Stay aligned</w:t>
            </w:r>
          </w:p>
        </w:tc>
        <w:tc>
          <w:tcPr>
            <w:tcW w:type="dxa" w:w="7992"/>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Receive Compliance Drift Alerts when a followed asset or methodology changes.</w:t>
            </w:r>
          </w:p>
        </w:tc>
      </w:tr>
    </w:tbl>
    <w:p>
      <w:pPr>
        <w:pStyle w:val="Heading2"/>
        <w:keepNext/>
        <w:keepLines/>
      </w:pPr>
      <w:r>
        <w:t>Activation moment</w:t>
      </w:r>
    </w:p>
    <w:tbl>
      <w:tblPr>
        <w:tblW w:type="auto" w:w="0"/>
        <w:jc w:val="center"/>
        <w:tblLayout w:type="fixed"/>
        <w:tblLook w:firstColumn="1" w:firstRow="1" w:lastColumn="0" w:lastRow="0" w:noHBand="0" w:noVBand="1" w:val="04A0"/>
      </w:tblPr>
      <w:tblGrid>
        <w:gridCol w:w="173"/>
        <w:gridCol w:w="9619"/>
      </w:tblGrid>
      <w:tr>
        <w:trPr>
          <w:cantSplit/>
        </w:trPr>
        <w:tc>
          <w:tcPr>
            <w:tcW w:type="dxa" w:w="5112"/>
            <w:shd w:fill="0F5C4D"/>
            <w:tcBorders>
              <w:top w:val="nil"/>
              <w:left w:val="nil"/>
              <w:bottom w:val="nil"/>
              <w:right w:val="nil"/>
            </w:tcBorders>
            <w:tcMar>
              <w:top w:w="70" w:type="dxa"/>
              <w:start w:w="0" w:type="dxa"/>
              <w:bottom w:w="70" w:type="dxa"/>
              <w:end w:w="0" w:type="dxa"/>
            </w:tcMar>
          </w:tcPr>
          <w:p/>
        </w:tc>
        <w:tc>
          <w:tcPr>
            <w:tcW w:type="dxa" w:w="5112"/>
            <w:shd w:fill="EAF3F0"/>
            <w:tcBorders>
              <w:top w:val="nil"/>
              <w:left w:val="nil"/>
              <w:bottom w:val="nil"/>
              <w:right w:val="nil"/>
            </w:tcBorders>
            <w:tcMar>
              <w:top w:w="130" w:type="dxa"/>
              <w:start w:w="170" w:type="dxa"/>
              <w:bottom w:w="130" w:type="dxa"/>
              <w:end w:w="170" w:type="dxa"/>
            </w:tcMar>
          </w:tcPr>
          <w:p>
            <w:pPr>
              <w:spacing w:after="60"/>
            </w:pPr>
            <w:r>
              <w:rPr>
                <w:b/>
                <w:color w:val="172B27"/>
                <w:sz w:val="21"/>
              </w:rPr>
              <w:t>The first value moment</w:t>
            </w:r>
          </w:p>
          <w:p>
            <w:pPr>
              <w:spacing w:after="0"/>
            </w:pPr>
            <w:r>
              <w:t>A new user has selected a screened universe, created a Watch Plan, completed the first successful scan, and received a test alert. Signup alone is not activation.</w:t>
            </w:r>
          </w:p>
        </w:tc>
      </w:tr>
    </w:tbl>
    <w:p>
      <w:pPr>
        <w:pStyle w:val="Heading2"/>
        <w:keepNext/>
        <w:keepLines/>
      </w:pPr>
      <w:r>
        <w:t>North-star product behavior</w:t>
      </w:r>
    </w:p>
    <w:p>
      <w:pPr>
        <w:keepLines/>
      </w:pPr>
      <w:r>
        <w:rPr>
          <w:b/>
        </w:rPr>
        <w:t xml:space="preserve">The platform should optimize for </w:t>
      </w:r>
      <w:r>
        <w:t>active Watch Plans that successfully scan eligible assets and lead users to inspect an opportunity, alert, or evidence record.</w:t>
      </w:r>
    </w:p>
    <w:p>
      <w:pPr>
        <w:pStyle w:val="Heading2"/>
        <w:keepNext/>
        <w:keepLines/>
      </w:pPr>
      <w:r>
        <w:t>Guided creation example</w:t>
      </w:r>
    </w:p>
    <w:tbl>
      <w:tblPr>
        <w:tblW w:type="auto" w:w="0"/>
        <w:jc w:val="center"/>
        <w:tblLayout w:type="fixed"/>
        <w:tblLook w:firstColumn="1" w:firstRow="1" w:lastColumn="0" w:lastRow="0" w:noHBand="0" w:noVBand="1" w:val="04A0"/>
      </w:tblPr>
      <w:tblGrid>
        <w:gridCol w:w="173"/>
        <w:gridCol w:w="9619"/>
      </w:tblGrid>
      <w:tr>
        <w:trPr>
          <w:cantSplit/>
        </w:trPr>
        <w:tc>
          <w:tcPr>
            <w:tcW w:type="dxa" w:w="5112"/>
            <w:shd w:fill="C7A55B"/>
            <w:tcBorders>
              <w:top w:val="nil"/>
              <w:left w:val="nil"/>
              <w:bottom w:val="nil"/>
              <w:right w:val="nil"/>
            </w:tcBorders>
            <w:tcMar>
              <w:top w:w="70" w:type="dxa"/>
              <w:start w:w="0" w:type="dxa"/>
              <w:bottom w:w="70" w:type="dxa"/>
              <w:end w:w="0" w:type="dxa"/>
            </w:tcMar>
          </w:tcPr>
          <w:p/>
        </w:tc>
        <w:tc>
          <w:tcPr>
            <w:tcW w:type="dxa" w:w="5112"/>
            <w:shd w:fill="F6F0DF"/>
            <w:tcBorders>
              <w:top w:val="nil"/>
              <w:left w:val="nil"/>
              <w:bottom w:val="nil"/>
              <w:right w:val="nil"/>
            </w:tcBorders>
            <w:tcMar>
              <w:top w:w="130" w:type="dxa"/>
              <w:start w:w="170" w:type="dxa"/>
              <w:bottom w:w="130" w:type="dxa"/>
              <w:end w:w="170" w:type="dxa"/>
            </w:tcMar>
          </w:tcPr>
          <w:p>
            <w:pPr>
              <w:spacing w:after="60"/>
            </w:pPr>
            <w:r>
              <w:rPr>
                <w:b/>
                <w:color w:val="172B27"/>
                <w:sz w:val="21"/>
              </w:rPr>
              <w:t>User request</w:t>
            </w:r>
          </w:p>
          <w:p>
            <w:pPr>
              <w:spacing w:after="0"/>
            </w:pPr>
            <w:r>
              <w:t>“Tell me when a screened coin is close to breaking a recent high with stronger market activity.”</w:t>
            </w:r>
          </w:p>
        </w:tc>
      </w:tr>
    </w:tbl>
    <w:tbl>
      <w:tblPr>
        <w:tblW w:type="auto" w:w="0"/>
        <w:jc w:val="center"/>
        <w:tblLayout w:type="fixed"/>
        <w:tblLook w:firstColumn="1" w:firstRow="1" w:lastColumn="0" w:lastRow="0" w:noHBand="0" w:noVBand="1" w:val="04A0"/>
      </w:tblPr>
      <w:tblGrid>
        <w:gridCol w:w="4824"/>
        <w:gridCol w:w="4968"/>
      </w:tblGrid>
      <w:tr>
        <w:trPr>
          <w:tblHeader w:val="true"/>
          <w:cantSplit/>
        </w:trPr>
        <w:tc>
          <w:tcPr>
            <w:tcW w:type="dxa" w:w="5112"/>
            <w:shd w:fill="0F5C4D"/>
            <w:tcBorders>
              <w:top w:val="single" w:sz="4" w:color="0F5C4D"/>
              <w:left w:val="single" w:sz="4" w:color="0F5C4D"/>
              <w:bottom w:val="single" w:sz="4" w:color="0F5C4D"/>
              <w:right w:val="single" w:sz="4" w:color="0F5C4D"/>
            </w:tcBorders>
            <w:tcMar>
              <w:top w:w="100" w:type="dxa"/>
              <w:start w:w="105" w:type="dxa"/>
              <w:bottom w:w="100" w:type="dxa"/>
              <w:end w:w="105" w:type="dxa"/>
            </w:tcMar>
          </w:tcPr>
          <w:p>
            <w:pPr>
              <w:spacing w:after="0"/>
            </w:pPr>
            <w:r>
              <w:rPr>
                <w:b/>
                <w:color w:val="FFFFFF"/>
                <w:sz w:val="16"/>
              </w:rPr>
              <w:t>What the user sees</w:t>
            </w:r>
          </w:p>
        </w:tc>
        <w:tc>
          <w:tcPr>
            <w:tcW w:type="dxa" w:w="5112"/>
            <w:shd w:fill="0F5C4D"/>
            <w:tcBorders>
              <w:top w:val="single" w:sz="4" w:color="0F5C4D"/>
              <w:left w:val="single" w:sz="4" w:color="0F5C4D"/>
              <w:bottom w:val="single" w:sz="4" w:color="0F5C4D"/>
              <w:right w:val="single" w:sz="4" w:color="0F5C4D"/>
            </w:tcBorders>
            <w:tcMar>
              <w:top w:w="100" w:type="dxa"/>
              <w:start w:w="105" w:type="dxa"/>
              <w:bottom w:w="100" w:type="dxa"/>
              <w:end w:w="105" w:type="dxa"/>
            </w:tcMar>
          </w:tcPr>
          <w:p>
            <w:pPr>
              <w:spacing w:after="0"/>
            </w:pPr>
            <w:r>
              <w:rPr>
                <w:b/>
                <w:color w:val="FFFFFF"/>
                <w:sz w:val="16"/>
              </w:rPr>
              <w:t>What the engine stores</w:t>
            </w:r>
          </w:p>
        </w:tc>
      </w:tr>
      <w:tr>
        <w:trPr>
          <w:cantSplit/>
        </w:trPr>
        <w:tc>
          <w:tcPr>
            <w:tcW w:type="dxa" w:w="4824"/>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Opportunity type: Breaking a recent high</w:t>
            </w:r>
          </w:p>
        </w:tc>
        <w:tc>
          <w:tcPr>
            <w:tcW w:type="dxa" w:w="4968"/>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Close above recent-range high</w:t>
            </w:r>
          </w:p>
        </w:tc>
      </w:tr>
      <w:tr>
        <w:trPr>
          <w:cantSplit/>
        </w:trPr>
        <w:tc>
          <w:tcPr>
            <w:tcW w:type="dxa" w:w="4824"/>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Confirmation: Clearly stronger activity</w:t>
            </w:r>
          </w:p>
        </w:tc>
        <w:tc>
          <w:tcPr>
            <w:tcW w:type="dxa" w:w="4968"/>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Volume ≥ approved multiplier versus average</w:t>
            </w:r>
          </w:p>
        </w:tc>
      </w:tr>
      <w:tr>
        <w:trPr>
          <w:cantSplit/>
        </w:trPr>
        <w:tc>
          <w:tcPr>
            <w:tcW w:type="dxa" w:w="4824"/>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Timing: Tell me early and after confirmation</w:t>
            </w:r>
          </w:p>
        </w:tc>
        <w:tc>
          <w:tcPr>
            <w:tcW w:type="dxa" w:w="4968"/>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Forming + confirmed notification states</w:t>
            </w:r>
          </w:p>
        </w:tc>
      </w:tr>
      <w:tr>
        <w:trPr>
          <w:cantSplit/>
        </w:trPr>
        <w:tc>
          <w:tcPr>
            <w:tcW w:type="dxa" w:w="4824"/>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Market: Screened eligible spot assets</w:t>
            </w:r>
          </w:p>
        </w:tc>
        <w:tc>
          <w:tcPr>
            <w:tcW w:type="dxa" w:w="4968"/>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Sharia policy + exchange + quote + liquidity filters</w:t>
            </w:r>
          </w:p>
        </w:tc>
      </w:tr>
      <w:tr>
        <w:trPr>
          <w:cantSplit/>
        </w:trPr>
        <w:tc>
          <w:tcPr>
            <w:tcW w:type="dxa" w:w="4824"/>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Compliance behavior: Pause if status changes</w:t>
            </w:r>
          </w:p>
        </w:tc>
        <w:tc>
          <w:tcPr>
            <w:tcW w:type="dxa" w:w="4968"/>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Per-asset pause and drift-notification policy</w:t>
            </w:r>
          </w:p>
        </w:tc>
      </w:tr>
    </w:tbl>
    <w:p>
      <w:pPr>
        <w:spacing w:before="80" w:after="40"/>
        <w:keepLines/>
      </w:pPr>
      <w:r>
        <w:rPr>
          <w:rFonts w:ascii="Inter" w:hAnsi="Inter"/>
          <w:b/>
          <w:color w:val="C7A55B"/>
          <w:sz w:val="16"/>
        </w:rPr>
        <w:t>04 | PRODUCT PILLARS</w:t>
      </w:r>
    </w:p>
    <w:p>
      <w:pPr>
        <w:pStyle w:val="Heading1"/>
        <w:keepNext/>
        <w:keepLines/>
      </w:pPr>
      <w:r>
        <w:t>The connected product system</w:t>
      </w:r>
    </w:p>
    <w:tbl>
      <w:tblPr>
        <w:tblW w:type="auto" w:w="0"/>
        <w:jc w:val="center"/>
        <w:tblLayout w:type="fixed"/>
        <w:tblLook w:firstColumn="1" w:firstRow="1" w:lastColumn="0" w:lastRow="0" w:noHBand="0" w:noVBand="1" w:val="04A0"/>
      </w:tblPr>
      <w:tblGrid>
        <w:gridCol w:w="2088"/>
        <w:gridCol w:w="3240"/>
        <w:gridCol w:w="4464"/>
      </w:tblGrid>
      <w:tr>
        <w:trPr>
          <w:tblHeader w:val="true"/>
          <w:cantSplit/>
        </w:trPr>
        <w:tc>
          <w:tcPr>
            <w:tcW w:type="dxa" w:w="3408"/>
            <w:shd w:fill="0F5C4D"/>
            <w:tcBorders>
              <w:top w:val="single" w:sz="4" w:color="0F5C4D"/>
              <w:left w:val="single" w:sz="4" w:color="0F5C4D"/>
              <w:bottom w:val="single" w:sz="4" w:color="0F5C4D"/>
              <w:right w:val="single" w:sz="4" w:color="0F5C4D"/>
            </w:tcBorders>
            <w:tcMar>
              <w:top w:w="100" w:type="dxa"/>
              <w:start w:w="105" w:type="dxa"/>
              <w:bottom w:w="100" w:type="dxa"/>
              <w:end w:w="105" w:type="dxa"/>
            </w:tcMar>
          </w:tcPr>
          <w:p>
            <w:pPr>
              <w:spacing w:after="0"/>
            </w:pPr>
            <w:r>
              <w:rPr>
                <w:b/>
                <w:color w:val="FFFFFF"/>
                <w:sz w:val="16"/>
              </w:rPr>
              <w:t>Pillar</w:t>
            </w:r>
          </w:p>
        </w:tc>
        <w:tc>
          <w:tcPr>
            <w:tcW w:type="dxa" w:w="3408"/>
            <w:shd w:fill="0F5C4D"/>
            <w:tcBorders>
              <w:top w:val="single" w:sz="4" w:color="0F5C4D"/>
              <w:left w:val="single" w:sz="4" w:color="0F5C4D"/>
              <w:bottom w:val="single" w:sz="4" w:color="0F5C4D"/>
              <w:right w:val="single" w:sz="4" w:color="0F5C4D"/>
            </w:tcBorders>
            <w:tcMar>
              <w:top w:w="100" w:type="dxa"/>
              <w:start w:w="105" w:type="dxa"/>
              <w:bottom w:w="100" w:type="dxa"/>
              <w:end w:w="105" w:type="dxa"/>
            </w:tcMar>
          </w:tcPr>
          <w:p>
            <w:pPr>
              <w:spacing w:after="0"/>
            </w:pPr>
            <w:r>
              <w:rPr>
                <w:b/>
                <w:color w:val="FFFFFF"/>
                <w:sz w:val="16"/>
              </w:rPr>
              <w:t>Pain solved</w:t>
            </w:r>
          </w:p>
        </w:tc>
        <w:tc>
          <w:tcPr>
            <w:tcW w:type="dxa" w:w="3408"/>
            <w:shd w:fill="0F5C4D"/>
            <w:tcBorders>
              <w:top w:val="single" w:sz="4" w:color="0F5C4D"/>
              <w:left w:val="single" w:sz="4" w:color="0F5C4D"/>
              <w:bottom w:val="single" w:sz="4" w:color="0F5C4D"/>
              <w:right w:val="single" w:sz="4" w:color="0F5C4D"/>
            </w:tcBorders>
            <w:tcMar>
              <w:top w:w="100" w:type="dxa"/>
              <w:start w:w="105" w:type="dxa"/>
              <w:bottom w:w="100" w:type="dxa"/>
              <w:end w:w="105" w:type="dxa"/>
            </w:tcMar>
          </w:tcPr>
          <w:p>
            <w:pPr>
              <w:spacing w:after="0"/>
            </w:pPr>
            <w:r>
              <w:rPr>
                <w:b/>
                <w:color w:val="FFFFFF"/>
                <w:sz w:val="16"/>
              </w:rPr>
              <w:t>User-facing experience</w:t>
            </w:r>
          </w:p>
        </w:tc>
      </w:tr>
      <w:tr>
        <w:trPr>
          <w:cantSplit/>
        </w:trPr>
        <w:tc>
          <w:tcPr>
            <w:tcW w:type="dxa" w:w="2088"/>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Screened Market</w:t>
            </w:r>
          </w:p>
        </w:tc>
        <w:tc>
          <w:tcPr>
            <w:tcW w:type="dxa" w:w="3240"/>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Users do not know what assets fit the selected Sharia approach.</w:t>
            </w:r>
          </w:p>
        </w:tc>
        <w:tc>
          <w:tcPr>
            <w:tcW w:type="dxa" w:w="4464"/>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A policy-gated discovery surface showing only eligible or explicitly allowed statuses.</w:t>
            </w:r>
          </w:p>
        </w:tc>
      </w:tr>
      <w:tr>
        <w:trPr>
          <w:cantSplit/>
        </w:trPr>
        <w:tc>
          <w:tcPr>
            <w:tcW w:type="dxa" w:w="2088"/>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Sharia Evidence Passport</w:t>
            </w:r>
          </w:p>
        </w:tc>
        <w:tc>
          <w:tcPr>
            <w:tcW w:type="dxa" w:w="3240"/>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A binary badge does not create trust.</w:t>
            </w:r>
          </w:p>
        </w:tc>
        <w:tc>
          <w:tcPr>
            <w:tcW w:type="dxa" w:w="4464"/>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A dated, source-backed explanation of status, qualifications, evidence, and history.</w:t>
            </w:r>
          </w:p>
        </w:tc>
      </w:tr>
      <w:tr>
        <w:trPr>
          <w:cantSplit/>
        </w:trPr>
        <w:tc>
          <w:tcPr>
            <w:tcW w:type="dxa" w:w="2088"/>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Guided Watch Plans</w:t>
            </w:r>
          </w:p>
        </w:tc>
        <w:tc>
          <w:tcPr>
            <w:tcW w:type="dxa" w:w="3240"/>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Users cannot watch every chart or translate ideas into exact mechanics.</w:t>
            </w:r>
          </w:p>
        </w:tc>
        <w:tc>
          <w:tcPr>
            <w:tcW w:type="dxa" w:w="4464"/>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Plain-language setup creation with simple choices and optional exact rules.</w:t>
            </w:r>
          </w:p>
        </w:tc>
      </w:tr>
      <w:tr>
        <w:trPr>
          <w:cantSplit/>
        </w:trPr>
        <w:tc>
          <w:tcPr>
            <w:tcW w:type="dxa" w:w="2088"/>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Check the Market Now</w:t>
            </w:r>
          </w:p>
        </w:tc>
        <w:tc>
          <w:tcPr>
            <w:tcW w:type="dxa" w:w="3240"/>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Users want immediate value before committing to a continuous monitor.</w:t>
            </w:r>
          </w:p>
        </w:tc>
        <w:tc>
          <w:tcPr>
            <w:tcW w:type="dxa" w:w="4464"/>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One-time scan of the screened universe with matches, forming opportunities, and missing requirements.</w:t>
            </w:r>
          </w:p>
        </w:tc>
      </w:tr>
      <w:tr>
        <w:trPr>
          <w:cantSplit/>
        </w:trPr>
        <w:tc>
          <w:tcPr>
            <w:tcW w:type="dxa" w:w="2088"/>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Opportunity Journeys</w:t>
            </w:r>
          </w:p>
        </w:tc>
        <w:tc>
          <w:tcPr>
            <w:tcW w:type="dxa" w:w="3240"/>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Traditional alerts hide what happened before and after the trigger.</w:t>
            </w:r>
          </w:p>
        </w:tc>
        <w:tc>
          <w:tcPr>
            <w:tcW w:type="dxa" w:w="4464"/>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A complete record from first detection through alert or ending.</w:t>
            </w:r>
          </w:p>
        </w:tc>
      </w:tr>
      <w:tr>
        <w:trPr>
          <w:cantSplit/>
        </w:trPr>
        <w:tc>
          <w:tcPr>
            <w:tcW w:type="dxa" w:w="2088"/>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Evidence and Activity</w:t>
            </w:r>
          </w:p>
        </w:tc>
        <w:tc>
          <w:tcPr>
            <w:tcW w:type="dxa" w:w="3240"/>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Market proof, alert proof, and compliance evidence are fragmented.</w:t>
            </w:r>
          </w:p>
        </w:tc>
        <w:tc>
          <w:tcPr>
            <w:tcW w:type="dxa" w:w="4464"/>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One workspace for forming opportunities, alerts, ended journeys, investigations, and compliance changes.</w:t>
            </w:r>
          </w:p>
        </w:tc>
      </w:tr>
      <w:tr>
        <w:trPr>
          <w:cantSplit/>
        </w:trPr>
        <w:tc>
          <w:tcPr>
            <w:tcW w:type="dxa" w:w="2088"/>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Compliance Watch</w:t>
            </w:r>
          </w:p>
        </w:tc>
        <w:tc>
          <w:tcPr>
            <w:tcW w:type="dxa" w:w="3240"/>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An asset can change after the original screening.</w:t>
            </w:r>
          </w:p>
        </w:tc>
        <w:tc>
          <w:tcPr>
            <w:tcW w:type="dxa" w:w="4464"/>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A review pipeline for material project, token, treasury, governance, and product changes.</w:t>
            </w:r>
          </w:p>
        </w:tc>
      </w:tr>
      <w:tr>
        <w:trPr>
          <w:cantSplit/>
        </w:trPr>
        <w:tc>
          <w:tcPr>
            <w:tcW w:type="dxa" w:w="2088"/>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Compliance Drift Alerts</w:t>
            </w:r>
          </w:p>
        </w:tc>
        <w:tc>
          <w:tcPr>
            <w:tcW w:type="dxa" w:w="3240"/>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Users may keep watching an asset after its status changes.</w:t>
            </w:r>
          </w:p>
        </w:tc>
        <w:tc>
          <w:tcPr>
            <w:tcW w:type="dxa" w:w="4464"/>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Immediate notice, affected Watch Plans, and automatic pause behavior.</w:t>
            </w:r>
          </w:p>
        </w:tc>
      </w:tr>
      <w:tr>
        <w:trPr>
          <w:cantSplit/>
        </w:trPr>
        <w:tc>
          <w:tcPr>
            <w:tcW w:type="dxa" w:w="2088"/>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Methodology Comparison</w:t>
            </w:r>
          </w:p>
        </w:tc>
        <w:tc>
          <w:tcPr>
            <w:tcW w:type="dxa" w:w="3240"/>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Different approved methodologies may disagree.</w:t>
            </w:r>
          </w:p>
        </w:tc>
        <w:tc>
          <w:tcPr>
            <w:tcW w:type="dxa" w:w="4464"/>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Side-by-side results with reasons and no false consensus.</w:t>
            </w:r>
          </w:p>
        </w:tc>
      </w:tr>
      <w:tr>
        <w:trPr>
          <w:cantSplit/>
        </w:trPr>
        <w:tc>
          <w:tcPr>
            <w:tcW w:type="dxa" w:w="2088"/>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Opportunity Cards</w:t>
            </w:r>
          </w:p>
        </w:tc>
        <w:tc>
          <w:tcPr>
            <w:tcW w:type="dxa" w:w="3240"/>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Technical output overwhelms beginners.</w:t>
            </w:r>
          </w:p>
        </w:tc>
        <w:tc>
          <w:tcPr>
            <w:tcW w:type="dxa" w:w="4464"/>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Compact cards showing status, readiness, what is present, what is missing, and the next action.</w:t>
            </w:r>
          </w:p>
        </w:tc>
      </w:tr>
    </w:tbl>
    <w:p>
      <w:pPr>
        <w:pStyle w:val="Heading2"/>
        <w:keepNext/>
        <w:keepLines/>
      </w:pPr>
      <w:r>
        <w:t>Sharia screening as infrastructure</w:t>
      </w:r>
    </w:p>
    <w:p>
      <w:pPr>
        <w:keepLines/>
      </w:pPr>
      <w:r>
        <w:t xml:space="preserve">The same policy resolver should be used by discovery, market checks, Watch Plans, scheduled workers, journeys, and alerts. </w:t>
      </w:r>
      <w:r>
        <w:rPr>
          <w:b/>
        </w:rPr>
        <w:t>An asset that no longer matches the effective policy should be paused, removed, or flagged according to the user’s configured behavior; it should never silently continue as an ordinary technical opportunity.</w:t>
      </w:r>
    </w:p>
    <w:p>
      <w:pPr>
        <w:pStyle w:val="Heading2"/>
        <w:keepNext/>
        <w:keepLines/>
      </w:pPr>
      <w:r>
        <w:t>Language for the unified audience</w:t>
      </w:r>
    </w:p>
    <w:tbl>
      <w:tblPr>
        <w:tblW w:type="auto" w:w="0"/>
        <w:jc w:val="center"/>
        <w:tblLayout w:type="fixed"/>
        <w:tblLook w:firstColumn="1" w:firstRow="1" w:lastColumn="0" w:lastRow="0" w:noHBand="0" w:noVBand="1" w:val="04A0"/>
      </w:tblPr>
      <w:tblGrid>
        <w:gridCol w:w="3888"/>
        <w:gridCol w:w="5904"/>
      </w:tblGrid>
      <w:tr>
        <w:trPr>
          <w:tblHeader w:val="true"/>
          <w:cantSplit/>
        </w:trPr>
        <w:tc>
          <w:tcPr>
            <w:tcW w:type="dxa" w:w="5112"/>
            <w:shd w:fill="0F5C4D"/>
            <w:tcBorders>
              <w:top w:val="single" w:sz="4" w:color="0F5C4D"/>
              <w:left w:val="single" w:sz="4" w:color="0F5C4D"/>
              <w:bottom w:val="single" w:sz="4" w:color="0F5C4D"/>
              <w:right w:val="single" w:sz="4" w:color="0F5C4D"/>
            </w:tcBorders>
            <w:tcMar>
              <w:top w:w="100" w:type="dxa"/>
              <w:start w:w="105" w:type="dxa"/>
              <w:bottom w:w="100" w:type="dxa"/>
              <w:end w:w="105" w:type="dxa"/>
            </w:tcMar>
          </w:tcPr>
          <w:p>
            <w:pPr>
              <w:spacing w:after="0"/>
            </w:pPr>
            <w:r>
              <w:rPr>
                <w:b/>
                <w:color w:val="FFFFFF"/>
                <w:sz w:val="16"/>
              </w:rPr>
              <w:t>Technical/internal term</w:t>
            </w:r>
          </w:p>
        </w:tc>
        <w:tc>
          <w:tcPr>
            <w:tcW w:type="dxa" w:w="5112"/>
            <w:shd w:fill="0F5C4D"/>
            <w:tcBorders>
              <w:top w:val="single" w:sz="4" w:color="0F5C4D"/>
              <w:left w:val="single" w:sz="4" w:color="0F5C4D"/>
              <w:bottom w:val="single" w:sz="4" w:color="0F5C4D"/>
              <w:right w:val="single" w:sz="4" w:color="0F5C4D"/>
            </w:tcBorders>
            <w:tcMar>
              <w:top w:w="100" w:type="dxa"/>
              <w:start w:w="105" w:type="dxa"/>
              <w:bottom w:w="100" w:type="dxa"/>
              <w:end w:w="105" w:type="dxa"/>
            </w:tcMar>
          </w:tcPr>
          <w:p>
            <w:pPr>
              <w:spacing w:after="0"/>
            </w:pPr>
            <w:r>
              <w:rPr>
                <w:b/>
                <w:color w:val="FFFFFF"/>
                <w:sz w:val="16"/>
              </w:rPr>
              <w:t>Customer-facing term</w:t>
            </w:r>
          </w:p>
        </w:tc>
      </w:tr>
      <w:tr>
        <w:trPr>
          <w:cantSplit/>
        </w:trPr>
        <w:tc>
          <w:tcPr>
            <w:tcW w:type="dxa" w:w="3888"/>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Strategy</w:t>
            </w:r>
          </w:p>
        </w:tc>
        <w:tc>
          <w:tcPr>
            <w:tcW w:type="dxa" w:w="5904"/>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Watch Plan</w:t>
            </w:r>
          </w:p>
        </w:tc>
      </w:tr>
      <w:tr>
        <w:trPr>
          <w:cantSplit/>
        </w:trPr>
        <w:tc>
          <w:tcPr>
            <w:tcW w:type="dxa" w:w="3888"/>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Candidate</w:t>
            </w:r>
          </w:p>
        </w:tc>
        <w:tc>
          <w:tcPr>
            <w:tcW w:type="dxa" w:w="5904"/>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Opportunity</w:t>
            </w:r>
          </w:p>
        </w:tc>
      </w:tr>
      <w:tr>
        <w:trPr>
          <w:cantSplit/>
        </w:trPr>
        <w:tc>
          <w:tcPr>
            <w:tcW w:type="dxa" w:w="3888"/>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Partial match / Near miss</w:t>
            </w:r>
          </w:p>
        </w:tc>
        <w:tc>
          <w:tcPr>
            <w:tcW w:type="dxa" w:w="5904"/>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Forming / Getting closer</w:t>
            </w:r>
          </w:p>
        </w:tc>
      </w:tr>
      <w:tr>
        <w:trPr>
          <w:cantSplit/>
        </w:trPr>
        <w:tc>
          <w:tcPr>
            <w:tcW w:type="dxa" w:w="3888"/>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Conditions complete</w:t>
            </w:r>
          </w:p>
        </w:tc>
        <w:tc>
          <w:tcPr>
            <w:tcW w:type="dxa" w:w="5904"/>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Ready for review</w:t>
            </w:r>
          </w:p>
        </w:tc>
      </w:tr>
      <w:tr>
        <w:trPr>
          <w:cantSplit/>
        </w:trPr>
        <w:tc>
          <w:tcPr>
            <w:tcW w:type="dxa" w:w="3888"/>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Lifecycle</w:t>
            </w:r>
          </w:p>
        </w:tc>
        <w:tc>
          <w:tcPr>
            <w:tcW w:type="dxa" w:w="5904"/>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Opportunity journey</w:t>
            </w:r>
          </w:p>
        </w:tc>
      </w:tr>
      <w:tr>
        <w:trPr>
          <w:cantSplit/>
        </w:trPr>
        <w:tc>
          <w:tcPr>
            <w:tcW w:type="dxa" w:w="3888"/>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Blocker</w:t>
            </w:r>
          </w:p>
        </w:tc>
        <w:tc>
          <w:tcPr>
            <w:tcW w:type="dxa" w:w="5904"/>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What is still missing</w:t>
            </w:r>
          </w:p>
        </w:tc>
      </w:tr>
      <w:tr>
        <w:trPr>
          <w:cantSplit/>
        </w:trPr>
        <w:tc>
          <w:tcPr>
            <w:tcW w:type="dxa" w:w="3888"/>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Rule evaluation</w:t>
            </w:r>
          </w:p>
        </w:tc>
        <w:tc>
          <w:tcPr>
            <w:tcW w:type="dxa" w:w="5904"/>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Market check</w:t>
            </w:r>
          </w:p>
        </w:tc>
      </w:tr>
      <w:tr>
        <w:trPr>
          <w:cantSplit/>
        </w:trPr>
        <w:tc>
          <w:tcPr>
            <w:tcW w:type="dxa" w:w="3888"/>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Universe</w:t>
            </w:r>
          </w:p>
        </w:tc>
        <w:tc>
          <w:tcPr>
            <w:tcW w:type="dxa" w:w="5904"/>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Screened market</w:t>
            </w:r>
          </w:p>
        </w:tc>
      </w:tr>
      <w:tr>
        <w:trPr>
          <w:cantSplit/>
        </w:trPr>
        <w:tc>
          <w:tcPr>
            <w:tcW w:type="dxa" w:w="3888"/>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Alert Proof</w:t>
            </w:r>
          </w:p>
        </w:tc>
        <w:tc>
          <w:tcPr>
            <w:tcW w:type="dxa" w:w="5904"/>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Why you received this alert</w:t>
            </w:r>
          </w:p>
        </w:tc>
      </w:tr>
      <w:tr>
        <w:trPr>
          <w:cantSplit/>
        </w:trPr>
        <w:tc>
          <w:tcPr>
            <w:tcW w:type="dxa" w:w="3888"/>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Why Wasn’t I Alerted?</w:t>
            </w:r>
          </w:p>
        </w:tc>
        <w:tc>
          <w:tcPr>
            <w:tcW w:type="dxa" w:w="5904"/>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Why didn’t this alert happen?</w:t>
            </w:r>
          </w:p>
        </w:tc>
      </w:tr>
    </w:tbl>
    <w:p>
      <w:pPr>
        <w:keepLines/>
      </w:pPr>
      <w:r>
        <w:br w:type="page"/>
      </w:r>
    </w:p>
    <w:p>
      <w:pPr>
        <w:spacing w:before="80" w:after="40"/>
        <w:keepLines/>
      </w:pPr>
      <w:r>
        <w:rPr>
          <w:rFonts w:ascii="Inter" w:hAnsi="Inter"/>
          <w:b/>
          <w:color w:val="C7A55B"/>
          <w:sz w:val="16"/>
        </w:rPr>
        <w:t>05 | PRODUCT AND TECHNICAL FOUNDATION</w:t>
      </w:r>
    </w:p>
    <w:p>
      <w:pPr>
        <w:pStyle w:val="Heading1"/>
        <w:keepNext/>
        <w:keepLines/>
      </w:pPr>
      <w:r>
        <w:t>What already exists and what is planned</w:t>
      </w:r>
    </w:p>
    <w:tbl>
      <w:tblPr>
        <w:tblW w:type="auto" w:w="0"/>
        <w:jc w:val="center"/>
        <w:tblLayout w:type="fixed"/>
        <w:tblLook w:firstColumn="1" w:firstRow="1" w:lastColumn="0" w:lastRow="0" w:noHBand="0" w:noVBand="1" w:val="04A0"/>
      </w:tblPr>
      <w:tblGrid>
        <w:gridCol w:w="173"/>
        <w:gridCol w:w="9619"/>
      </w:tblGrid>
      <w:tr>
        <w:trPr>
          <w:cantSplit/>
        </w:trPr>
        <w:tc>
          <w:tcPr>
            <w:tcW w:type="dxa" w:w="5112"/>
            <w:shd w:fill="0F5C4D"/>
            <w:tcBorders>
              <w:top w:val="nil"/>
              <w:left w:val="nil"/>
              <w:bottom w:val="nil"/>
              <w:right w:val="nil"/>
            </w:tcBorders>
            <w:tcMar>
              <w:top w:w="70" w:type="dxa"/>
              <w:start w:w="0" w:type="dxa"/>
              <w:bottom w:w="70" w:type="dxa"/>
              <w:end w:w="0" w:type="dxa"/>
            </w:tcMar>
          </w:tcPr>
          <w:p/>
        </w:tc>
        <w:tc>
          <w:tcPr>
            <w:tcW w:type="dxa" w:w="5112"/>
            <w:shd w:fill="EAF3F0"/>
            <w:tcBorders>
              <w:top w:val="nil"/>
              <w:left w:val="nil"/>
              <w:bottom w:val="nil"/>
              <w:right w:val="nil"/>
            </w:tcBorders>
            <w:tcMar>
              <w:top w:w="130" w:type="dxa"/>
              <w:start w:w="170" w:type="dxa"/>
              <w:bottom w:w="130" w:type="dxa"/>
              <w:end w:w="170" w:type="dxa"/>
            </w:tcMar>
          </w:tcPr>
          <w:p>
            <w:pPr>
              <w:spacing w:after="60"/>
            </w:pPr>
            <w:r>
              <w:rPr>
                <w:b/>
                <w:color w:val="172B27"/>
                <w:sz w:val="21"/>
              </w:rPr>
              <w:t>Important distinction</w:t>
            </w:r>
          </w:p>
          <w:p>
            <w:pPr>
              <w:spacing w:after="0"/>
            </w:pPr>
            <w:r>
              <w:t>The public code and website currently describe TraceEdge, not HilalMarkets. The Sharia-first product layer is planned through local implementation and must be treated as planned until migrated, tested, and governed.</w:t>
            </w:r>
          </w:p>
        </w:tc>
      </w:tr>
    </w:tbl>
    <w:tbl>
      <w:tblPr>
        <w:tblW w:type="auto" w:w="0"/>
        <w:jc w:val="center"/>
        <w:tblLayout w:type="fixed"/>
        <w:tblLook w:firstColumn="1" w:firstRow="1" w:lastColumn="0" w:lastRow="0" w:noHBand="0" w:noVBand="1" w:val="04A0"/>
      </w:tblPr>
      <w:tblGrid>
        <w:gridCol w:w="4896"/>
        <w:gridCol w:w="4896"/>
      </w:tblGrid>
      <w:tr>
        <w:trPr>
          <w:tblHeader w:val="true"/>
          <w:cantSplit/>
        </w:trPr>
        <w:tc>
          <w:tcPr>
            <w:tcW w:type="dxa" w:w="5112"/>
            <w:shd w:fill="0F5C4D"/>
            <w:tcBorders>
              <w:top w:val="single" w:sz="4" w:color="0F5C4D"/>
              <w:left w:val="single" w:sz="4" w:color="0F5C4D"/>
              <w:bottom w:val="single" w:sz="4" w:color="0F5C4D"/>
              <w:right w:val="single" w:sz="4" w:color="0F5C4D"/>
            </w:tcBorders>
            <w:tcMar>
              <w:top w:w="100" w:type="dxa"/>
              <w:start w:w="105" w:type="dxa"/>
              <w:bottom w:w="100" w:type="dxa"/>
              <w:end w:w="105" w:type="dxa"/>
            </w:tcMar>
          </w:tcPr>
          <w:p>
            <w:pPr>
              <w:spacing w:after="0"/>
            </w:pPr>
            <w:r>
              <w:rPr>
                <w:b/>
                <w:color w:val="FFFFFF"/>
                <w:sz w:val="16"/>
              </w:rPr>
              <w:t>Verified current foundation</w:t>
            </w:r>
          </w:p>
        </w:tc>
        <w:tc>
          <w:tcPr>
            <w:tcW w:type="dxa" w:w="5112"/>
            <w:shd w:fill="0F5C4D"/>
            <w:tcBorders>
              <w:top w:val="single" w:sz="4" w:color="0F5C4D"/>
              <w:left w:val="single" w:sz="4" w:color="0F5C4D"/>
              <w:bottom w:val="single" w:sz="4" w:color="0F5C4D"/>
              <w:right w:val="single" w:sz="4" w:color="0F5C4D"/>
            </w:tcBorders>
            <w:tcMar>
              <w:top w:w="100" w:type="dxa"/>
              <w:start w:w="105" w:type="dxa"/>
              <w:bottom w:w="100" w:type="dxa"/>
              <w:end w:w="105" w:type="dxa"/>
            </w:tcMar>
          </w:tcPr>
          <w:p>
            <w:pPr>
              <w:spacing w:after="0"/>
            </w:pPr>
            <w:r>
              <w:rPr>
                <w:b/>
                <w:color w:val="FFFFFF"/>
                <w:sz w:val="16"/>
              </w:rPr>
              <w:t>Planned HilalMarkets layer</w:t>
            </w:r>
          </w:p>
        </w:tc>
      </w:tr>
      <w:tr>
        <w:trPr>
          <w:cantSplit/>
        </w:trPr>
        <w:tc>
          <w:tcPr>
            <w:tcW w:type="dxa" w:w="4896"/>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FastAPI subscription monitoring platform for crypto spot traders</w:t>
            </w:r>
          </w:p>
        </w:tc>
        <w:tc>
          <w:tcPr>
            <w:tcW w:type="dxa" w:w="4896"/>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HilalMarkets identity, domain, copy, visual system, and information architecture</w:t>
            </w:r>
          </w:p>
        </w:tc>
      </w:tr>
      <w:tr>
        <w:trPr>
          <w:cantSplit/>
        </w:trPr>
        <w:tc>
          <w:tcPr>
            <w:tcW w:type="dxa" w:w="4896"/>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AI Setup Chat that clarifies language and compiles into validated mechanics</w:t>
            </w:r>
          </w:p>
        </w:tc>
        <w:tc>
          <w:tcPr>
            <w:tcW w:type="dxa" w:w="4896"/>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Guided Watch Plan creation for beginner-to-mid Muslim investors</w:t>
            </w:r>
          </w:p>
        </w:tc>
      </w:tr>
      <w:tr>
        <w:trPr>
          <w:cantSplit/>
        </w:trPr>
        <w:tc>
          <w:tcPr>
            <w:tcW w:type="dxa" w:w="4896"/>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Deterministic rule evaluation after user approval</w:t>
            </w:r>
          </w:p>
        </w:tc>
        <w:tc>
          <w:tcPr>
            <w:tcW w:type="dxa" w:w="4896"/>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Sharia-policy gating across every scan and monitor</w:t>
            </w:r>
          </w:p>
        </w:tc>
      </w:tr>
      <w:tr>
        <w:trPr>
          <w:cantSplit/>
        </w:trPr>
        <w:tc>
          <w:tcPr>
            <w:tcW w:type="dxa" w:w="4896"/>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Immutable strategy versions and approval checks</w:t>
            </w:r>
          </w:p>
        </w:tc>
        <w:tc>
          <w:tcPr>
            <w:tcW w:type="dxa" w:w="4896"/>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Versioned methodologies and Sharia assessments</w:t>
            </w:r>
          </w:p>
        </w:tc>
      </w:tr>
      <w:tr>
        <w:trPr>
          <w:cantSplit/>
        </w:trPr>
        <w:tc>
          <w:tcPr>
            <w:tcW w:type="dxa" w:w="4896"/>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Recent-market preview before activation</w:t>
            </w:r>
          </w:p>
        </w:tc>
        <w:tc>
          <w:tcPr>
            <w:tcW w:type="dxa" w:w="4896"/>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Check the Market Now across the screened universe</w:t>
            </w:r>
          </w:p>
        </w:tc>
      </w:tr>
      <w:tr>
        <w:trPr>
          <w:cantSplit/>
        </w:trPr>
        <w:tc>
          <w:tcPr>
            <w:tcW w:type="dxa" w:w="4896"/>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Persistent setup lifecycles and condition-level evidence</w:t>
            </w:r>
          </w:p>
        </w:tc>
        <w:tc>
          <w:tcPr>
            <w:tcW w:type="dxa" w:w="4896"/>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Opportunity journeys with screening status at event time</w:t>
            </w:r>
          </w:p>
        </w:tc>
      </w:tr>
      <w:tr>
        <w:trPr>
          <w:cantSplit/>
        </w:trPr>
        <w:tc>
          <w:tcPr>
            <w:tcW w:type="dxa" w:w="4896"/>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Telegram webhook and Discord delivery support</w:t>
            </w:r>
          </w:p>
        </w:tc>
        <w:tc>
          <w:tcPr>
            <w:tcW w:type="dxa" w:w="4896"/>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Compliance Drift Alerts and evidence links</w:t>
            </w:r>
          </w:p>
        </w:tc>
      </w:tr>
      <w:tr>
        <w:trPr>
          <w:cantSplit/>
        </w:trPr>
        <w:tc>
          <w:tcPr>
            <w:tcW w:type="dxa" w:w="4896"/>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Scheduled scans, Redis workers, PostgreSQL records, audit history</w:t>
            </w:r>
          </w:p>
        </w:tc>
        <w:tc>
          <w:tcPr>
            <w:tcW w:type="dxa" w:w="4896"/>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Compliance Watch review queue and methodology-change propagation</w:t>
            </w:r>
          </w:p>
        </w:tc>
      </w:tr>
      <w:tr>
        <w:trPr>
          <w:cantSplit/>
        </w:trPr>
        <w:tc>
          <w:tcPr>
            <w:tcW w:type="dxa" w:w="4896"/>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Pricing, billing, integrations, support, and administration foundations</w:t>
            </w:r>
          </w:p>
        </w:tc>
        <w:tc>
          <w:tcPr>
            <w:tcW w:type="dxa" w:w="4896"/>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Evidence Passports, Methodology Comparison, screened asset discovery</w:t>
            </w:r>
          </w:p>
        </w:tc>
      </w:tr>
      <w:tr>
        <w:trPr>
          <w:cantSplit/>
        </w:trPr>
        <w:tc>
          <w:tcPr>
            <w:tcW w:type="dxa" w:w="4896"/>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No trade execution and explicit user decision boundary</w:t>
            </w:r>
          </w:p>
        </w:tc>
        <w:tc>
          <w:tcPr>
            <w:tcW w:type="dxa" w:w="4896"/>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No AI-generated religious rulings; qualified governance boundary</w:t>
            </w:r>
          </w:p>
        </w:tc>
      </w:tr>
    </w:tbl>
    <w:p>
      <w:pPr>
        <w:pStyle w:val="Heading2"/>
        <w:keepNext/>
        <w:keepLines/>
      </w:pPr>
      <w:r>
        <w:t>Current engineering strengths</w:t>
      </w:r>
    </w:p>
    <w:p>
      <w:pPr>
        <w:pStyle w:val="ListBullet"/>
        <w:spacing w:after="40"/>
        <w:keepLines/>
      </w:pPr>
      <w:r>
        <w:t>Deterministic market calculations rather than model-generated indicator results.</w:t>
      </w:r>
    </w:p>
    <w:p>
      <w:pPr>
        <w:pStyle w:val="ListBullet"/>
        <w:spacing w:after="40"/>
        <w:keepLines/>
      </w:pPr>
      <w:r>
        <w:t>Explicit user approval before activation.</w:t>
      </w:r>
    </w:p>
    <w:p>
      <w:pPr>
        <w:pStyle w:val="ListBullet"/>
        <w:spacing w:after="40"/>
        <w:keepLines/>
      </w:pPr>
      <w:r>
        <w:t>Versioned, durable records for strategies, evidence, lifecycles, alerts, billing, and audits.</w:t>
      </w:r>
    </w:p>
    <w:p>
      <w:pPr>
        <w:pStyle w:val="ListBullet"/>
        <w:spacing w:after="40"/>
        <w:keepLines/>
      </w:pPr>
      <w:r>
        <w:t>Adapters for market data, interpretation, notifications, billing, charts, and task dispatch.</w:t>
      </w:r>
    </w:p>
    <w:p>
      <w:pPr>
        <w:pStyle w:val="ListBullet"/>
        <w:spacing w:after="40"/>
        <w:keepLines/>
      </w:pPr>
      <w:r>
        <w:t>No exchange trading-key requirement and no automatic order execution in version one.</w:t>
      </w:r>
    </w:p>
    <w:p>
      <w:pPr>
        <w:pStyle w:val="Heading2"/>
        <w:keepNext/>
        <w:keepLines/>
      </w:pPr>
      <w:r>
        <w:t>Required trust layer before a public Sharia claim</w:t>
      </w:r>
    </w:p>
    <w:p>
      <w:pPr>
        <w:pStyle w:val="ListBullet"/>
        <w:spacing w:after="40"/>
        <w:keepLines/>
      </w:pPr>
      <w:r>
        <w:t>A published methodology with version history and clear evidence requirements.</w:t>
      </w:r>
    </w:p>
    <w:p>
      <w:pPr>
        <w:pStyle w:val="ListBullet"/>
        <w:spacing w:after="40"/>
        <w:keepLines/>
      </w:pPr>
      <w:r>
        <w:t>Named qualified Sharia adviser, committee, or approved reviewing authority.</w:t>
      </w:r>
    </w:p>
    <w:p>
      <w:pPr>
        <w:pStyle w:val="ListBullet"/>
        <w:spacing w:after="40"/>
        <w:keepLines/>
      </w:pPr>
      <w:r>
        <w:t>A review, appeal, and status-change process.</w:t>
      </w:r>
    </w:p>
    <w:p>
      <w:pPr>
        <w:pStyle w:val="ListBullet"/>
        <w:spacing w:after="40"/>
        <w:keepLines/>
      </w:pPr>
      <w:r>
        <w:t>Source dates, evidence traceability, and audit records for each asset.</w:t>
      </w:r>
    </w:p>
    <w:p>
      <w:pPr>
        <w:pStyle w:val="ListBullet"/>
        <w:spacing w:after="40"/>
        <w:keepLines/>
      </w:pPr>
      <w:r>
        <w:t>Clear statuses: Eligible, Eligible with Qualifications, Disputed, Under Review, Excluded, and Insufficient Information.</w:t>
      </w:r>
    </w:p>
    <w:p>
      <w:pPr>
        <w:pStyle w:val="ListBullet"/>
        <w:spacing w:after="40"/>
        <w:keepLines/>
      </w:pPr>
      <w:r>
        <w:t>No unexplained “halal score” and no assertion that AI independently issues a religious ruling.</w:t>
      </w:r>
    </w:p>
    <w:p>
      <w:pPr>
        <w:spacing w:before="80" w:after="40"/>
        <w:keepLines/>
      </w:pPr>
      <w:r>
        <w:rPr>
          <w:rFonts w:ascii="Inter" w:hAnsi="Inter"/>
          <w:b/>
          <w:color w:val="C7A55B"/>
          <w:sz w:val="16"/>
        </w:rPr>
        <w:t>06 | VALUE PROPOSITION AND DEFENSIBILITY</w:t>
      </w:r>
    </w:p>
    <w:p>
      <w:pPr>
        <w:pStyle w:val="Heading1"/>
        <w:keepNext/>
        <w:keepLines/>
      </w:pPr>
      <w:r>
        <w:t>Why HilalMarkets can be distinctive</w:t>
      </w:r>
    </w:p>
    <w:tbl>
      <w:tblPr>
        <w:tblW w:type="auto" w:w="0"/>
        <w:jc w:val="center"/>
        <w:tblLayout w:type="fixed"/>
        <w:tblLook w:firstColumn="1" w:firstRow="1" w:lastColumn="0" w:lastRow="0" w:noHBand="0" w:noVBand="1" w:val="04A0"/>
      </w:tblPr>
      <w:tblGrid>
        <w:gridCol w:w="2232"/>
        <w:gridCol w:w="3672"/>
        <w:gridCol w:w="3888"/>
      </w:tblGrid>
      <w:tr>
        <w:trPr>
          <w:tblHeader w:val="true"/>
          <w:cantSplit/>
        </w:trPr>
        <w:tc>
          <w:tcPr>
            <w:tcW w:type="dxa" w:w="3408"/>
            <w:shd w:fill="0F5C4D"/>
            <w:tcBorders>
              <w:top w:val="single" w:sz="4" w:color="0F5C4D"/>
              <w:left w:val="single" w:sz="4" w:color="0F5C4D"/>
              <w:bottom w:val="single" w:sz="4" w:color="0F5C4D"/>
              <w:right w:val="single" w:sz="4" w:color="0F5C4D"/>
            </w:tcBorders>
            <w:tcMar>
              <w:top w:w="100" w:type="dxa"/>
              <w:start w:w="105" w:type="dxa"/>
              <w:bottom w:w="100" w:type="dxa"/>
              <w:end w:w="105" w:type="dxa"/>
            </w:tcMar>
          </w:tcPr>
          <w:p>
            <w:pPr>
              <w:spacing w:after="0"/>
            </w:pPr>
            <w:r>
              <w:rPr>
                <w:b/>
                <w:color w:val="FFFFFF"/>
                <w:sz w:val="16"/>
              </w:rPr>
              <w:t>Common alternative</w:t>
            </w:r>
          </w:p>
        </w:tc>
        <w:tc>
          <w:tcPr>
            <w:tcW w:type="dxa" w:w="3408"/>
            <w:shd w:fill="0F5C4D"/>
            <w:tcBorders>
              <w:top w:val="single" w:sz="4" w:color="0F5C4D"/>
              <w:left w:val="single" w:sz="4" w:color="0F5C4D"/>
              <w:bottom w:val="single" w:sz="4" w:color="0F5C4D"/>
              <w:right w:val="single" w:sz="4" w:color="0F5C4D"/>
            </w:tcBorders>
            <w:tcMar>
              <w:top w:w="100" w:type="dxa"/>
              <w:start w:w="105" w:type="dxa"/>
              <w:bottom w:w="100" w:type="dxa"/>
              <w:end w:w="105" w:type="dxa"/>
            </w:tcMar>
          </w:tcPr>
          <w:p>
            <w:pPr>
              <w:spacing w:after="0"/>
            </w:pPr>
            <w:r>
              <w:rPr>
                <w:b/>
                <w:color w:val="FFFFFF"/>
                <w:sz w:val="16"/>
              </w:rPr>
              <w:t>What it leaves unresolved</w:t>
            </w:r>
          </w:p>
        </w:tc>
        <w:tc>
          <w:tcPr>
            <w:tcW w:type="dxa" w:w="3408"/>
            <w:shd w:fill="0F5C4D"/>
            <w:tcBorders>
              <w:top w:val="single" w:sz="4" w:color="0F5C4D"/>
              <w:left w:val="single" w:sz="4" w:color="0F5C4D"/>
              <w:bottom w:val="single" w:sz="4" w:color="0F5C4D"/>
              <w:right w:val="single" w:sz="4" w:color="0F5C4D"/>
            </w:tcBorders>
            <w:tcMar>
              <w:top w:w="100" w:type="dxa"/>
              <w:start w:w="105" w:type="dxa"/>
              <w:bottom w:w="100" w:type="dxa"/>
              <w:end w:w="105" w:type="dxa"/>
            </w:tcMar>
          </w:tcPr>
          <w:p>
            <w:pPr>
              <w:spacing w:after="0"/>
            </w:pPr>
            <w:r>
              <w:rPr>
                <w:b/>
                <w:color w:val="FFFFFF"/>
                <w:sz w:val="16"/>
              </w:rPr>
              <w:t>HilalMarkets position</w:t>
            </w:r>
          </w:p>
        </w:tc>
      </w:tr>
      <w:tr>
        <w:trPr>
          <w:cantSplit/>
        </w:trPr>
        <w:tc>
          <w:tcPr>
            <w:tcW w:type="dxa" w:w="2232"/>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Static halal coin list</w:t>
            </w:r>
          </w:p>
        </w:tc>
        <w:tc>
          <w:tcPr>
            <w:tcW w:type="dxa" w:w="3672"/>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The user still needs charts, alerts, monitoring, and change tracking.</w:t>
            </w:r>
          </w:p>
        </w:tc>
        <w:tc>
          <w:tcPr>
            <w:tcW w:type="dxa" w:w="3888"/>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Screening becomes the operating universe for discovery and monitoring.</w:t>
            </w:r>
          </w:p>
        </w:tc>
      </w:tr>
      <w:tr>
        <w:trPr>
          <w:cantSplit/>
        </w:trPr>
        <w:tc>
          <w:tcPr>
            <w:tcW w:type="dxa" w:w="2232"/>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Generic charting and alerts</w:t>
            </w:r>
          </w:p>
        </w:tc>
        <w:tc>
          <w:tcPr>
            <w:tcW w:type="dxa" w:w="3672"/>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The user still needs a separate Sharia decision and cannot see compliance drift.</w:t>
            </w:r>
          </w:p>
        </w:tc>
        <w:tc>
          <w:tcPr>
            <w:tcW w:type="dxa" w:w="3888"/>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Every opportunity carries methodology and status evidence.</w:t>
            </w:r>
          </w:p>
        </w:tc>
      </w:tr>
      <w:tr>
        <w:trPr>
          <w:cantSplit/>
        </w:trPr>
        <w:tc>
          <w:tcPr>
            <w:tcW w:type="dxa" w:w="2232"/>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Prepared signal group</w:t>
            </w:r>
          </w:p>
        </w:tc>
        <w:tc>
          <w:tcPr>
            <w:tcW w:type="dxa" w:w="3672"/>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The provider chooses the setup and users may not understand the logic.</w:t>
            </w:r>
          </w:p>
        </w:tc>
        <w:tc>
          <w:tcPr>
            <w:tcW w:type="dxa" w:w="3888"/>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Users choose the behavior to watch and inspect the exact mechanics.</w:t>
            </w:r>
          </w:p>
        </w:tc>
      </w:tr>
      <w:tr>
        <w:trPr>
          <w:cantSplit/>
        </w:trPr>
        <w:tc>
          <w:tcPr>
            <w:tcW w:type="dxa" w:w="2232"/>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Technical scanner</w:t>
            </w:r>
          </w:p>
        </w:tc>
        <w:tc>
          <w:tcPr>
            <w:tcW w:type="dxa" w:w="3672"/>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Too complex for many beginner-to-mid users.</w:t>
            </w:r>
          </w:p>
        </w:tc>
        <w:tc>
          <w:tcPr>
            <w:tcW w:type="dxa" w:w="3888"/>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Guided opportunity types, simple language, and optional advanced controls.</w:t>
            </w:r>
          </w:p>
        </w:tc>
      </w:tr>
      <w:tr>
        <w:trPr>
          <w:cantSplit/>
        </w:trPr>
        <w:tc>
          <w:tcPr>
            <w:tcW w:type="dxa" w:w="2232"/>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Single-methodology badge</w:t>
            </w:r>
          </w:p>
        </w:tc>
        <w:tc>
          <w:tcPr>
            <w:tcW w:type="dxa" w:w="3672"/>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Disagreement and evidence quality remain hidden.</w:t>
            </w:r>
          </w:p>
        </w:tc>
        <w:tc>
          <w:tcPr>
            <w:tcW w:type="dxa" w:w="3888"/>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Versioned passports and methodology comparison.</w:t>
            </w:r>
          </w:p>
        </w:tc>
      </w:tr>
    </w:tbl>
    <w:p>
      <w:pPr>
        <w:pStyle w:val="Heading2"/>
        <w:keepNext/>
        <w:keepLines/>
      </w:pPr>
      <w:r>
        <w:t>Defensibility strategy</w:t>
      </w:r>
    </w:p>
    <w:p>
      <w:pPr>
        <w:pStyle w:val="ListBullet"/>
        <w:spacing w:after="40"/>
        <w:keepLines/>
      </w:pPr>
      <w:r>
        <w:t>A unified data model connecting Sharia methodology, asset status, monitor policy, market evidence, opportunity journey, and alert outcome.</w:t>
      </w:r>
    </w:p>
    <w:p>
      <w:pPr>
        <w:pStyle w:val="ListBullet"/>
        <w:spacing w:after="40"/>
        <w:keepLines/>
      </w:pPr>
      <w:r>
        <w:t>Versioned evidence passports and compliance-change history that improve over time.</w:t>
      </w:r>
    </w:p>
    <w:p>
      <w:pPr>
        <w:pStyle w:val="ListBullet"/>
        <w:spacing w:after="40"/>
        <w:keepLines/>
      </w:pPr>
      <w:r>
        <w:t>A guided creation layer backed by a deterministic, extensible rules engine.</w:t>
      </w:r>
    </w:p>
    <w:p>
      <w:pPr>
        <w:pStyle w:val="ListBullet"/>
        <w:spacing w:after="40"/>
        <w:keepLines/>
      </w:pPr>
      <w:r>
        <w:t>User preference and Watch Plan patterns that improve onboarding without changing active rules silently.</w:t>
      </w:r>
    </w:p>
    <w:p>
      <w:pPr>
        <w:pStyle w:val="ListBullet"/>
        <w:spacing w:after="40"/>
        <w:keepLines/>
      </w:pPr>
      <w:r>
        <w:t>Governance, scholar, data-provider, and ecosystem partnerships that cannot be replicated through interface design alone.</w:t>
      </w:r>
    </w:p>
    <w:p>
      <w:pPr>
        <w:pStyle w:val="ListBullet"/>
        <w:spacing w:after="40"/>
        <w:keepLines/>
      </w:pPr>
      <w:r>
        <w:t>Trust created by explaining disagreement and limitations instead of hiding them.</w:t>
      </w:r>
    </w:p>
    <w:tbl>
      <w:tblPr>
        <w:tblW w:type="auto" w:w="0"/>
        <w:jc w:val="center"/>
        <w:tblLayout w:type="fixed"/>
        <w:tblLook w:firstColumn="1" w:firstRow="1" w:lastColumn="0" w:lastRow="0" w:noHBand="0" w:noVBand="1" w:val="04A0"/>
      </w:tblPr>
      <w:tblGrid>
        <w:gridCol w:w="173"/>
        <w:gridCol w:w="9619"/>
      </w:tblGrid>
      <w:tr>
        <w:trPr>
          <w:cantSplit/>
        </w:trPr>
        <w:tc>
          <w:tcPr>
            <w:tcW w:type="dxa" w:w="5112"/>
            <w:shd w:fill="0F5C4D"/>
            <w:tcBorders>
              <w:top w:val="nil"/>
              <w:left w:val="nil"/>
              <w:bottom w:val="nil"/>
              <w:right w:val="nil"/>
            </w:tcBorders>
            <w:tcMar>
              <w:top w:w="70" w:type="dxa"/>
              <w:start w:w="0" w:type="dxa"/>
              <w:bottom w:w="70" w:type="dxa"/>
              <w:end w:w="0" w:type="dxa"/>
            </w:tcMar>
          </w:tcPr>
          <w:p/>
        </w:tc>
        <w:tc>
          <w:tcPr>
            <w:tcW w:type="dxa" w:w="5112"/>
            <w:shd w:fill="EAF3F0"/>
            <w:tcBorders>
              <w:top w:val="nil"/>
              <w:left w:val="nil"/>
              <w:bottom w:val="nil"/>
              <w:right w:val="nil"/>
            </w:tcBorders>
            <w:tcMar>
              <w:top w:w="130" w:type="dxa"/>
              <w:start w:w="170" w:type="dxa"/>
              <w:bottom w:w="130" w:type="dxa"/>
              <w:end w:w="170" w:type="dxa"/>
            </w:tcMar>
          </w:tcPr>
          <w:p>
            <w:pPr>
              <w:spacing w:after="60"/>
            </w:pPr>
            <w:r>
              <w:rPr>
                <w:b/>
                <w:color w:val="172B27"/>
                <w:sz w:val="21"/>
              </w:rPr>
              <w:t>The strongest strategic sentence</w:t>
            </w:r>
          </w:p>
          <w:p>
            <w:pPr>
              <w:spacing w:after="0"/>
            </w:pPr>
            <w:r>
              <w:t>HilalMarkets is not a Muslim version of a generic scanner. It is the trust and monitoring layer between Muslim investors and financial markets.</w:t>
            </w:r>
          </w:p>
        </w:tc>
      </w:tr>
    </w:tbl>
    <w:p>
      <w:pPr>
        <w:keepLines/>
      </w:pPr>
      <w:r>
        <w:br w:type="page"/>
      </w:r>
    </w:p>
    <w:p>
      <w:pPr>
        <w:spacing w:before="80" w:after="40"/>
        <w:keepLines/>
      </w:pPr>
      <w:r>
        <w:rPr>
          <w:rFonts w:ascii="Inter" w:hAnsi="Inter"/>
          <w:b/>
          <w:color w:val="C7A55B"/>
          <w:sz w:val="16"/>
        </w:rPr>
        <w:t>07 | BUSINESS MODEL AND GROWTH</w:t>
      </w:r>
    </w:p>
    <w:p>
      <w:pPr>
        <w:pStyle w:val="Heading1"/>
        <w:keepNext/>
        <w:keepLines/>
      </w:pPr>
      <w:r>
        <w:t>Commercial model</w:t>
      </w:r>
    </w:p>
    <w:p>
      <w:pPr>
        <w:keepLines/>
      </w:pPr>
      <w:r>
        <w:rPr>
          <w:b/>
        </w:rPr>
        <w:t xml:space="preserve">Initial model: </w:t>
      </w:r>
      <w:r>
        <w:t>B2C subscription SaaS with a free activation path. Paid tiers expand Watch Plan capacity, market coverage, scan frequency, history, methodology comparison, advanced controls, and delivery options.</w:t>
      </w:r>
    </w:p>
    <w:tbl>
      <w:tblPr>
        <w:tblW w:type="auto" w:w="0"/>
        <w:jc w:val="center"/>
        <w:tblLayout w:type="fixed"/>
        <w:tblLook w:firstColumn="1" w:firstRow="1" w:lastColumn="0" w:lastRow="0" w:noHBand="0" w:noVBand="1" w:val="04A0"/>
      </w:tblPr>
      <w:tblGrid>
        <w:gridCol w:w="1656"/>
        <w:gridCol w:w="3240"/>
        <w:gridCol w:w="4896"/>
      </w:tblGrid>
      <w:tr>
        <w:trPr>
          <w:tblHeader w:val="true"/>
          <w:cantSplit/>
        </w:trPr>
        <w:tc>
          <w:tcPr>
            <w:tcW w:type="dxa" w:w="3408"/>
            <w:shd w:fill="0F5C4D"/>
            <w:tcBorders>
              <w:top w:val="single" w:sz="4" w:color="0F5C4D"/>
              <w:left w:val="single" w:sz="4" w:color="0F5C4D"/>
              <w:bottom w:val="single" w:sz="4" w:color="0F5C4D"/>
              <w:right w:val="single" w:sz="4" w:color="0F5C4D"/>
            </w:tcBorders>
            <w:tcMar>
              <w:top w:w="100" w:type="dxa"/>
              <w:start w:w="105" w:type="dxa"/>
              <w:bottom w:w="100" w:type="dxa"/>
              <w:end w:w="105" w:type="dxa"/>
            </w:tcMar>
          </w:tcPr>
          <w:p>
            <w:pPr>
              <w:spacing w:after="0"/>
            </w:pPr>
            <w:r>
              <w:rPr>
                <w:b/>
                <w:color w:val="FFFFFF"/>
                <w:sz w:val="16"/>
              </w:rPr>
              <w:t>Tier concept</w:t>
            </w:r>
          </w:p>
        </w:tc>
        <w:tc>
          <w:tcPr>
            <w:tcW w:type="dxa" w:w="3408"/>
            <w:shd w:fill="0F5C4D"/>
            <w:tcBorders>
              <w:top w:val="single" w:sz="4" w:color="0F5C4D"/>
              <w:left w:val="single" w:sz="4" w:color="0F5C4D"/>
              <w:bottom w:val="single" w:sz="4" w:color="0F5C4D"/>
              <w:right w:val="single" w:sz="4" w:color="0F5C4D"/>
            </w:tcBorders>
            <w:tcMar>
              <w:top w:w="100" w:type="dxa"/>
              <w:start w:w="105" w:type="dxa"/>
              <w:bottom w:w="100" w:type="dxa"/>
              <w:end w:w="105" w:type="dxa"/>
            </w:tcMar>
          </w:tcPr>
          <w:p>
            <w:pPr>
              <w:spacing w:after="0"/>
            </w:pPr>
            <w:r>
              <w:rPr>
                <w:b/>
                <w:color w:val="FFFFFF"/>
                <w:sz w:val="16"/>
              </w:rPr>
              <w:t>Role</w:t>
            </w:r>
          </w:p>
        </w:tc>
        <w:tc>
          <w:tcPr>
            <w:tcW w:type="dxa" w:w="3408"/>
            <w:shd w:fill="0F5C4D"/>
            <w:tcBorders>
              <w:top w:val="single" w:sz="4" w:color="0F5C4D"/>
              <w:left w:val="single" w:sz="4" w:color="0F5C4D"/>
              <w:bottom w:val="single" w:sz="4" w:color="0F5C4D"/>
              <w:right w:val="single" w:sz="4" w:color="0F5C4D"/>
            </w:tcBorders>
            <w:tcMar>
              <w:top w:w="100" w:type="dxa"/>
              <w:start w:w="105" w:type="dxa"/>
              <w:bottom w:w="100" w:type="dxa"/>
              <w:end w:w="105" w:type="dxa"/>
            </w:tcMar>
          </w:tcPr>
          <w:p>
            <w:pPr>
              <w:spacing w:after="0"/>
            </w:pPr>
            <w:r>
              <w:rPr>
                <w:b/>
                <w:color w:val="FFFFFF"/>
                <w:sz w:val="16"/>
              </w:rPr>
              <w:t>Indicative access</w:t>
            </w:r>
          </w:p>
        </w:tc>
      </w:tr>
      <w:tr>
        <w:trPr>
          <w:cantSplit/>
        </w:trPr>
        <w:tc>
          <w:tcPr>
            <w:tcW w:type="dxa" w:w="1656"/>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Free</w:t>
            </w:r>
          </w:p>
        </w:tc>
        <w:tc>
          <w:tcPr>
            <w:tcW w:type="dxa" w:w="3240"/>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Let users experience the core workflow.</w:t>
            </w:r>
          </w:p>
        </w:tc>
        <w:tc>
          <w:tcPr>
            <w:tcW w:type="dxa" w:w="4896"/>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Screened market, passports, one Watch Plan, limited Check the Market Now usage, basic Telegram delivery.</w:t>
            </w:r>
          </w:p>
        </w:tc>
      </w:tr>
      <w:tr>
        <w:trPr>
          <w:cantSplit/>
        </w:trPr>
        <w:tc>
          <w:tcPr>
            <w:tcW w:type="dxa" w:w="1656"/>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Core</w:t>
            </w:r>
          </w:p>
        </w:tc>
        <w:tc>
          <w:tcPr>
            <w:tcW w:type="dxa" w:w="3240"/>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Primary plan for guided active investors.</w:t>
            </w:r>
          </w:p>
        </w:tc>
        <w:tc>
          <w:tcPr>
            <w:tcW w:type="dxa" w:w="4896"/>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Multiple Watch Plans, full activity history, Compliance Drift Alerts, broader market coverage.</w:t>
            </w:r>
          </w:p>
        </w:tc>
      </w:tr>
      <w:tr>
        <w:trPr>
          <w:cantSplit/>
        </w:trPr>
        <w:tc>
          <w:tcPr>
            <w:tcW w:type="dxa" w:w="1656"/>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Pro</w:t>
            </w:r>
          </w:p>
        </w:tc>
        <w:tc>
          <w:tcPr>
            <w:tcW w:type="dxa" w:w="3240"/>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Advanced self-directed users.</w:t>
            </w:r>
          </w:p>
        </w:tc>
        <w:tc>
          <w:tcPr>
            <w:tcW w:type="dxa" w:w="4896"/>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Exact mechanics, multi-timeframe rules, larger limits, methodology comparison, deeper evidence and diagnostics.</w:t>
            </w:r>
          </w:p>
        </w:tc>
      </w:tr>
      <w:tr>
        <w:trPr>
          <w:cantSplit/>
        </w:trPr>
        <w:tc>
          <w:tcPr>
            <w:tcW w:type="dxa" w:w="1656"/>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Partner / B2B later</w:t>
            </w:r>
          </w:p>
        </w:tc>
        <w:tc>
          <w:tcPr>
            <w:tcW w:type="dxa" w:w="3240"/>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Distribution and infrastructure partnerships.</w:t>
            </w:r>
          </w:p>
        </w:tc>
        <w:tc>
          <w:tcPr>
            <w:tcW w:type="dxa" w:w="4896"/>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Screening and monitoring API, broker or Islamic-finance app integrations, approved white-label deployments.</w:t>
            </w:r>
          </w:p>
        </w:tc>
      </w:tr>
    </w:tbl>
    <w:p>
      <w:pPr>
        <w:pStyle w:val="Heading2"/>
        <w:keepNext/>
        <w:keepLines/>
      </w:pPr>
      <w:r>
        <w:t>Go-to-market sequence</w:t>
      </w:r>
    </w:p>
    <w:p>
      <w:pPr>
        <w:pStyle w:val="ListNumber"/>
        <w:spacing w:after="40"/>
        <w:keepLines/>
      </w:pPr>
      <w:r>
        <w:t>Private beta with invited Muslim crypto spot users; observe activation, comprehension, trust, and retention.</w:t>
      </w:r>
    </w:p>
    <w:p>
      <w:pPr>
        <w:pStyle w:val="ListNumber"/>
        <w:spacing w:after="40"/>
        <w:keepLines/>
      </w:pPr>
      <w:r>
        <w:t>Publish the screening methodology, adviser structure, sample Evidence Passports, and clear risk boundaries.</w:t>
      </w:r>
    </w:p>
    <w:p>
      <w:pPr>
        <w:pStyle w:val="ListNumber"/>
        <w:spacing w:after="40"/>
        <w:keepLines/>
      </w:pPr>
      <w:r>
        <w:t>Launch search-focused landing pages around screened crypto opportunities, halal crypto monitoring, and compliance-change alerts.</w:t>
      </w:r>
    </w:p>
    <w:p>
      <w:pPr>
        <w:pStyle w:val="ListNumber"/>
        <w:spacing w:after="40"/>
        <w:keepLines/>
      </w:pPr>
      <w:r>
        <w:t>Use short silent product demonstrations showing Screened Market → Watch Plan → opportunity → evidence.</w:t>
      </w:r>
    </w:p>
    <w:p>
      <w:pPr>
        <w:pStyle w:val="ListNumber"/>
        <w:spacing w:after="40"/>
        <w:keepLines/>
      </w:pPr>
      <w:r>
        <w:t>Partner with qualified scholars, Islamic-finance educators, and relevant fintech organisations for credibility and product feedback—not paid signal promotion.</w:t>
      </w:r>
    </w:p>
    <w:p>
      <w:pPr>
        <w:pStyle w:val="ListNumber"/>
        <w:spacing w:after="40"/>
        <w:keepLines/>
      </w:pPr>
      <w:r>
        <w:t>Expand paid acquisition only after the platform consistently converts verified users into active Watch Plans.</w:t>
      </w:r>
    </w:p>
    <w:p>
      <w:pPr>
        <w:pStyle w:val="Heading2"/>
        <w:keepNext/>
        <w:keepLines/>
      </w:pPr>
      <w:r>
        <w:t>Core funnel</w:t>
      </w:r>
    </w:p>
    <w:tbl>
      <w:tblPr>
        <w:tblW w:type="auto" w:w="0"/>
        <w:jc w:val="center"/>
        <w:tblLayout w:type="fixed"/>
        <w:tblLook w:firstColumn="1" w:firstRow="1" w:lastColumn="0" w:lastRow="0" w:noHBand="0" w:noVBand="1" w:val="04A0"/>
      </w:tblPr>
      <w:tblGrid>
        <w:gridCol w:w="173"/>
        <w:gridCol w:w="9619"/>
      </w:tblGrid>
      <w:tr>
        <w:trPr>
          <w:cantSplit/>
        </w:trPr>
        <w:tc>
          <w:tcPr>
            <w:tcW w:type="dxa" w:w="5112"/>
            <w:shd w:fill="0F5C4D"/>
            <w:tcBorders>
              <w:top w:val="nil"/>
              <w:left w:val="nil"/>
              <w:bottom w:val="nil"/>
              <w:right w:val="nil"/>
            </w:tcBorders>
            <w:tcMar>
              <w:top w:w="70" w:type="dxa"/>
              <w:start w:w="0" w:type="dxa"/>
              <w:bottom w:w="70" w:type="dxa"/>
              <w:end w:w="0" w:type="dxa"/>
            </w:tcMar>
          </w:tcPr>
          <w:p/>
        </w:tc>
        <w:tc>
          <w:tcPr>
            <w:tcW w:type="dxa" w:w="5112"/>
            <w:shd w:fill="EAF3F0"/>
            <w:tcBorders>
              <w:top w:val="nil"/>
              <w:left w:val="nil"/>
              <w:bottom w:val="nil"/>
              <w:right w:val="nil"/>
            </w:tcBorders>
            <w:tcMar>
              <w:top w:w="130" w:type="dxa"/>
              <w:start w:w="170" w:type="dxa"/>
              <w:bottom w:w="130" w:type="dxa"/>
              <w:end w:w="170" w:type="dxa"/>
            </w:tcMar>
          </w:tcPr>
          <w:p>
            <w:pPr>
              <w:spacing w:after="60"/>
            </w:pPr>
            <w:r>
              <w:rPr>
                <w:b/>
                <w:color w:val="172B27"/>
                <w:sz w:val="21"/>
              </w:rPr>
              <w:t>Acquisition to retention</w:t>
            </w:r>
          </w:p>
          <w:p>
            <w:pPr>
              <w:spacing w:after="0"/>
            </w:pPr>
            <w:r>
              <w:t>Landing page → Account verified → Screened asset explored → Watch Plan created → First scan completed → Test alert delivered → Opportunity inspected → Compliance or activity return visit → Paid conversion</w:t>
            </w:r>
          </w:p>
        </w:tc>
      </w:tr>
    </w:tbl>
    <w:p>
      <w:pPr>
        <w:pStyle w:val="Heading2"/>
        <w:keepNext/>
        <w:keepLines/>
      </w:pPr>
      <w:r>
        <w:t>Key metrics</w:t>
      </w:r>
    </w:p>
    <w:tbl>
      <w:tblPr>
        <w:tblW w:type="auto" w:w="0"/>
        <w:jc w:val="center"/>
        <w:tblLayout w:type="fixed"/>
        <w:tblLook w:firstColumn="1" w:firstRow="1" w:lastColumn="0" w:lastRow="0" w:noHBand="0" w:noVBand="1" w:val="04A0"/>
      </w:tblPr>
      <w:tblGrid>
        <w:gridCol w:w="2232"/>
        <w:gridCol w:w="7560"/>
      </w:tblGrid>
      <w:tr>
        <w:trPr>
          <w:tblHeader w:val="true"/>
          <w:cantSplit/>
        </w:trPr>
        <w:tc>
          <w:tcPr>
            <w:tcW w:type="dxa" w:w="5112"/>
            <w:shd w:fill="0F5C4D"/>
            <w:tcBorders>
              <w:top w:val="single" w:sz="4" w:color="0F5C4D"/>
              <w:left w:val="single" w:sz="4" w:color="0F5C4D"/>
              <w:bottom w:val="single" w:sz="4" w:color="0F5C4D"/>
              <w:right w:val="single" w:sz="4" w:color="0F5C4D"/>
            </w:tcBorders>
            <w:tcMar>
              <w:top w:w="100" w:type="dxa"/>
              <w:start w:w="105" w:type="dxa"/>
              <w:bottom w:w="100" w:type="dxa"/>
              <w:end w:w="105" w:type="dxa"/>
            </w:tcMar>
          </w:tcPr>
          <w:p>
            <w:pPr>
              <w:spacing w:after="0"/>
            </w:pPr>
            <w:r>
              <w:rPr>
                <w:b/>
                <w:color w:val="FFFFFF"/>
                <w:sz w:val="16"/>
              </w:rPr>
              <w:t>Stage</w:t>
            </w:r>
          </w:p>
        </w:tc>
        <w:tc>
          <w:tcPr>
            <w:tcW w:type="dxa" w:w="5112"/>
            <w:shd w:fill="0F5C4D"/>
            <w:tcBorders>
              <w:top w:val="single" w:sz="4" w:color="0F5C4D"/>
              <w:left w:val="single" w:sz="4" w:color="0F5C4D"/>
              <w:bottom w:val="single" w:sz="4" w:color="0F5C4D"/>
              <w:right w:val="single" w:sz="4" w:color="0F5C4D"/>
            </w:tcBorders>
            <w:tcMar>
              <w:top w:w="100" w:type="dxa"/>
              <w:start w:w="105" w:type="dxa"/>
              <w:bottom w:w="100" w:type="dxa"/>
              <w:end w:w="105" w:type="dxa"/>
            </w:tcMar>
          </w:tcPr>
          <w:p>
            <w:pPr>
              <w:spacing w:after="0"/>
            </w:pPr>
            <w:r>
              <w:rPr>
                <w:b/>
                <w:color w:val="FFFFFF"/>
                <w:sz w:val="16"/>
              </w:rPr>
              <w:t>Primary measure</w:t>
            </w:r>
          </w:p>
        </w:tc>
      </w:tr>
      <w:tr>
        <w:trPr>
          <w:cantSplit/>
        </w:trPr>
        <w:tc>
          <w:tcPr>
            <w:tcW w:type="dxa" w:w="2232"/>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Activation</w:t>
            </w:r>
          </w:p>
        </w:tc>
        <w:tc>
          <w:tcPr>
            <w:tcW w:type="dxa" w:w="7560"/>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Percentage of verified users who activate a Watch Plan and complete a successful first scan.</w:t>
            </w:r>
          </w:p>
        </w:tc>
      </w:tr>
      <w:tr>
        <w:trPr>
          <w:cantSplit/>
        </w:trPr>
        <w:tc>
          <w:tcPr>
            <w:tcW w:type="dxa" w:w="2232"/>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Delivery readiness</w:t>
            </w:r>
          </w:p>
        </w:tc>
        <w:tc>
          <w:tcPr>
            <w:tcW w:type="dxa" w:w="7560"/>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Percentage of active users who complete a successful Telegram test alert.</w:t>
            </w:r>
          </w:p>
        </w:tc>
      </w:tr>
      <w:tr>
        <w:trPr>
          <w:cantSplit/>
        </w:trPr>
        <w:tc>
          <w:tcPr>
            <w:tcW w:type="dxa" w:w="2232"/>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Product value</w:t>
            </w:r>
          </w:p>
        </w:tc>
        <w:tc>
          <w:tcPr>
            <w:tcW w:type="dxa" w:w="7560"/>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Users who inspect an opportunity, Evidence Passport, alert explanation, or compliance change.</w:t>
            </w:r>
          </w:p>
        </w:tc>
      </w:tr>
      <w:tr>
        <w:trPr>
          <w:cantSplit/>
        </w:trPr>
        <w:tc>
          <w:tcPr>
            <w:tcW w:type="dxa" w:w="2232"/>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Retention</w:t>
            </w:r>
          </w:p>
        </w:tc>
        <w:tc>
          <w:tcPr>
            <w:tcW w:type="dxa" w:w="7560"/>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Watch Plans still active and users returning after 7 and 30 days.</w:t>
            </w:r>
          </w:p>
        </w:tc>
      </w:tr>
      <w:tr>
        <w:trPr>
          <w:cantSplit/>
        </w:trPr>
        <w:tc>
          <w:tcPr>
            <w:tcW w:type="dxa" w:w="2232"/>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Trust</w:t>
            </w:r>
          </w:p>
        </w:tc>
        <w:tc>
          <w:tcPr>
            <w:tcW w:type="dxa" w:w="7560"/>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Passport opens, methodology comparison use, and drift-alert engagement.</w:t>
            </w:r>
          </w:p>
        </w:tc>
      </w:tr>
      <w:tr>
        <w:trPr>
          <w:cantSplit/>
        </w:trPr>
        <w:tc>
          <w:tcPr>
            <w:tcW w:type="dxa" w:w="2232"/>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Revenue</w:t>
            </w:r>
          </w:p>
        </w:tc>
        <w:tc>
          <w:tcPr>
            <w:tcW w:type="dxa" w:w="7560"/>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Free-to-paid conversion, plan retention, monthly recurring revenue, and cancellation reasons.</w:t>
            </w:r>
          </w:p>
        </w:tc>
      </w:tr>
      <w:tr>
        <w:trPr>
          <w:cantSplit/>
        </w:trPr>
        <w:tc>
          <w:tcPr>
            <w:tcW w:type="dxa" w:w="2232"/>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Reliability</w:t>
            </w:r>
          </w:p>
        </w:tc>
        <w:tc>
          <w:tcPr>
            <w:tcW w:type="dxa" w:w="7560"/>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Successful scans, alert-delivery rate, data freshness, and unresolved incidents.</w:t>
            </w:r>
          </w:p>
        </w:tc>
      </w:tr>
    </w:tbl>
    <w:p>
      <w:pPr>
        <w:spacing w:before="80" w:after="40"/>
        <w:keepLines/>
      </w:pPr>
      <w:r>
        <w:rPr>
          <w:rFonts w:ascii="Inter" w:hAnsi="Inter"/>
          <w:b/>
          <w:color w:val="C7A55B"/>
          <w:sz w:val="16"/>
        </w:rPr>
        <w:t>08 | ACCELERATOR AND FUNDING STRATEGY</w:t>
      </w:r>
    </w:p>
    <w:p>
      <w:pPr>
        <w:pStyle w:val="Heading1"/>
        <w:keepNext/>
        <w:keepLines/>
      </w:pPr>
      <w:r>
        <w:t>Why accelerators matter</w:t>
      </w:r>
    </w:p>
    <w:p>
      <w:pPr>
        <w:keepLines/>
      </w:pPr>
      <w:r>
        <w:t xml:space="preserve">HilalMarkets should use an accelerator for more than capital. The highest-value outcomes are </w:t>
      </w:r>
      <w:r>
        <w:rPr>
          <w:b/>
        </w:rPr>
        <w:t>regulatory and market access, Sharia-governance relationships, data and exchange partnerships, investor credibility, hiring, and a disciplined product-market-fit process.</w:t>
      </w:r>
    </w:p>
    <w:p>
      <w:pPr>
        <w:pStyle w:val="Heading2"/>
        <w:keepNext/>
        <w:keepLines/>
      </w:pPr>
      <w:r>
        <w:t>Primary target: Hub71+ Digital Assets</w:t>
      </w:r>
    </w:p>
    <w:tbl>
      <w:tblPr>
        <w:tblW w:type="auto" w:w="0"/>
        <w:jc w:val="center"/>
        <w:tblLayout w:type="fixed"/>
        <w:tblLook w:firstColumn="1" w:firstRow="1" w:lastColumn="0" w:lastRow="0" w:noHBand="0" w:noVBand="1" w:val="04A0"/>
      </w:tblPr>
      <w:tblGrid>
        <w:gridCol w:w="173"/>
        <w:gridCol w:w="9619"/>
      </w:tblGrid>
      <w:tr>
        <w:trPr>
          <w:cantSplit/>
        </w:trPr>
        <w:tc>
          <w:tcPr>
            <w:tcW w:type="dxa" w:w="5112"/>
            <w:shd w:fill="0F5C4D"/>
            <w:tcBorders>
              <w:top w:val="nil"/>
              <w:left w:val="nil"/>
              <w:bottom w:val="nil"/>
              <w:right w:val="nil"/>
            </w:tcBorders>
            <w:tcMar>
              <w:top w:w="70" w:type="dxa"/>
              <w:start w:w="0" w:type="dxa"/>
              <w:bottom w:w="70" w:type="dxa"/>
              <w:end w:w="0" w:type="dxa"/>
            </w:tcMar>
          </w:tcPr>
          <w:p/>
        </w:tc>
        <w:tc>
          <w:tcPr>
            <w:tcW w:type="dxa" w:w="5112"/>
            <w:shd w:fill="EAF3F0"/>
            <w:tcBorders>
              <w:top w:val="nil"/>
              <w:left w:val="nil"/>
              <w:bottom w:val="nil"/>
              <w:right w:val="nil"/>
            </w:tcBorders>
            <w:tcMar>
              <w:top w:w="130" w:type="dxa"/>
              <w:start w:w="170" w:type="dxa"/>
              <w:bottom w:w="130" w:type="dxa"/>
              <w:end w:w="170" w:type="dxa"/>
            </w:tcMar>
          </w:tcPr>
          <w:p>
            <w:pPr>
              <w:spacing w:after="60"/>
            </w:pPr>
            <w:r>
              <w:rPr>
                <w:b/>
                <w:color w:val="172B27"/>
                <w:sz w:val="21"/>
              </w:rPr>
              <w:t>Why the fit is strong</w:t>
            </w:r>
          </w:p>
          <w:p>
            <w:pPr>
              <w:spacing w:after="0"/>
            </w:pPr>
            <w:r>
              <w:t>HilalMarkets sits at the intersection of digital assets, fintech infrastructure, explainable decision support, and the needs of Muslim investors in the UAE and wider MENA market.</w:t>
            </w:r>
          </w:p>
        </w:tc>
      </w:tr>
    </w:tbl>
    <w:tbl>
      <w:tblPr>
        <w:tblW w:type="auto" w:w="0"/>
        <w:jc w:val="center"/>
        <w:tblLayout w:type="fixed"/>
        <w:tblLook w:firstColumn="1" w:firstRow="1" w:lastColumn="0" w:lastRow="0" w:noHBand="0" w:noVBand="1" w:val="04A0"/>
      </w:tblPr>
      <w:tblGrid>
        <w:gridCol w:w="2736"/>
        <w:gridCol w:w="7056"/>
      </w:tblGrid>
      <w:tr>
        <w:trPr>
          <w:tblHeader w:val="true"/>
          <w:cantSplit/>
        </w:trPr>
        <w:tc>
          <w:tcPr>
            <w:tcW w:type="dxa" w:w="5112"/>
            <w:shd w:fill="0F5C4D"/>
            <w:tcBorders>
              <w:top w:val="single" w:sz="4" w:color="0F5C4D"/>
              <w:left w:val="single" w:sz="4" w:color="0F5C4D"/>
              <w:bottom w:val="single" w:sz="4" w:color="0F5C4D"/>
              <w:right w:val="single" w:sz="4" w:color="0F5C4D"/>
            </w:tcBorders>
            <w:tcMar>
              <w:top w:w="100" w:type="dxa"/>
              <w:start w:w="105" w:type="dxa"/>
              <w:bottom w:w="100" w:type="dxa"/>
              <w:end w:w="105" w:type="dxa"/>
            </w:tcMar>
          </w:tcPr>
          <w:p>
            <w:pPr>
              <w:spacing w:after="0"/>
            </w:pPr>
            <w:r>
              <w:rPr>
                <w:b/>
                <w:color w:val="FFFFFF"/>
                <w:sz w:val="16"/>
              </w:rPr>
              <w:t>Hub71 consideration</w:t>
            </w:r>
          </w:p>
        </w:tc>
        <w:tc>
          <w:tcPr>
            <w:tcW w:type="dxa" w:w="5112"/>
            <w:shd w:fill="0F5C4D"/>
            <w:tcBorders>
              <w:top w:val="single" w:sz="4" w:color="0F5C4D"/>
              <w:left w:val="single" w:sz="4" w:color="0F5C4D"/>
              <w:bottom w:val="single" w:sz="4" w:color="0F5C4D"/>
              <w:right w:val="single" w:sz="4" w:color="0F5C4D"/>
            </w:tcBorders>
            <w:tcMar>
              <w:top w:w="100" w:type="dxa"/>
              <w:start w:w="105" w:type="dxa"/>
              <w:bottom w:w="100" w:type="dxa"/>
              <w:end w:w="105" w:type="dxa"/>
            </w:tcMar>
          </w:tcPr>
          <w:p>
            <w:pPr>
              <w:spacing w:after="0"/>
            </w:pPr>
            <w:r>
              <w:rPr>
                <w:b/>
                <w:color w:val="FFFFFF"/>
                <w:sz w:val="16"/>
              </w:rPr>
              <w:t>HilalMarkets response</w:t>
            </w:r>
          </w:p>
        </w:tc>
      </w:tr>
      <w:tr>
        <w:trPr>
          <w:cantSplit/>
        </w:trPr>
        <w:tc>
          <w:tcPr>
            <w:tcW w:type="dxa" w:w="2736"/>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Problem and solution</w:t>
            </w:r>
          </w:p>
        </w:tc>
        <w:tc>
          <w:tcPr>
            <w:tcW w:type="dxa" w:w="7056"/>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Fragmented Sharia screening and market monitoring are unified into one evidence-led workflow.</w:t>
            </w:r>
          </w:p>
        </w:tc>
      </w:tr>
      <w:tr>
        <w:trPr>
          <w:cantSplit/>
        </w:trPr>
        <w:tc>
          <w:tcPr>
            <w:tcW w:type="dxa" w:w="2736"/>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Digital-assets relevance</w:t>
            </w:r>
          </w:p>
        </w:tc>
        <w:tc>
          <w:tcPr>
            <w:tcW w:type="dxa" w:w="7056"/>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The launch product is focused on liquid crypto spot markets, monitoring, and compliance intelligence.</w:t>
            </w:r>
          </w:p>
        </w:tc>
      </w:tr>
      <w:tr>
        <w:trPr>
          <w:cantSplit/>
        </w:trPr>
        <w:tc>
          <w:tcPr>
            <w:tcW w:type="dxa" w:w="2736"/>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Regional relevance</w:t>
            </w:r>
          </w:p>
        </w:tc>
        <w:tc>
          <w:tcPr>
            <w:tcW w:type="dxa" w:w="7056"/>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The product is designed for Muslim investors and can launch from Abu Dhabi into MENA and global Muslim markets.</w:t>
            </w:r>
          </w:p>
        </w:tc>
      </w:tr>
      <w:tr>
        <w:trPr>
          <w:cantSplit/>
        </w:trPr>
        <w:tc>
          <w:tcPr>
            <w:tcW w:type="dxa" w:w="2736"/>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Technology</w:t>
            </w:r>
          </w:p>
        </w:tc>
        <w:tc>
          <w:tcPr>
            <w:tcW w:type="dxa" w:w="7056"/>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A working monitoring foundation already exists; the Sharia-first layer is the next product transformation.</w:t>
            </w:r>
          </w:p>
        </w:tc>
      </w:tr>
      <w:tr>
        <w:trPr>
          <w:cantSplit/>
        </w:trPr>
        <w:tc>
          <w:tcPr>
            <w:tcW w:type="dxa" w:w="2736"/>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Business model</w:t>
            </w:r>
          </w:p>
        </w:tc>
        <w:tc>
          <w:tcPr>
            <w:tcW w:type="dxa" w:w="7056"/>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Recurring SaaS with later API and partner distribution.</w:t>
            </w:r>
          </w:p>
        </w:tc>
      </w:tr>
      <w:tr>
        <w:trPr>
          <w:cantSplit/>
        </w:trPr>
        <w:tc>
          <w:tcPr>
            <w:tcW w:type="dxa" w:w="2736"/>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Abu Dhabi plan</w:t>
            </w:r>
          </w:p>
        </w:tc>
        <w:tc>
          <w:tcPr>
            <w:tcW w:type="dxa" w:w="7056"/>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Build governance, regulatory, scholar, data, and fintech partnerships; use Abu Dhabi as the regional operating base.</w:t>
            </w:r>
          </w:p>
        </w:tc>
      </w:tr>
      <w:tr>
        <w:trPr>
          <w:cantSplit/>
        </w:trPr>
        <w:tc>
          <w:tcPr>
            <w:tcW w:type="dxa" w:w="2736"/>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Founder commitment</w:t>
            </w:r>
          </w:p>
        </w:tc>
        <w:tc>
          <w:tcPr>
            <w:tcW w:type="dxa" w:w="7056"/>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The application must directly address the programme’s founder-relocation expectation.</w:t>
            </w:r>
          </w:p>
        </w:tc>
      </w:tr>
    </w:tbl>
    <w:p>
      <w:pPr>
        <w:keepLines/>
      </w:pPr>
      <w:r>
        <w:rPr>
          <w:b/>
        </w:rPr>
        <w:t xml:space="preserve">Current public programme snapshot (as of 14 July 2026): </w:t>
      </w:r>
      <w:r>
        <w:t>Hub71+ Digital Assets describes a 12-month programme, AED 250,000 in flexible in-kind incentives, AED 250,000 cash in exchange for equity through a SAFE note, and a possible additional AED 250,000 for high-performing startups. Its public application information expects at least one founder to commit to relocating long-term and building a team in Abu Dhabi. Cohort 20 is listed with an application deadline of 2 August 2026 and a February 2027 start.</w:t>
      </w:r>
    </w:p>
    <w:p>
      <w:pPr>
        <w:pStyle w:val="Heading2"/>
        <w:keepNext/>
        <w:keepLines/>
      </w:pPr>
      <w:r>
        <w:t>Other relevant accelerator routes</w:t>
      </w:r>
    </w:p>
    <w:tbl>
      <w:tblPr>
        <w:tblW w:type="auto" w:w="0"/>
        <w:jc w:val="center"/>
        <w:tblLayout w:type="fixed"/>
        <w:tblLook w:firstColumn="1" w:firstRow="1" w:lastColumn="0" w:lastRow="0" w:noHBand="0" w:noVBand="1" w:val="04A0"/>
      </w:tblPr>
      <w:tblGrid>
        <w:gridCol w:w="2808"/>
        <w:gridCol w:w="6984"/>
      </w:tblGrid>
      <w:tr>
        <w:trPr>
          <w:tblHeader w:val="true"/>
          <w:cantSplit/>
        </w:trPr>
        <w:tc>
          <w:tcPr>
            <w:tcW w:type="dxa" w:w="5112"/>
            <w:shd w:fill="0F5C4D"/>
            <w:tcBorders>
              <w:top w:val="single" w:sz="4" w:color="0F5C4D"/>
              <w:left w:val="single" w:sz="4" w:color="0F5C4D"/>
              <w:bottom w:val="single" w:sz="4" w:color="0F5C4D"/>
              <w:right w:val="single" w:sz="4" w:color="0F5C4D"/>
            </w:tcBorders>
            <w:tcMar>
              <w:top w:w="100" w:type="dxa"/>
              <w:start w:w="105" w:type="dxa"/>
              <w:bottom w:w="100" w:type="dxa"/>
              <w:end w:w="105" w:type="dxa"/>
            </w:tcMar>
          </w:tcPr>
          <w:p>
            <w:pPr>
              <w:spacing w:after="0"/>
            </w:pPr>
            <w:r>
              <w:rPr>
                <w:b/>
                <w:color w:val="FFFFFF"/>
                <w:sz w:val="16"/>
              </w:rPr>
              <w:t>Programme</w:t>
            </w:r>
          </w:p>
        </w:tc>
        <w:tc>
          <w:tcPr>
            <w:tcW w:type="dxa" w:w="5112"/>
            <w:shd w:fill="0F5C4D"/>
            <w:tcBorders>
              <w:top w:val="single" w:sz="4" w:color="0F5C4D"/>
              <w:left w:val="single" w:sz="4" w:color="0F5C4D"/>
              <w:bottom w:val="single" w:sz="4" w:color="0F5C4D"/>
              <w:right w:val="single" w:sz="4" w:color="0F5C4D"/>
            </w:tcBorders>
            <w:tcMar>
              <w:top w:w="100" w:type="dxa"/>
              <w:start w:w="105" w:type="dxa"/>
              <w:bottom w:w="100" w:type="dxa"/>
              <w:end w:w="105" w:type="dxa"/>
            </w:tcMar>
          </w:tcPr>
          <w:p>
            <w:pPr>
              <w:spacing w:after="0"/>
            </w:pPr>
            <w:r>
              <w:rPr>
                <w:b/>
                <w:color w:val="FFFFFF"/>
                <w:sz w:val="16"/>
              </w:rPr>
              <w:t>Strategic reason to consider</w:t>
            </w:r>
          </w:p>
        </w:tc>
      </w:tr>
      <w:tr>
        <w:trPr>
          <w:cantSplit/>
        </w:trPr>
        <w:tc>
          <w:tcPr>
            <w:tcW w:type="dxa" w:w="2808"/>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Hub71 Access</w:t>
            </w:r>
          </w:p>
        </w:tc>
        <w:tc>
          <w:tcPr>
            <w:tcW w:type="dxa" w:w="6984"/>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General pre-seed to Series A route with Abu Dhabi market access, investor and partner network, and an incentive package.</w:t>
            </w:r>
          </w:p>
        </w:tc>
      </w:tr>
      <w:tr>
        <w:trPr>
          <w:cantSplit/>
        </w:trPr>
        <w:tc>
          <w:tcPr>
            <w:tcW w:type="dxa" w:w="2808"/>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DIFC FinTech Hive / Innovation Hub</w:t>
            </w:r>
          </w:p>
        </w:tc>
        <w:tc>
          <w:tcPr>
            <w:tcW w:type="dxa" w:w="6984"/>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Explicit relevance to FinTech, RegTech, and Islamic FinTech, with regional financial-industry access.</w:t>
            </w:r>
          </w:p>
        </w:tc>
      </w:tr>
      <w:tr>
        <w:trPr>
          <w:cantSplit/>
        </w:trPr>
        <w:tc>
          <w:tcPr>
            <w:tcW w:type="dxa" w:w="2808"/>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Antler MENAP</w:t>
            </w:r>
          </w:p>
        </w:tc>
        <w:tc>
          <w:tcPr>
            <w:tcW w:type="dxa" w:w="6984"/>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Useful for an early-stage founder seeking an intensive build sprint, co-founder or team development, and regional investor access.</w:t>
            </w:r>
          </w:p>
        </w:tc>
      </w:tr>
      <w:tr>
        <w:trPr>
          <w:cantSplit/>
        </w:trPr>
        <w:tc>
          <w:tcPr>
            <w:tcW w:type="dxa" w:w="2808"/>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Y Combinator</w:t>
            </w:r>
          </w:p>
        </w:tc>
        <w:tc>
          <w:tcPr>
            <w:tcW w:type="dxa" w:w="6984"/>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Global category-building option after the company can demonstrate a sharp problem, product velocity, and strong user behavior.</w:t>
            </w:r>
          </w:p>
        </w:tc>
      </w:tr>
    </w:tbl>
    <w:p>
      <w:pPr>
        <w:pStyle w:val="Heading2"/>
        <w:keepNext/>
        <w:keepLines/>
      </w:pPr>
      <w:r>
        <w:t>Accelerator application narrative</w:t>
      </w:r>
    </w:p>
    <w:tbl>
      <w:tblPr>
        <w:tblW w:type="auto" w:w="0"/>
        <w:jc w:val="center"/>
        <w:tblLayout w:type="fixed"/>
        <w:tblLook w:firstColumn="1" w:firstRow="1" w:lastColumn="0" w:lastRow="0" w:noHBand="0" w:noVBand="1" w:val="04A0"/>
      </w:tblPr>
      <w:tblGrid>
        <w:gridCol w:w="173"/>
        <w:gridCol w:w="9619"/>
      </w:tblGrid>
      <w:tr>
        <w:trPr>
          <w:cantSplit/>
        </w:trPr>
        <w:tc>
          <w:tcPr>
            <w:tcW w:type="dxa" w:w="5112"/>
            <w:shd w:fill="A13D3D"/>
            <w:tcBorders>
              <w:top w:val="nil"/>
              <w:left w:val="nil"/>
              <w:bottom w:val="nil"/>
              <w:right w:val="nil"/>
            </w:tcBorders>
            <w:tcMar>
              <w:top w:w="70" w:type="dxa"/>
              <w:start w:w="0" w:type="dxa"/>
              <w:bottom w:w="70" w:type="dxa"/>
              <w:end w:w="0" w:type="dxa"/>
            </w:tcMar>
          </w:tcPr>
          <w:p/>
        </w:tc>
        <w:tc>
          <w:tcPr>
            <w:tcW w:type="dxa" w:w="5112"/>
            <w:shd w:fill="F8E8E6"/>
            <w:tcBorders>
              <w:top w:val="nil"/>
              <w:left w:val="nil"/>
              <w:bottom w:val="nil"/>
              <w:right w:val="nil"/>
            </w:tcBorders>
            <w:tcMar>
              <w:top w:w="130" w:type="dxa"/>
              <w:start w:w="170" w:type="dxa"/>
              <w:bottom w:w="130" w:type="dxa"/>
              <w:end w:w="170" w:type="dxa"/>
            </w:tcMar>
          </w:tcPr>
          <w:p>
            <w:pPr>
              <w:spacing w:after="60"/>
            </w:pPr>
            <w:r>
              <w:rPr>
                <w:b/>
                <w:color w:val="172B27"/>
                <w:sz w:val="21"/>
              </w:rPr>
              <w:t>Do not pitch</w:t>
            </w:r>
          </w:p>
          <w:p>
            <w:pPr>
              <w:spacing w:after="0"/>
            </w:pPr>
            <w:r>
              <w:t>“A halal coin list with a technical scanner.”</w:t>
            </w:r>
          </w:p>
        </w:tc>
      </w:tr>
    </w:tbl>
    <w:tbl>
      <w:tblPr>
        <w:tblW w:type="auto" w:w="0"/>
        <w:jc w:val="center"/>
        <w:tblLayout w:type="fixed"/>
        <w:tblLook w:firstColumn="1" w:firstRow="1" w:lastColumn="0" w:lastRow="0" w:noHBand="0" w:noVBand="1" w:val="04A0"/>
      </w:tblPr>
      <w:tblGrid>
        <w:gridCol w:w="173"/>
        <w:gridCol w:w="9619"/>
      </w:tblGrid>
      <w:tr>
        <w:trPr>
          <w:cantSplit/>
        </w:trPr>
        <w:tc>
          <w:tcPr>
            <w:tcW w:type="dxa" w:w="5112"/>
            <w:shd w:fill="0F5C4D"/>
            <w:tcBorders>
              <w:top w:val="nil"/>
              <w:left w:val="nil"/>
              <w:bottom w:val="nil"/>
              <w:right w:val="nil"/>
            </w:tcBorders>
            <w:tcMar>
              <w:top w:w="70" w:type="dxa"/>
              <w:start w:w="0" w:type="dxa"/>
              <w:bottom w:w="70" w:type="dxa"/>
              <w:end w:w="0" w:type="dxa"/>
            </w:tcMar>
          </w:tcPr>
          <w:p/>
        </w:tc>
        <w:tc>
          <w:tcPr>
            <w:tcW w:type="dxa" w:w="5112"/>
            <w:shd w:fill="EAF3F0"/>
            <w:tcBorders>
              <w:top w:val="nil"/>
              <w:left w:val="nil"/>
              <w:bottom w:val="nil"/>
              <w:right w:val="nil"/>
            </w:tcBorders>
            <w:tcMar>
              <w:top w:w="130" w:type="dxa"/>
              <w:start w:w="170" w:type="dxa"/>
              <w:bottom w:w="130" w:type="dxa"/>
              <w:end w:w="170" w:type="dxa"/>
            </w:tcMar>
          </w:tcPr>
          <w:p>
            <w:pPr>
              <w:spacing w:after="60"/>
            </w:pPr>
            <w:r>
              <w:rPr>
                <w:b/>
                <w:color w:val="172B27"/>
                <w:sz w:val="21"/>
              </w:rPr>
              <w:t>Pitch</w:t>
            </w:r>
          </w:p>
          <w:p>
            <w:pPr>
              <w:spacing w:after="0"/>
            </w:pPr>
            <w:r>
              <w:t>“The trust and monitoring infrastructure that helps Muslim investors know what they can consider, when it matters, and why.”</w:t>
            </w:r>
          </w:p>
        </w:tc>
      </w:tr>
    </w:tbl>
    <w:p>
      <w:pPr>
        <w:pStyle w:val="Heading2"/>
        <w:keepNext/>
        <w:keepLines/>
      </w:pPr>
      <w:r>
        <w:t>Evidence needed before applying</w:t>
      </w:r>
    </w:p>
    <w:p>
      <w:pPr>
        <w:pStyle w:val="ListBullet"/>
        <w:spacing w:after="40"/>
        <w:keepLines/>
      </w:pPr>
      <w:r>
        <w:t>A live, reliable demo showing Screened Market → Passport → Watch Plan → scan → alert → evidence.</w:t>
      </w:r>
    </w:p>
    <w:p>
      <w:pPr>
        <w:pStyle w:val="ListBullet"/>
        <w:spacing w:after="40"/>
        <w:keepLines/>
      </w:pPr>
      <w:r>
        <w:t>A real methodology and named qualified governance, not placeholder screening data.</w:t>
      </w:r>
    </w:p>
    <w:p>
      <w:pPr>
        <w:pStyle w:val="ListBullet"/>
        <w:spacing w:after="40"/>
        <w:keepLines/>
      </w:pPr>
      <w:r>
        <w:t>Private-beta metrics: activation, first-scan success, test-alert completion, weekly return, and paid intent.</w:t>
      </w:r>
    </w:p>
    <w:p>
      <w:pPr>
        <w:pStyle w:val="ListBullet"/>
        <w:spacing w:after="40"/>
        <w:keepLines/>
      </w:pPr>
      <w:r>
        <w:t>At least two compelling compliance-drift or missed-alert case studies.</w:t>
      </w:r>
    </w:p>
    <w:p>
      <w:pPr>
        <w:pStyle w:val="ListBullet"/>
        <w:spacing w:after="40"/>
        <w:keepLines/>
      </w:pPr>
      <w:r>
        <w:t>Clear company ownership, intellectual-property assignment, privacy, security, and data-rights documentation.</w:t>
      </w:r>
    </w:p>
    <w:p>
      <w:pPr>
        <w:pStyle w:val="ListBullet"/>
        <w:spacing w:after="40"/>
        <w:keepLines/>
      </w:pPr>
      <w:r>
        <w:t>A realistic Abu Dhabi operating plan and founder relocation position for Hub71.</w:t>
      </w:r>
    </w:p>
    <w:p>
      <w:pPr>
        <w:pStyle w:val="ListBullet"/>
        <w:spacing w:after="40"/>
        <w:keepLines/>
      </w:pPr>
      <w:r>
        <w:t>A concise pitch deck covering problem, solution, value proposition, business model, competition, market, traction, team, funds raised, and Abu Dhabi plan.</w:t>
      </w:r>
    </w:p>
    <w:p>
      <w:pPr>
        <w:keepLines/>
      </w:pPr>
      <w:r>
        <w:br w:type="page"/>
      </w:r>
    </w:p>
    <w:p>
      <w:pPr>
        <w:spacing w:before="80" w:after="40"/>
        <w:keepLines/>
      </w:pPr>
      <w:r>
        <w:rPr>
          <w:rFonts w:ascii="Inter" w:hAnsi="Inter"/>
          <w:b/>
          <w:color w:val="C7A55B"/>
          <w:sz w:val="16"/>
        </w:rPr>
        <w:t>09 | ROADMAP AND OPERATING GOALS</w:t>
      </w:r>
    </w:p>
    <w:p>
      <w:pPr>
        <w:pStyle w:val="Heading1"/>
        <w:keepNext/>
        <w:keepLines/>
      </w:pPr>
      <w:r>
        <w:t>Focused execution plan</w:t>
      </w:r>
    </w:p>
    <w:tbl>
      <w:tblPr>
        <w:tblW w:type="auto" w:w="0"/>
        <w:jc w:val="center"/>
        <w:tblLayout w:type="fixed"/>
        <w:tblLook w:firstColumn="1" w:firstRow="1" w:lastColumn="0" w:lastRow="0" w:noHBand="0" w:noVBand="1" w:val="04A0"/>
      </w:tblPr>
      <w:tblGrid>
        <w:gridCol w:w="2088"/>
        <w:gridCol w:w="4320"/>
        <w:gridCol w:w="3384"/>
      </w:tblGrid>
      <w:tr>
        <w:trPr>
          <w:tblHeader w:val="true"/>
          <w:cantSplit/>
        </w:trPr>
        <w:tc>
          <w:tcPr>
            <w:tcW w:type="dxa" w:w="3408"/>
            <w:shd w:fill="0F5C4D"/>
            <w:tcBorders>
              <w:top w:val="single" w:sz="4" w:color="0F5C4D"/>
              <w:left w:val="single" w:sz="4" w:color="0F5C4D"/>
              <w:bottom w:val="single" w:sz="4" w:color="0F5C4D"/>
              <w:right w:val="single" w:sz="4" w:color="0F5C4D"/>
            </w:tcBorders>
            <w:tcMar>
              <w:top w:w="100" w:type="dxa"/>
              <w:start w:w="105" w:type="dxa"/>
              <w:bottom w:w="100" w:type="dxa"/>
              <w:end w:w="105" w:type="dxa"/>
            </w:tcMar>
          </w:tcPr>
          <w:p>
            <w:pPr>
              <w:spacing w:after="0"/>
            </w:pPr>
            <w:r>
              <w:rPr>
                <w:b/>
                <w:color w:val="FFFFFF"/>
                <w:sz w:val="16"/>
              </w:rPr>
              <w:t>Phase</w:t>
            </w:r>
          </w:p>
        </w:tc>
        <w:tc>
          <w:tcPr>
            <w:tcW w:type="dxa" w:w="3408"/>
            <w:shd w:fill="0F5C4D"/>
            <w:tcBorders>
              <w:top w:val="single" w:sz="4" w:color="0F5C4D"/>
              <w:left w:val="single" w:sz="4" w:color="0F5C4D"/>
              <w:bottom w:val="single" w:sz="4" w:color="0F5C4D"/>
              <w:right w:val="single" w:sz="4" w:color="0F5C4D"/>
            </w:tcBorders>
            <w:tcMar>
              <w:top w:w="100" w:type="dxa"/>
              <w:start w:w="105" w:type="dxa"/>
              <w:bottom w:w="100" w:type="dxa"/>
              <w:end w:w="105" w:type="dxa"/>
            </w:tcMar>
          </w:tcPr>
          <w:p>
            <w:pPr>
              <w:spacing w:after="0"/>
            </w:pPr>
            <w:r>
              <w:rPr>
                <w:b/>
                <w:color w:val="FFFFFF"/>
                <w:sz w:val="16"/>
              </w:rPr>
              <w:t>Product scope</w:t>
            </w:r>
          </w:p>
        </w:tc>
        <w:tc>
          <w:tcPr>
            <w:tcW w:type="dxa" w:w="3408"/>
            <w:shd w:fill="0F5C4D"/>
            <w:tcBorders>
              <w:top w:val="single" w:sz="4" w:color="0F5C4D"/>
              <w:left w:val="single" w:sz="4" w:color="0F5C4D"/>
              <w:bottom w:val="single" w:sz="4" w:color="0F5C4D"/>
              <w:right w:val="single" w:sz="4" w:color="0F5C4D"/>
            </w:tcBorders>
            <w:tcMar>
              <w:top w:w="100" w:type="dxa"/>
              <w:start w:w="105" w:type="dxa"/>
              <w:bottom w:w="100" w:type="dxa"/>
              <w:end w:w="105" w:type="dxa"/>
            </w:tcMar>
          </w:tcPr>
          <w:p>
            <w:pPr>
              <w:spacing w:after="0"/>
            </w:pPr>
            <w:r>
              <w:rPr>
                <w:b/>
                <w:color w:val="FFFFFF"/>
                <w:sz w:val="16"/>
              </w:rPr>
              <w:t>Business proof</w:t>
            </w:r>
          </w:p>
        </w:tc>
      </w:tr>
      <w:tr>
        <w:trPr>
          <w:cantSplit/>
        </w:trPr>
        <w:tc>
          <w:tcPr>
            <w:tcW w:type="dxa" w:w="2088"/>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Phase 1 — Rebrand and foundation</w:t>
            </w:r>
          </w:p>
        </w:tc>
        <w:tc>
          <w:tcPr>
            <w:tcW w:type="dxa" w:w="4320"/>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HilalMarkets identity, domain migration, screened-market data model, policy resolver, methodology governance, Evidence Passport.</w:t>
            </w:r>
          </w:p>
        </w:tc>
        <w:tc>
          <w:tcPr>
            <w:tcW w:type="dxa" w:w="3384"/>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Confirm the category and recruit qualified reviewers and first beta users.</w:t>
            </w:r>
          </w:p>
        </w:tc>
      </w:tr>
      <w:tr>
        <w:trPr>
          <w:cantSplit/>
        </w:trPr>
        <w:tc>
          <w:tcPr>
            <w:tcW w:type="dxa" w:w="2088"/>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Phase 2 — Connected beta</w:t>
            </w:r>
          </w:p>
        </w:tc>
        <w:tc>
          <w:tcPr>
            <w:tcW w:type="dxa" w:w="4320"/>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Screened Market, guided Watch Plans, Check the Market Now, opportunity cards, activity/evidence, Telegram delivery.</w:t>
            </w:r>
          </w:p>
        </w:tc>
        <w:tc>
          <w:tcPr>
            <w:tcW w:type="dxa" w:w="3384"/>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Prove users can reach activation quickly and understand the product without expert help.</w:t>
            </w:r>
          </w:p>
        </w:tc>
      </w:tr>
      <w:tr>
        <w:trPr>
          <w:cantSplit/>
        </w:trPr>
        <w:tc>
          <w:tcPr>
            <w:tcW w:type="dxa" w:w="2088"/>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Phase 3 — Compliance intelligence</w:t>
            </w:r>
          </w:p>
        </w:tc>
        <w:tc>
          <w:tcPr>
            <w:tcW w:type="dxa" w:w="4320"/>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Compliance Watch, Drift Alerts, Methodology Comparison, status-change propagation into active Watch Plans.</w:t>
            </w:r>
          </w:p>
        </w:tc>
        <w:tc>
          <w:tcPr>
            <w:tcW w:type="dxa" w:w="3384"/>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Prove the platform creates repeat engagement and trust beyond one-time screening.</w:t>
            </w:r>
          </w:p>
        </w:tc>
      </w:tr>
      <w:tr>
        <w:trPr>
          <w:cantSplit/>
        </w:trPr>
        <w:tc>
          <w:tcPr>
            <w:tcW w:type="dxa" w:w="2088"/>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Phase 4 — Paid launch</w:t>
            </w:r>
          </w:p>
        </w:tc>
        <w:tc>
          <w:tcPr>
            <w:tcW w:type="dxa" w:w="4320"/>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Plan limits, polished onboarding, analytics, reliability, billing, support, Arabic experience.</w:t>
            </w:r>
          </w:p>
        </w:tc>
        <w:tc>
          <w:tcPr>
            <w:tcW w:type="dxa" w:w="3384"/>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Prove retention, willingness to pay, and a repeatable acquisition channel.</w:t>
            </w:r>
          </w:p>
        </w:tc>
      </w:tr>
      <w:tr>
        <w:trPr>
          <w:cantSplit/>
        </w:trPr>
        <w:tc>
          <w:tcPr>
            <w:tcW w:type="dxa" w:w="2088"/>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Phase 5 — Market expansion</w:t>
            </w:r>
          </w:p>
        </w:tc>
        <w:tc>
          <w:tcPr>
            <w:tcW w:type="dxa" w:w="4320"/>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Selected US stocks using properly licensed delayed/EOD data; one local market using an official or reviewed Sharia universe.</w:t>
            </w:r>
          </w:p>
        </w:tc>
        <w:tc>
          <w:tcPr>
            <w:tcW w:type="dxa" w:w="3384"/>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Prove the model can extend beyond crypto without weakening trust or product simplicity.</w:t>
            </w:r>
          </w:p>
        </w:tc>
      </w:tr>
    </w:tbl>
    <w:p>
      <w:pPr>
        <w:pStyle w:val="Heading2"/>
        <w:keepNext/>
        <w:keepLines/>
      </w:pPr>
      <w:r>
        <w:t>Launch scope discipline</w:t>
      </w:r>
    </w:p>
    <w:tbl>
      <w:tblPr>
        <w:tblW w:type="auto" w:w="0"/>
        <w:jc w:val="center"/>
        <w:tblLayout w:type="fixed"/>
        <w:tblLook w:firstColumn="1" w:firstRow="1" w:lastColumn="0" w:lastRow="0" w:noHBand="0" w:noVBand="1" w:val="04A0"/>
      </w:tblPr>
      <w:tblGrid>
        <w:gridCol w:w="4824"/>
        <w:gridCol w:w="4968"/>
      </w:tblGrid>
      <w:tr>
        <w:trPr>
          <w:tblHeader w:val="true"/>
          <w:cantSplit/>
        </w:trPr>
        <w:tc>
          <w:tcPr>
            <w:tcW w:type="dxa" w:w="5112"/>
            <w:shd w:fill="0F5C4D"/>
            <w:tcBorders>
              <w:top w:val="single" w:sz="4" w:color="0F5C4D"/>
              <w:left w:val="single" w:sz="4" w:color="0F5C4D"/>
              <w:bottom w:val="single" w:sz="4" w:color="0F5C4D"/>
              <w:right w:val="single" w:sz="4" w:color="0F5C4D"/>
            </w:tcBorders>
            <w:tcMar>
              <w:top w:w="100" w:type="dxa"/>
              <w:start w:w="105" w:type="dxa"/>
              <w:bottom w:w="100" w:type="dxa"/>
              <w:end w:w="105" w:type="dxa"/>
            </w:tcMar>
          </w:tcPr>
          <w:p>
            <w:pPr>
              <w:spacing w:after="0"/>
            </w:pPr>
            <w:r>
              <w:rPr>
                <w:b/>
                <w:color w:val="FFFFFF"/>
                <w:sz w:val="16"/>
              </w:rPr>
              <w:t>Include first</w:t>
            </w:r>
          </w:p>
        </w:tc>
        <w:tc>
          <w:tcPr>
            <w:tcW w:type="dxa" w:w="5112"/>
            <w:shd w:fill="0F5C4D"/>
            <w:tcBorders>
              <w:top w:val="single" w:sz="4" w:color="0F5C4D"/>
              <w:left w:val="single" w:sz="4" w:color="0F5C4D"/>
              <w:bottom w:val="single" w:sz="4" w:color="0F5C4D"/>
              <w:right w:val="single" w:sz="4" w:color="0F5C4D"/>
            </w:tcBorders>
            <w:tcMar>
              <w:top w:w="100" w:type="dxa"/>
              <w:start w:w="105" w:type="dxa"/>
              <w:bottom w:w="100" w:type="dxa"/>
              <w:end w:w="105" w:type="dxa"/>
            </w:tcMar>
          </w:tcPr>
          <w:p>
            <w:pPr>
              <w:spacing w:after="0"/>
            </w:pPr>
            <w:r>
              <w:rPr>
                <w:b/>
                <w:color w:val="FFFFFF"/>
                <w:sz w:val="16"/>
              </w:rPr>
              <w:t>Delay</w:t>
            </w:r>
          </w:p>
        </w:tc>
      </w:tr>
      <w:tr>
        <w:trPr>
          <w:cantSplit/>
        </w:trPr>
        <w:tc>
          <w:tcPr>
            <w:tcW w:type="dxa" w:w="4824"/>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Crypto spot only</w:t>
            </w:r>
          </w:p>
        </w:tc>
        <w:tc>
          <w:tcPr>
            <w:tcW w:type="dxa" w:w="4968"/>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Futures, margin, leverage, and automatic execution</w:t>
            </w:r>
          </w:p>
        </w:tc>
      </w:tr>
      <w:tr>
        <w:trPr>
          <w:cantSplit/>
        </w:trPr>
        <w:tc>
          <w:tcPr>
            <w:tcW w:type="dxa" w:w="4824"/>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One or two exchanges</w:t>
            </w:r>
          </w:p>
        </w:tc>
        <w:tc>
          <w:tcPr>
            <w:tcW w:type="dxa" w:w="4968"/>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Broad multi-asset complexity</w:t>
            </w:r>
          </w:p>
        </w:tc>
      </w:tr>
      <w:tr>
        <w:trPr>
          <w:cantSplit/>
        </w:trPr>
        <w:tc>
          <w:tcPr>
            <w:tcW w:type="dxa" w:w="4824"/>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50–100 liquid assets with evidence</w:t>
            </w:r>
          </w:p>
        </w:tc>
        <w:tc>
          <w:tcPr>
            <w:tcW w:type="dxa" w:w="4968"/>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Thousands of low-quality token listings</w:t>
            </w:r>
          </w:p>
        </w:tc>
      </w:tr>
      <w:tr>
        <w:trPr>
          <w:cantSplit/>
        </w:trPr>
        <w:tc>
          <w:tcPr>
            <w:tcW w:type="dxa" w:w="4824"/>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English and Arabic</w:t>
            </w:r>
          </w:p>
        </w:tc>
        <w:tc>
          <w:tcPr>
            <w:tcW w:type="dxa" w:w="4968"/>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Many languages before retention</w:t>
            </w:r>
          </w:p>
        </w:tc>
      </w:tr>
      <w:tr>
        <w:trPr>
          <w:cantSplit/>
        </w:trPr>
        <w:tc>
          <w:tcPr>
            <w:tcW w:type="dxa" w:w="4824"/>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15m, 1h, 4h, and daily use cases</w:t>
            </w:r>
          </w:p>
        </w:tc>
        <w:tc>
          <w:tcPr>
            <w:tcW w:type="dxa" w:w="4968"/>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High-frequency or tick-level promises</w:t>
            </w:r>
          </w:p>
        </w:tc>
      </w:tr>
      <w:tr>
        <w:trPr>
          <w:cantSplit/>
        </w:trPr>
        <w:tc>
          <w:tcPr>
            <w:tcW w:type="dxa" w:w="4824"/>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Screened Market, Watch Plans, Activity, Evidence</w:t>
            </w:r>
          </w:p>
        </w:tc>
        <w:tc>
          <w:tcPr>
            <w:tcW w:type="dxa" w:w="4968"/>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News feed, community, courses, Zakat, and unrelated Islamic utilities</w:t>
            </w:r>
          </w:p>
        </w:tc>
      </w:tr>
      <w:tr>
        <w:trPr>
          <w:cantSplit/>
        </w:trPr>
        <w:tc>
          <w:tcPr>
            <w:tcW w:type="dxa" w:w="4824"/>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Web and Telegram</w:t>
            </w:r>
          </w:p>
        </w:tc>
        <w:tc>
          <w:tcPr>
            <w:tcW w:type="dxa" w:w="4968"/>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Every possible channel and white-label use case</w:t>
            </w:r>
          </w:p>
        </w:tc>
      </w:tr>
    </w:tbl>
    <w:p>
      <w:pPr>
        <w:pStyle w:val="Heading2"/>
        <w:keepNext/>
        <w:keepLines/>
      </w:pPr>
      <w:r>
        <w:t>Funding priorities</w:t>
      </w:r>
    </w:p>
    <w:p>
      <w:pPr>
        <w:pStyle w:val="ListBullet"/>
        <w:spacing w:after="40"/>
        <w:keepLines/>
      </w:pPr>
      <w:r>
        <w:t>Qualified Sharia governance, methodology development, review operations, and evidence sourcing.</w:t>
      </w:r>
    </w:p>
    <w:p>
      <w:pPr>
        <w:pStyle w:val="ListBullet"/>
        <w:spacing w:after="40"/>
        <w:keepLines/>
      </w:pPr>
      <w:r>
        <w:t>Product engineering, reliability, security, analytics, and data infrastructure.</w:t>
      </w:r>
    </w:p>
    <w:p>
      <w:pPr>
        <w:pStyle w:val="ListBullet"/>
        <w:spacing w:after="40"/>
        <w:keepLines/>
      </w:pPr>
      <w:r>
        <w:t>Market-data and charting rights where commercial licensing is required.</w:t>
      </w:r>
    </w:p>
    <w:p>
      <w:pPr>
        <w:pStyle w:val="ListBullet"/>
        <w:spacing w:after="40"/>
        <w:keepLines/>
      </w:pPr>
      <w:r>
        <w:t>Arabic product quality and regional customer research.</w:t>
      </w:r>
    </w:p>
    <w:p>
      <w:pPr>
        <w:pStyle w:val="ListBullet"/>
        <w:spacing w:after="40"/>
        <w:keepLines/>
      </w:pPr>
      <w:r>
        <w:t>Regulatory, legal, privacy, and risk-disclosure readiness.</w:t>
      </w:r>
    </w:p>
    <w:p>
      <w:pPr>
        <w:pStyle w:val="ListBullet"/>
        <w:spacing w:after="40"/>
        <w:keepLines/>
      </w:pPr>
      <w:r>
        <w:t>Focused go-to-market experiments and partnership development.</w:t>
      </w:r>
    </w:p>
    <w:p>
      <w:pPr>
        <w:spacing w:before="80" w:after="40"/>
        <w:keepLines/>
      </w:pPr>
      <w:r>
        <w:rPr>
          <w:rFonts w:ascii="Inter" w:hAnsi="Inter"/>
          <w:b/>
          <w:color w:val="C7A55B"/>
          <w:sz w:val="16"/>
        </w:rPr>
        <w:t>10 | GOVERNANCE, SAFETY, AND TRUST</w:t>
      </w:r>
    </w:p>
    <w:p>
      <w:pPr>
        <w:pStyle w:val="Heading1"/>
        <w:keepNext/>
        <w:keepLines/>
      </w:pPr>
      <w:r>
        <w:t>Non-negotiable operating principles</w:t>
      </w:r>
    </w:p>
    <w:tbl>
      <w:tblPr>
        <w:tblW w:type="auto" w:w="0"/>
        <w:jc w:val="center"/>
        <w:tblLayout w:type="fixed"/>
        <w:tblLook w:firstColumn="1" w:firstRow="1" w:lastColumn="0" w:lastRow="0" w:noHBand="0" w:noVBand="1" w:val="04A0"/>
      </w:tblPr>
      <w:tblGrid>
        <w:gridCol w:w="2232"/>
        <w:gridCol w:w="7560"/>
      </w:tblGrid>
      <w:tr>
        <w:trPr>
          <w:tblHeader w:val="true"/>
          <w:cantSplit/>
        </w:trPr>
        <w:tc>
          <w:tcPr>
            <w:tcW w:type="dxa" w:w="5112"/>
            <w:shd w:fill="0F5C4D"/>
            <w:tcBorders>
              <w:top w:val="single" w:sz="4" w:color="0F5C4D"/>
              <w:left w:val="single" w:sz="4" w:color="0F5C4D"/>
              <w:bottom w:val="single" w:sz="4" w:color="0F5C4D"/>
              <w:right w:val="single" w:sz="4" w:color="0F5C4D"/>
            </w:tcBorders>
            <w:tcMar>
              <w:top w:w="100" w:type="dxa"/>
              <w:start w:w="105" w:type="dxa"/>
              <w:bottom w:w="100" w:type="dxa"/>
              <w:end w:w="105" w:type="dxa"/>
            </w:tcMar>
          </w:tcPr>
          <w:p>
            <w:pPr>
              <w:spacing w:after="0"/>
            </w:pPr>
            <w:r>
              <w:rPr>
                <w:b/>
                <w:color w:val="FFFFFF"/>
                <w:sz w:val="16"/>
              </w:rPr>
              <w:t>Principle</w:t>
            </w:r>
          </w:p>
        </w:tc>
        <w:tc>
          <w:tcPr>
            <w:tcW w:type="dxa" w:w="5112"/>
            <w:shd w:fill="0F5C4D"/>
            <w:tcBorders>
              <w:top w:val="single" w:sz="4" w:color="0F5C4D"/>
              <w:left w:val="single" w:sz="4" w:color="0F5C4D"/>
              <w:bottom w:val="single" w:sz="4" w:color="0F5C4D"/>
              <w:right w:val="single" w:sz="4" w:color="0F5C4D"/>
            </w:tcBorders>
            <w:tcMar>
              <w:top w:w="100" w:type="dxa"/>
              <w:start w:w="105" w:type="dxa"/>
              <w:bottom w:w="100" w:type="dxa"/>
              <w:end w:w="105" w:type="dxa"/>
            </w:tcMar>
          </w:tcPr>
          <w:p>
            <w:pPr>
              <w:spacing w:after="0"/>
            </w:pPr>
            <w:r>
              <w:rPr>
                <w:b/>
                <w:color w:val="FFFFFF"/>
                <w:sz w:val="16"/>
              </w:rPr>
              <w:t>Required behavior</w:t>
            </w:r>
          </w:p>
        </w:tc>
      </w:tr>
      <w:tr>
        <w:trPr>
          <w:cantSplit/>
        </w:trPr>
        <w:tc>
          <w:tcPr>
            <w:tcW w:type="dxa" w:w="2232"/>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No AI religious rulings</w:t>
            </w:r>
          </w:p>
        </w:tc>
        <w:tc>
          <w:tcPr>
            <w:tcW w:type="dxa" w:w="7560"/>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AI may collect, summarise, or flag evidence; final methodology and status authority belongs to approved human governance.</w:t>
            </w:r>
          </w:p>
        </w:tc>
      </w:tr>
      <w:tr>
        <w:trPr>
          <w:cantSplit/>
        </w:trPr>
        <w:tc>
          <w:tcPr>
            <w:tcW w:type="dxa" w:w="2232"/>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Version everything</w:t>
            </w:r>
          </w:p>
        </w:tc>
        <w:tc>
          <w:tcPr>
            <w:tcW w:type="dxa" w:w="7560"/>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Methodology, assessment, evidence, Watch Plan, and alert records retain the exact version used at the time.</w:t>
            </w:r>
          </w:p>
        </w:tc>
      </w:tr>
      <w:tr>
        <w:trPr>
          <w:cantSplit/>
        </w:trPr>
        <w:tc>
          <w:tcPr>
            <w:tcW w:type="dxa" w:w="2232"/>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Fail closed</w:t>
            </w:r>
          </w:p>
        </w:tc>
        <w:tc>
          <w:tcPr>
            <w:tcW w:type="dxa" w:w="7560"/>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Assets with missing or stale required evidence are not silently treated as eligible.</w:t>
            </w:r>
          </w:p>
        </w:tc>
      </w:tr>
      <w:tr>
        <w:trPr>
          <w:cantSplit/>
        </w:trPr>
        <w:tc>
          <w:tcPr>
            <w:tcW w:type="dxa" w:w="2232"/>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Show disagreement</w:t>
            </w:r>
          </w:p>
        </w:tc>
        <w:tc>
          <w:tcPr>
            <w:tcW w:type="dxa" w:w="7560"/>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Approved methodology differences are displayed separately rather than collapsed into false consensus.</w:t>
            </w:r>
          </w:p>
        </w:tc>
      </w:tr>
      <w:tr>
        <w:trPr>
          <w:cantSplit/>
        </w:trPr>
        <w:tc>
          <w:tcPr>
            <w:tcW w:type="dxa" w:w="2232"/>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No execution</w:t>
            </w:r>
          </w:p>
        </w:tc>
        <w:tc>
          <w:tcPr>
            <w:tcW w:type="dxa" w:w="7560"/>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The platform monitors and explains; users retain every trading decision.</w:t>
            </w:r>
          </w:p>
        </w:tc>
      </w:tr>
      <w:tr>
        <w:trPr>
          <w:cantSplit/>
        </w:trPr>
        <w:tc>
          <w:tcPr>
            <w:tcW w:type="dxa" w:w="2232"/>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No performance promises</w:t>
            </w:r>
          </w:p>
        </w:tc>
        <w:tc>
          <w:tcPr>
            <w:tcW w:type="dxa" w:w="7560"/>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Marketing avoids guaranteed returns, accuracy claims, and “best trade” language.</w:t>
            </w:r>
          </w:p>
        </w:tc>
      </w:tr>
      <w:tr>
        <w:trPr>
          <w:cantSplit/>
        </w:trPr>
        <w:tc>
          <w:tcPr>
            <w:tcW w:type="dxa" w:w="2232"/>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Evidence before label</w:t>
            </w:r>
          </w:p>
        </w:tc>
        <w:tc>
          <w:tcPr>
            <w:tcW w:type="dxa" w:w="7560"/>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Every user-facing status links to reasons, sources, review date, and history.</w:t>
            </w:r>
          </w:p>
        </w:tc>
      </w:tr>
      <w:tr>
        <w:trPr>
          <w:cantSplit/>
        </w:trPr>
        <w:tc>
          <w:tcPr>
            <w:tcW w:type="dxa" w:w="2232"/>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Data rights</w:t>
            </w:r>
          </w:p>
        </w:tc>
        <w:tc>
          <w:tcPr>
            <w:tcW w:type="dxa" w:w="7560"/>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Market data, charting, and third-party content must be used under appropriate commercial and redistribution terms.</w:t>
            </w:r>
          </w:p>
        </w:tc>
      </w:tr>
      <w:tr>
        <w:trPr>
          <w:cantSplit/>
        </w:trPr>
        <w:tc>
          <w:tcPr>
            <w:tcW w:type="dxa" w:w="2232"/>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Privacy</w:t>
            </w:r>
          </w:p>
        </w:tc>
        <w:tc>
          <w:tcPr>
            <w:tcW w:type="dxa" w:w="7560"/>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No private strategy text, credentials, or identifiable personal data is sent to analytics or exposed in public evidence.</w:t>
            </w:r>
          </w:p>
        </w:tc>
      </w:tr>
    </w:tbl>
    <w:p>
      <w:pPr>
        <w:pStyle w:val="Heading2"/>
        <w:keepNext/>
        <w:keepLines/>
      </w:pPr>
      <w:r>
        <w:t>Key business risks</w:t>
      </w:r>
    </w:p>
    <w:tbl>
      <w:tblPr>
        <w:tblW w:type="auto" w:w="0"/>
        <w:jc w:val="center"/>
        <w:tblLayout w:type="fixed"/>
        <w:tblLook w:firstColumn="1" w:firstRow="1" w:lastColumn="0" w:lastRow="0" w:noHBand="0" w:noVBand="1" w:val="04A0"/>
      </w:tblPr>
      <w:tblGrid>
        <w:gridCol w:w="2376"/>
        <w:gridCol w:w="7416"/>
      </w:tblGrid>
      <w:tr>
        <w:trPr>
          <w:tblHeader w:val="true"/>
          <w:cantSplit/>
        </w:trPr>
        <w:tc>
          <w:tcPr>
            <w:tcW w:type="dxa" w:w="5112"/>
            <w:shd w:fill="0F5C4D"/>
            <w:tcBorders>
              <w:top w:val="single" w:sz="4" w:color="0F5C4D"/>
              <w:left w:val="single" w:sz="4" w:color="0F5C4D"/>
              <w:bottom w:val="single" w:sz="4" w:color="0F5C4D"/>
              <w:right w:val="single" w:sz="4" w:color="0F5C4D"/>
            </w:tcBorders>
            <w:tcMar>
              <w:top w:w="100" w:type="dxa"/>
              <w:start w:w="105" w:type="dxa"/>
              <w:bottom w:w="100" w:type="dxa"/>
              <w:end w:w="105" w:type="dxa"/>
            </w:tcMar>
          </w:tcPr>
          <w:p>
            <w:pPr>
              <w:spacing w:after="0"/>
            </w:pPr>
            <w:r>
              <w:rPr>
                <w:b/>
                <w:color w:val="FFFFFF"/>
                <w:sz w:val="16"/>
              </w:rPr>
              <w:t>Risk</w:t>
            </w:r>
          </w:p>
        </w:tc>
        <w:tc>
          <w:tcPr>
            <w:tcW w:type="dxa" w:w="5112"/>
            <w:shd w:fill="0F5C4D"/>
            <w:tcBorders>
              <w:top w:val="single" w:sz="4" w:color="0F5C4D"/>
              <w:left w:val="single" w:sz="4" w:color="0F5C4D"/>
              <w:bottom w:val="single" w:sz="4" w:color="0F5C4D"/>
              <w:right w:val="single" w:sz="4" w:color="0F5C4D"/>
            </w:tcBorders>
            <w:tcMar>
              <w:top w:w="100" w:type="dxa"/>
              <w:start w:w="105" w:type="dxa"/>
              <w:bottom w:w="100" w:type="dxa"/>
              <w:end w:w="105" w:type="dxa"/>
            </w:tcMar>
          </w:tcPr>
          <w:p>
            <w:pPr>
              <w:spacing w:after="0"/>
            </w:pPr>
            <w:r>
              <w:rPr>
                <w:b/>
                <w:color w:val="FFFFFF"/>
                <w:sz w:val="16"/>
              </w:rPr>
              <w:t>Mitigation</w:t>
            </w:r>
          </w:p>
        </w:tc>
      </w:tr>
      <w:tr>
        <w:trPr>
          <w:cantSplit/>
        </w:trPr>
        <w:tc>
          <w:tcPr>
            <w:tcW w:type="dxa" w:w="2376"/>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Religious credibility</w:t>
            </w:r>
          </w:p>
        </w:tc>
        <w:tc>
          <w:tcPr>
            <w:tcW w:type="dxa" w:w="7416"/>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Named governance, transparent methodology, evidence history, and cautious wording.</w:t>
            </w:r>
          </w:p>
        </w:tc>
      </w:tr>
      <w:tr>
        <w:trPr>
          <w:cantSplit/>
        </w:trPr>
        <w:tc>
          <w:tcPr>
            <w:tcW w:type="dxa" w:w="2376"/>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Audience confusion</w:t>
            </w:r>
          </w:p>
        </w:tc>
        <w:tc>
          <w:tcPr>
            <w:tcW w:type="dxa" w:w="7416"/>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One guided active-investor persona; advanced mechanics remain optional.</w:t>
            </w:r>
          </w:p>
        </w:tc>
      </w:tr>
      <w:tr>
        <w:trPr>
          <w:cantSplit/>
        </w:trPr>
        <w:tc>
          <w:tcPr>
            <w:tcW w:type="dxa" w:w="2376"/>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Product complexity</w:t>
            </w:r>
          </w:p>
        </w:tc>
        <w:tc>
          <w:tcPr>
            <w:tcW w:type="dxa" w:w="7416"/>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Four primary areas: Screened Market, Watch Plans, Activity, and later Portfolio.</w:t>
            </w:r>
          </w:p>
        </w:tc>
      </w:tr>
      <w:tr>
        <w:trPr>
          <w:cantSplit/>
        </w:trPr>
        <w:tc>
          <w:tcPr>
            <w:tcW w:type="dxa" w:w="2376"/>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Data cost and licensing</w:t>
            </w:r>
          </w:p>
        </w:tc>
        <w:tc>
          <w:tcPr>
            <w:tcW w:type="dxa" w:w="7416"/>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Crypto-first scope; delayed/EOD stock expansion; licensed partnerships before real-time claims.</w:t>
            </w:r>
          </w:p>
        </w:tc>
      </w:tr>
      <w:tr>
        <w:trPr>
          <w:cantSplit/>
        </w:trPr>
        <w:tc>
          <w:tcPr>
            <w:tcW w:type="dxa" w:w="2376"/>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Regulatory perception</w:t>
            </w:r>
          </w:p>
        </w:tc>
        <w:tc>
          <w:tcPr>
            <w:tcW w:type="dxa" w:w="7416"/>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Decision-support positioning, no execution, clear disclosures, and jurisdiction-specific legal review.</w:t>
            </w:r>
          </w:p>
        </w:tc>
      </w:tr>
      <w:tr>
        <w:trPr>
          <w:cantSplit/>
        </w:trPr>
        <w:tc>
          <w:tcPr>
            <w:tcW w:type="dxa" w:w="2376"/>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Trust after an error</w:t>
            </w:r>
          </w:p>
        </w:tc>
        <w:tc>
          <w:tcPr>
            <w:tcW w:type="dxa" w:w="7416"/>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Condition proof, data freshness, status history, incident handling, and missed-alert investigation.</w:t>
            </w:r>
          </w:p>
        </w:tc>
      </w:tr>
      <w:tr>
        <w:trPr>
          <w:cantSplit/>
        </w:trPr>
        <w:tc>
          <w:tcPr>
            <w:tcW w:type="dxa" w:w="2376"/>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Low retention</w:t>
            </w:r>
          </w:p>
        </w:tc>
        <w:tc>
          <w:tcPr>
            <w:tcW w:type="dxa" w:w="7416"/>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Compliance drift, opportunity journeys, active Watch Plans, and evidence review create recurring value.</w:t>
            </w:r>
          </w:p>
        </w:tc>
      </w:tr>
    </w:tbl>
    <w:p>
      <w:pPr>
        <w:spacing w:before="80" w:after="40"/>
        <w:keepLines/>
      </w:pPr>
      <w:r>
        <w:rPr>
          <w:rFonts w:ascii="Inter" w:hAnsi="Inter"/>
          <w:b/>
          <w:color w:val="C7A55B"/>
          <w:sz w:val="16"/>
        </w:rPr>
        <w:t>11 | FOUNDER AND OPERATING FIT</w:t>
      </w:r>
    </w:p>
    <w:p>
      <w:pPr>
        <w:pStyle w:val="Heading1"/>
        <w:keepNext/>
        <w:keepLines/>
      </w:pPr>
      <w:r>
        <w:t>Why the founder can build this</w:t>
      </w:r>
    </w:p>
    <w:p>
      <w:pPr>
        <w:keepLines/>
      </w:pPr>
      <w:r>
        <w:rPr>
          <w:b/>
        </w:rPr>
        <w:t xml:space="preserve">Founder-market fit combines three relevant areas: </w:t>
      </w:r>
      <w:r>
        <w:t>long-term trading experience, customer-support and operations leadership, and hands-on automation/product development.</w:t>
      </w:r>
    </w:p>
    <w:tbl>
      <w:tblPr>
        <w:tblW w:type="auto" w:w="0"/>
        <w:jc w:val="center"/>
        <w:tblLayout w:type="fixed"/>
        <w:tblLook w:firstColumn="1" w:firstRow="1" w:lastColumn="0" w:lastRow="0" w:noHBand="0" w:noVBand="1" w:val="04A0"/>
      </w:tblPr>
      <w:tblGrid>
        <w:gridCol w:w="2664"/>
        <w:gridCol w:w="7128"/>
      </w:tblGrid>
      <w:tr>
        <w:trPr>
          <w:tblHeader w:val="true"/>
          <w:cantSplit/>
        </w:trPr>
        <w:tc>
          <w:tcPr>
            <w:tcW w:type="dxa" w:w="5112"/>
            <w:shd w:fill="0F5C4D"/>
            <w:tcBorders>
              <w:top w:val="single" w:sz="4" w:color="0F5C4D"/>
              <w:left w:val="single" w:sz="4" w:color="0F5C4D"/>
              <w:bottom w:val="single" w:sz="4" w:color="0F5C4D"/>
              <w:right w:val="single" w:sz="4" w:color="0F5C4D"/>
            </w:tcBorders>
            <w:tcMar>
              <w:top w:w="100" w:type="dxa"/>
              <w:start w:w="105" w:type="dxa"/>
              <w:bottom w:w="100" w:type="dxa"/>
              <w:end w:w="105" w:type="dxa"/>
            </w:tcMar>
          </w:tcPr>
          <w:p>
            <w:pPr>
              <w:spacing w:after="0"/>
            </w:pPr>
            <w:r>
              <w:rPr>
                <w:b/>
                <w:color w:val="FFFFFF"/>
                <w:sz w:val="16"/>
              </w:rPr>
              <w:t>Experience area</w:t>
            </w:r>
          </w:p>
        </w:tc>
        <w:tc>
          <w:tcPr>
            <w:tcW w:type="dxa" w:w="5112"/>
            <w:shd w:fill="0F5C4D"/>
            <w:tcBorders>
              <w:top w:val="single" w:sz="4" w:color="0F5C4D"/>
              <w:left w:val="single" w:sz="4" w:color="0F5C4D"/>
              <w:bottom w:val="single" w:sz="4" w:color="0F5C4D"/>
              <w:right w:val="single" w:sz="4" w:color="0F5C4D"/>
            </w:tcBorders>
            <w:tcMar>
              <w:top w:w="100" w:type="dxa"/>
              <w:start w:w="105" w:type="dxa"/>
              <w:bottom w:w="100" w:type="dxa"/>
              <w:end w:w="105" w:type="dxa"/>
            </w:tcMar>
          </w:tcPr>
          <w:p>
            <w:pPr>
              <w:spacing w:after="0"/>
            </w:pPr>
            <w:r>
              <w:rPr>
                <w:b/>
                <w:color w:val="FFFFFF"/>
                <w:sz w:val="16"/>
              </w:rPr>
              <w:t>Relevance to HilalMarkets</w:t>
            </w:r>
          </w:p>
        </w:tc>
      </w:tr>
      <w:tr>
        <w:trPr>
          <w:cantSplit/>
        </w:trPr>
        <w:tc>
          <w:tcPr>
            <w:tcW w:type="dxa" w:w="2664"/>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Trading and market systems</w:t>
            </w:r>
          </w:p>
        </w:tc>
        <w:tc>
          <w:tcPr>
            <w:tcW w:type="dxa" w:w="7128"/>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Understanding of trader workflows, alert quality, market data, platforms, and the gap between an idea and an executable monitoring rule.</w:t>
            </w:r>
          </w:p>
        </w:tc>
      </w:tr>
      <w:tr>
        <w:trPr>
          <w:cantSplit/>
        </w:trPr>
        <w:tc>
          <w:tcPr>
            <w:tcW w:type="dxa" w:w="2664"/>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Customer support leadership</w:t>
            </w:r>
          </w:p>
        </w:tc>
        <w:tc>
          <w:tcPr>
            <w:tcW w:type="dxa" w:w="7128"/>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Ability to simplify difficult workflows, design onboarding, interpret user pain, and build trust during failures.</w:t>
            </w:r>
          </w:p>
        </w:tc>
      </w:tr>
      <w:tr>
        <w:trPr>
          <w:cantSplit/>
        </w:trPr>
        <w:tc>
          <w:tcPr>
            <w:tcW w:type="dxa" w:w="2664"/>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Automation and software</w:t>
            </w:r>
          </w:p>
        </w:tc>
        <w:tc>
          <w:tcPr>
            <w:tcW w:type="dxa" w:w="7128"/>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Experience building Python, Telegram, AI-assisted, and workflow products and deploying them to cloud/VPS environments.</w:t>
            </w:r>
          </w:p>
        </w:tc>
      </w:tr>
      <w:tr>
        <w:trPr>
          <w:cantSplit/>
        </w:trPr>
        <w:tc>
          <w:tcPr>
            <w:tcW w:type="dxa" w:w="2664"/>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Product and UX</w:t>
            </w:r>
          </w:p>
        </w:tc>
        <w:tc>
          <w:tcPr>
            <w:tcW w:type="dxa" w:w="7128"/>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A track record of iterating dashboard flows, landing-page positioning, and user-facing explanations.</w:t>
            </w:r>
          </w:p>
        </w:tc>
      </w:tr>
      <w:tr>
        <w:trPr>
          <w:cantSplit/>
        </w:trPr>
        <w:tc>
          <w:tcPr>
            <w:tcW w:type="dxa" w:w="2664"/>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Cross-cultural communication</w:t>
            </w:r>
          </w:p>
        </w:tc>
        <w:tc>
          <w:tcPr>
            <w:tcW w:type="dxa" w:w="7128"/>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Arabic and English communication suitable for a MENA-first product with global potential.</w:t>
            </w:r>
          </w:p>
        </w:tc>
      </w:tr>
    </w:tbl>
    <w:p>
      <w:pPr>
        <w:pStyle w:val="Heading2"/>
        <w:keepNext/>
        <w:keepLines/>
      </w:pPr>
      <w:r>
        <w:t>Immediate team gaps</w:t>
      </w:r>
    </w:p>
    <w:p>
      <w:pPr>
        <w:pStyle w:val="ListBullet"/>
        <w:spacing w:after="40"/>
        <w:keepLines/>
      </w:pPr>
      <w:r>
        <w:t>Qualified Sharia adviser or committee with documented authority.</w:t>
      </w:r>
    </w:p>
    <w:p>
      <w:pPr>
        <w:pStyle w:val="ListBullet"/>
        <w:spacing w:after="40"/>
        <w:keepLines/>
      </w:pPr>
      <w:r>
        <w:t>Compliance/research operations for evidence collection and recurring reviews.</w:t>
      </w:r>
    </w:p>
    <w:p>
      <w:pPr>
        <w:pStyle w:val="ListBullet"/>
        <w:spacing w:after="40"/>
        <w:keepLines/>
      </w:pPr>
      <w:r>
        <w:t>Legal and regulatory adviser familiar with UAE fintech, digital assets, and financial promotions.</w:t>
      </w:r>
    </w:p>
    <w:p>
      <w:pPr>
        <w:pStyle w:val="ListBullet"/>
        <w:spacing w:after="40"/>
        <w:keepLines/>
      </w:pPr>
      <w:r>
        <w:t>Growth/product partner capable of customer interviews, analytics, and repeatable acquisition.</w:t>
      </w:r>
    </w:p>
    <w:p>
      <w:pPr>
        <w:pStyle w:val="ListBullet"/>
        <w:spacing w:after="40"/>
        <w:keepLines/>
      </w:pPr>
      <w:r>
        <w:t>Data partnerships and, later, licensed market-data expertise.</w:t>
      </w:r>
    </w:p>
    <w:p>
      <w:pPr>
        <w:keepLines/>
      </w:pPr>
      <w:r>
        <w:br w:type="page"/>
      </w:r>
    </w:p>
    <w:p>
      <w:pPr>
        <w:spacing w:before="80" w:after="40"/>
        <w:keepLines/>
      </w:pPr>
      <w:r>
        <w:rPr>
          <w:rFonts w:ascii="Inter" w:hAnsi="Inter"/>
          <w:b/>
          <w:color w:val="C7A55B"/>
          <w:sz w:val="16"/>
        </w:rPr>
        <w:t>12 | APPLICATION-READY SUMMARY</w:t>
      </w:r>
    </w:p>
    <w:p>
      <w:pPr>
        <w:pStyle w:val="Heading1"/>
        <w:keepNext/>
        <w:keepLines/>
      </w:pPr>
      <w:r>
        <w:t>HilalMarkets in accelerator language</w:t>
      </w:r>
    </w:p>
    <w:tbl>
      <w:tblPr>
        <w:tblW w:type="auto" w:w="0"/>
        <w:jc w:val="center"/>
        <w:tblLayout w:type="fixed"/>
        <w:tblLook w:firstColumn="1" w:firstRow="1" w:lastColumn="0" w:lastRow="0" w:noHBand="0" w:noVBand="1" w:val="04A0"/>
      </w:tblPr>
      <w:tblGrid>
        <w:gridCol w:w="2232"/>
        <w:gridCol w:w="7560"/>
      </w:tblGrid>
      <w:tr>
        <w:trPr>
          <w:tblHeader w:val="true"/>
          <w:cantSplit/>
        </w:trPr>
        <w:tc>
          <w:tcPr>
            <w:tcW w:type="dxa" w:w="5112"/>
            <w:shd w:fill="0F5C4D"/>
            <w:tcBorders>
              <w:top w:val="single" w:sz="4" w:color="0F5C4D"/>
              <w:left w:val="single" w:sz="4" w:color="0F5C4D"/>
              <w:bottom w:val="single" w:sz="4" w:color="0F5C4D"/>
              <w:right w:val="single" w:sz="4" w:color="0F5C4D"/>
            </w:tcBorders>
            <w:tcMar>
              <w:top w:w="100" w:type="dxa"/>
              <w:start w:w="105" w:type="dxa"/>
              <w:bottom w:w="100" w:type="dxa"/>
              <w:end w:w="105" w:type="dxa"/>
            </w:tcMar>
          </w:tcPr>
          <w:p>
            <w:pPr>
              <w:spacing w:after="0"/>
            </w:pPr>
            <w:r>
              <w:rPr>
                <w:b/>
                <w:color w:val="FFFFFF"/>
                <w:sz w:val="16"/>
              </w:rPr>
              <w:t>Question</w:t>
            </w:r>
          </w:p>
        </w:tc>
        <w:tc>
          <w:tcPr>
            <w:tcW w:type="dxa" w:w="5112"/>
            <w:shd w:fill="0F5C4D"/>
            <w:tcBorders>
              <w:top w:val="single" w:sz="4" w:color="0F5C4D"/>
              <w:left w:val="single" w:sz="4" w:color="0F5C4D"/>
              <w:bottom w:val="single" w:sz="4" w:color="0F5C4D"/>
              <w:right w:val="single" w:sz="4" w:color="0F5C4D"/>
            </w:tcBorders>
            <w:tcMar>
              <w:top w:w="100" w:type="dxa"/>
              <w:start w:w="105" w:type="dxa"/>
              <w:bottom w:w="100" w:type="dxa"/>
              <w:end w:w="105" w:type="dxa"/>
            </w:tcMar>
          </w:tcPr>
          <w:p>
            <w:pPr>
              <w:spacing w:after="0"/>
            </w:pPr>
            <w:r>
              <w:rPr>
                <w:b/>
                <w:color w:val="FFFFFF"/>
                <w:sz w:val="16"/>
              </w:rPr>
              <w:t>Concise answer</w:t>
            </w:r>
          </w:p>
        </w:tc>
      </w:tr>
      <w:tr>
        <w:trPr>
          <w:cantSplit/>
        </w:trPr>
        <w:tc>
          <w:tcPr>
            <w:tcW w:type="dxa" w:w="2232"/>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What are you building?</w:t>
            </w:r>
          </w:p>
        </w:tc>
        <w:tc>
          <w:tcPr>
            <w:tcW w:type="dxa" w:w="7560"/>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A Sharia-screened market intelligence and monitoring platform for self-directed Muslim investors.</w:t>
            </w:r>
          </w:p>
        </w:tc>
      </w:tr>
      <w:tr>
        <w:trPr>
          <w:cantSplit/>
        </w:trPr>
        <w:tc>
          <w:tcPr>
            <w:tcW w:type="dxa" w:w="2232"/>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What problem are you solving?</w:t>
            </w:r>
          </w:p>
        </w:tc>
        <w:tc>
          <w:tcPr>
            <w:tcW w:type="dxa" w:w="7560"/>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Screening, market discovery, alerting, and compliance changes are fragmented across separate tools and often poorly explained.</w:t>
            </w:r>
          </w:p>
        </w:tc>
      </w:tr>
      <w:tr>
        <w:trPr>
          <w:cantSplit/>
        </w:trPr>
        <w:tc>
          <w:tcPr>
            <w:tcW w:type="dxa" w:w="2232"/>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Who is it for?</w:t>
            </w:r>
          </w:p>
        </w:tc>
        <w:tc>
          <w:tcPr>
            <w:tcW w:type="dxa" w:w="7560"/>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Guided active Muslim crypto spot investors: beginner to mid-level users who want control without technical complexity.</w:t>
            </w:r>
          </w:p>
        </w:tc>
      </w:tr>
      <w:tr>
        <w:trPr>
          <w:cantSplit/>
        </w:trPr>
        <w:tc>
          <w:tcPr>
            <w:tcW w:type="dxa" w:w="2232"/>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How does it work?</w:t>
            </w:r>
          </w:p>
        </w:tc>
        <w:tc>
          <w:tcPr>
            <w:tcW w:type="dxa" w:w="7560"/>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The user selects a screening policy, explores eligible assets, creates a guided Watch Plan, and receives explainable opportunity and compliance alerts.</w:t>
            </w:r>
          </w:p>
        </w:tc>
      </w:tr>
      <w:tr>
        <w:trPr>
          <w:cantSplit/>
        </w:trPr>
        <w:tc>
          <w:tcPr>
            <w:tcW w:type="dxa" w:w="2232"/>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Why now?</w:t>
            </w:r>
          </w:p>
        </w:tc>
        <w:tc>
          <w:tcPr>
            <w:tcW w:type="dxa" w:w="7560"/>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Digital-asset participation is global, while values-aligned investors still lack an integrated trust-and-monitoring workflow.</w:t>
            </w:r>
          </w:p>
        </w:tc>
      </w:tr>
      <w:tr>
        <w:trPr>
          <w:cantSplit/>
        </w:trPr>
        <w:tc>
          <w:tcPr>
            <w:tcW w:type="dxa" w:w="2232"/>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What is technically built?</w:t>
            </w:r>
          </w:p>
        </w:tc>
        <w:tc>
          <w:tcPr>
            <w:tcW w:type="dxa" w:w="7560"/>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A private-beta monitoring platform with chatbot interpretation, deterministic scanning, approvals, scheduled monitoring, lifecycle evidence, and notification infrastructure.</w:t>
            </w:r>
          </w:p>
        </w:tc>
      </w:tr>
      <w:tr>
        <w:trPr>
          <w:cantSplit/>
        </w:trPr>
        <w:tc>
          <w:tcPr>
            <w:tcW w:type="dxa" w:w="2232"/>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What is being added?</w:t>
            </w:r>
          </w:p>
        </w:tc>
        <w:tc>
          <w:tcPr>
            <w:tcW w:type="dxa" w:w="7560"/>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Screened Market, Evidence Passports, methodology comparison, compliance watch, drift alerts, and policy-gated Watch Plans.</w:t>
            </w:r>
          </w:p>
        </w:tc>
      </w:tr>
      <w:tr>
        <w:trPr>
          <w:cantSplit/>
        </w:trPr>
        <w:tc>
          <w:tcPr>
            <w:tcW w:type="dxa" w:w="2232"/>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How do you make money?</w:t>
            </w:r>
          </w:p>
        </w:tc>
        <w:tc>
          <w:tcPr>
            <w:tcW w:type="dxa" w:w="7560"/>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Recurring subscriptions, followed later by approved B2B data and monitoring partnerships.</w:t>
            </w:r>
          </w:p>
        </w:tc>
      </w:tr>
      <w:tr>
        <w:trPr>
          <w:cantSplit/>
        </w:trPr>
        <w:tc>
          <w:tcPr>
            <w:tcW w:type="dxa" w:w="2232"/>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What is the moat?</w:t>
            </w:r>
          </w:p>
        </w:tc>
        <w:tc>
          <w:tcPr>
            <w:tcW w:type="dxa" w:w="7560"/>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Versioned screening evidence connected directly to monitor policy, market behavior, lifecycle history, and user-controlled alert logic.</w:t>
            </w:r>
          </w:p>
        </w:tc>
      </w:tr>
      <w:tr>
        <w:trPr>
          <w:cantSplit/>
        </w:trPr>
        <w:tc>
          <w:tcPr>
            <w:tcW w:type="dxa" w:w="2232"/>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Why Hub71?</w:t>
            </w:r>
          </w:p>
        </w:tc>
        <w:tc>
          <w:tcPr>
            <w:tcW w:type="dxa" w:w="7560"/>
            <w:shd w:fill="F2F4F3"/>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Digital-assets fit, UAE market access, Islamic-finance relevance, regulatory and partner network, capital, and an Abu Dhabi growth base.</w:t>
            </w:r>
          </w:p>
        </w:tc>
      </w:tr>
      <w:tr>
        <w:trPr>
          <w:cantSplit/>
        </w:trPr>
        <w:tc>
          <w:tcPr>
            <w:tcW w:type="dxa" w:w="2232"/>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What is the goal?</w:t>
            </w:r>
          </w:p>
        </w:tc>
        <w:tc>
          <w:tcPr>
            <w:tcW w:type="dxa" w:w="7560"/>
            <w:shd w:fill="FFFFFF"/>
            <w:tcBorders>
              <w:top w:val="single" w:sz="3" w:color="DDE3E0"/>
              <w:left w:val="single" w:sz="3" w:color="DDE3E0"/>
              <w:bottom w:val="single" w:sz="3" w:color="DDE3E0"/>
              <w:right w:val="single" w:sz="3" w:color="DDE3E0"/>
            </w:tcBorders>
            <w:tcMar>
              <w:top w:w="95" w:type="dxa"/>
              <w:start w:w="105" w:type="dxa"/>
              <w:bottom w:w="95" w:type="dxa"/>
              <w:end w:w="105" w:type="dxa"/>
            </w:tcMar>
          </w:tcPr>
          <w:p>
            <w:pPr>
              <w:spacing w:after="0"/>
            </w:pPr>
            <w:r>
              <w:rPr>
                <w:sz w:val="16"/>
              </w:rPr>
              <w:t>Become the trust and monitoring infrastructure that helps Muslim investors know what they can consider, when it matters, and why.</w:t>
            </w:r>
          </w:p>
        </w:tc>
      </w:tr>
    </w:tbl>
    <w:p>
      <w:pPr>
        <w:pStyle w:val="Heading2"/>
        <w:keepNext/>
        <w:keepLines/>
      </w:pPr>
      <w:r>
        <w:t>Reusable company descriptions</w:t>
      </w:r>
    </w:p>
    <w:tbl>
      <w:tblPr>
        <w:tblW w:type="auto" w:w="0"/>
        <w:jc w:val="center"/>
        <w:tblLayout w:type="fixed"/>
        <w:tblLook w:firstColumn="1" w:firstRow="1" w:lastColumn="0" w:lastRow="0" w:noHBand="0" w:noVBand="1" w:val="04A0"/>
      </w:tblPr>
      <w:tblGrid>
        <w:gridCol w:w="173"/>
        <w:gridCol w:w="9619"/>
      </w:tblGrid>
      <w:tr>
        <w:trPr>
          <w:cantSplit/>
        </w:trPr>
        <w:tc>
          <w:tcPr>
            <w:tcW w:type="dxa" w:w="5112"/>
            <w:shd w:fill="0F5C4D"/>
            <w:tcBorders>
              <w:top w:val="nil"/>
              <w:left w:val="nil"/>
              <w:bottom w:val="nil"/>
              <w:right w:val="nil"/>
            </w:tcBorders>
            <w:tcMar>
              <w:top w:w="70" w:type="dxa"/>
              <w:start w:w="0" w:type="dxa"/>
              <w:bottom w:w="70" w:type="dxa"/>
              <w:end w:w="0" w:type="dxa"/>
            </w:tcMar>
          </w:tcPr>
          <w:p/>
        </w:tc>
        <w:tc>
          <w:tcPr>
            <w:tcW w:type="dxa" w:w="5112"/>
            <w:shd w:fill="EAF3F0"/>
            <w:tcBorders>
              <w:top w:val="nil"/>
              <w:left w:val="nil"/>
              <w:bottom w:val="nil"/>
              <w:right w:val="nil"/>
            </w:tcBorders>
            <w:tcMar>
              <w:top w:w="130" w:type="dxa"/>
              <w:start w:w="170" w:type="dxa"/>
              <w:bottom w:w="130" w:type="dxa"/>
              <w:end w:w="170" w:type="dxa"/>
            </w:tcMar>
          </w:tcPr>
          <w:p>
            <w:pPr>
              <w:spacing w:after="60"/>
            </w:pPr>
            <w:r>
              <w:rPr>
                <w:b/>
                <w:color w:val="172B27"/>
                <w:sz w:val="21"/>
              </w:rPr>
              <w:t>10-word version</w:t>
            </w:r>
          </w:p>
          <w:p>
            <w:pPr>
              <w:spacing w:after="0"/>
            </w:pPr>
            <w:r>
              <w:t>Sharia-screened market intelligence and monitoring for self-directed Muslim investors.</w:t>
            </w:r>
          </w:p>
        </w:tc>
      </w:tr>
    </w:tbl>
    <w:tbl>
      <w:tblPr>
        <w:tblW w:type="auto" w:w="0"/>
        <w:jc w:val="center"/>
        <w:tblLayout w:type="fixed"/>
        <w:tblLook w:firstColumn="1" w:firstRow="1" w:lastColumn="0" w:lastRow="0" w:noHBand="0" w:noVBand="1" w:val="04A0"/>
      </w:tblPr>
      <w:tblGrid>
        <w:gridCol w:w="173"/>
        <w:gridCol w:w="9619"/>
      </w:tblGrid>
      <w:tr>
        <w:trPr>
          <w:cantSplit/>
        </w:trPr>
        <w:tc>
          <w:tcPr>
            <w:tcW w:type="dxa" w:w="5112"/>
            <w:shd w:fill="0F5C4D"/>
            <w:tcBorders>
              <w:top w:val="nil"/>
              <w:left w:val="nil"/>
              <w:bottom w:val="nil"/>
              <w:right w:val="nil"/>
            </w:tcBorders>
            <w:tcMar>
              <w:top w:w="70" w:type="dxa"/>
              <w:start w:w="0" w:type="dxa"/>
              <w:bottom w:w="70" w:type="dxa"/>
              <w:end w:w="0" w:type="dxa"/>
            </w:tcMar>
          </w:tcPr>
          <w:p/>
        </w:tc>
        <w:tc>
          <w:tcPr>
            <w:tcW w:type="dxa" w:w="5112"/>
            <w:shd w:fill="EAF3F0"/>
            <w:tcBorders>
              <w:top w:val="nil"/>
              <w:left w:val="nil"/>
              <w:bottom w:val="nil"/>
              <w:right w:val="nil"/>
            </w:tcBorders>
            <w:tcMar>
              <w:top w:w="130" w:type="dxa"/>
              <w:start w:w="170" w:type="dxa"/>
              <w:bottom w:w="130" w:type="dxa"/>
              <w:end w:w="170" w:type="dxa"/>
            </w:tcMar>
          </w:tcPr>
          <w:p>
            <w:pPr>
              <w:spacing w:after="60"/>
            </w:pPr>
            <w:r>
              <w:rPr>
                <w:b/>
                <w:color w:val="172B27"/>
                <w:sz w:val="21"/>
              </w:rPr>
              <w:t>30-second version</w:t>
            </w:r>
          </w:p>
          <w:p>
            <w:pPr>
              <w:spacing w:after="0"/>
            </w:pPr>
            <w:r>
              <w:t>HilalMarkets helps Muslim investors explore assets screened under transparent methodologies, choose the market changes they care about, and let the platform keep watch. It shows opportunities forming, explains every alert, and warns when an asset’s compliance status changes—without placing trades.</w:t>
            </w:r>
          </w:p>
        </w:tc>
      </w:tr>
    </w:tbl>
    <w:tbl>
      <w:tblPr>
        <w:tblW w:type="auto" w:w="0"/>
        <w:jc w:val="center"/>
        <w:tblLayout w:type="fixed"/>
        <w:tblLook w:firstColumn="1" w:firstRow="1" w:lastColumn="0" w:lastRow="0" w:noHBand="0" w:noVBand="1" w:val="04A0"/>
      </w:tblPr>
      <w:tblGrid>
        <w:gridCol w:w="173"/>
        <w:gridCol w:w="9619"/>
      </w:tblGrid>
      <w:tr>
        <w:trPr>
          <w:cantSplit/>
        </w:trPr>
        <w:tc>
          <w:tcPr>
            <w:tcW w:type="dxa" w:w="5112"/>
            <w:shd w:fill="0F5C4D"/>
            <w:tcBorders>
              <w:top w:val="nil"/>
              <w:left w:val="nil"/>
              <w:bottom w:val="nil"/>
              <w:right w:val="nil"/>
            </w:tcBorders>
            <w:tcMar>
              <w:top w:w="70" w:type="dxa"/>
              <w:start w:w="0" w:type="dxa"/>
              <w:bottom w:w="70" w:type="dxa"/>
              <w:end w:w="0" w:type="dxa"/>
            </w:tcMar>
          </w:tcPr>
          <w:p/>
        </w:tc>
        <w:tc>
          <w:tcPr>
            <w:tcW w:type="dxa" w:w="5112"/>
            <w:shd w:fill="EAF3F0"/>
            <w:tcBorders>
              <w:top w:val="nil"/>
              <w:left w:val="nil"/>
              <w:bottom w:val="nil"/>
              <w:right w:val="nil"/>
            </w:tcBorders>
            <w:tcMar>
              <w:top w:w="130" w:type="dxa"/>
              <w:start w:w="170" w:type="dxa"/>
              <w:bottom w:w="130" w:type="dxa"/>
              <w:end w:w="170" w:type="dxa"/>
            </w:tcMar>
          </w:tcPr>
          <w:p>
            <w:pPr>
              <w:spacing w:after="60"/>
            </w:pPr>
            <w:r>
              <w:rPr>
                <w:b/>
                <w:color w:val="172B27"/>
                <w:sz w:val="21"/>
              </w:rPr>
              <w:t>Accelerator version</w:t>
            </w:r>
          </w:p>
          <w:p>
            <w:pPr>
              <w:spacing w:after="0"/>
            </w:pPr>
            <w:r>
              <w:t>HilalMarkets is building the trust and monitoring layer between Muslim investors and digital-asset markets. We combine versioned Sharia evidence with guided Watch Plans, deterministic market monitoring, opportunity lifecycles, and compliance-drift alerts in one subscription platform.</w:t>
            </w:r>
          </w:p>
        </w:tc>
      </w:tr>
    </w:tbl>
    <w:p>
      <w:pPr>
        <w:pStyle w:val="Heading2"/>
        <w:keepNext/>
        <w:keepLines/>
      </w:pPr>
      <w:r>
        <w:t>Recommended homepage hero</w:t>
      </w:r>
    </w:p>
    <w:tbl>
      <w:tblPr>
        <w:tblW w:type="auto" w:w="0"/>
        <w:jc w:val="center"/>
        <w:tblLayout w:type="fixed"/>
        <w:tblLook w:firstColumn="1" w:firstRow="1" w:lastColumn="0" w:lastRow="0" w:noHBand="0" w:noVBand="1" w:val="04A0"/>
      </w:tblPr>
      <w:tblGrid>
        <w:gridCol w:w="173"/>
        <w:gridCol w:w="9619"/>
      </w:tblGrid>
      <w:tr>
        <w:trPr>
          <w:cantSplit/>
        </w:trPr>
        <w:tc>
          <w:tcPr>
            <w:tcW w:type="dxa" w:w="5112"/>
            <w:shd w:fill="C7A55B"/>
            <w:tcBorders>
              <w:top w:val="nil"/>
              <w:left w:val="nil"/>
              <w:bottom w:val="nil"/>
              <w:right w:val="nil"/>
            </w:tcBorders>
            <w:tcMar>
              <w:top w:w="70" w:type="dxa"/>
              <w:start w:w="0" w:type="dxa"/>
              <w:bottom w:w="70" w:type="dxa"/>
              <w:end w:w="0" w:type="dxa"/>
            </w:tcMar>
          </w:tcPr>
          <w:p/>
        </w:tc>
        <w:tc>
          <w:tcPr>
            <w:tcW w:type="dxa" w:w="5112"/>
            <w:shd w:fill="F6F0DF"/>
            <w:tcBorders>
              <w:top w:val="nil"/>
              <w:left w:val="nil"/>
              <w:bottom w:val="nil"/>
              <w:right w:val="nil"/>
            </w:tcBorders>
            <w:tcMar>
              <w:top w:w="130" w:type="dxa"/>
              <w:start w:w="170" w:type="dxa"/>
              <w:bottom w:w="130" w:type="dxa"/>
              <w:end w:w="170" w:type="dxa"/>
            </w:tcMar>
          </w:tcPr>
          <w:p>
            <w:pPr>
              <w:spacing w:after="60"/>
            </w:pPr>
            <w:r>
              <w:rPr>
                <w:b/>
                <w:color w:val="172B27"/>
                <w:sz w:val="21"/>
              </w:rPr>
              <w:t>Headline</w:t>
            </w:r>
          </w:p>
          <w:p>
            <w:pPr>
              <w:spacing w:after="0"/>
            </w:pPr>
            <w:r>
              <w:t>Know what fits your values. Know when it matters.</w:t>
            </w:r>
          </w:p>
        </w:tc>
      </w:tr>
    </w:tbl>
    <w:p>
      <w:pPr>
        <w:keepLines/>
      </w:pPr>
      <w:r>
        <w:rPr>
          <w:b/>
        </w:rPr>
        <w:t xml:space="preserve">Description: </w:t>
      </w:r>
      <w:r>
        <w:t>Explore screened spot assets and let HilalMarkets watch for the market changes you care about—then understand every opportunity, alert, and compliance change.</w:t>
      </w:r>
    </w:p>
    <w:p>
      <w:pPr>
        <w:keepLines/>
      </w:pPr>
      <w:r>
        <w:rPr>
          <w:b/>
        </w:rPr>
        <w:t xml:space="preserve">Primary CTA: </w:t>
      </w:r>
      <w:r>
        <w:t>Explore screened opportunities</w:t>
      </w:r>
    </w:p>
    <w:p>
      <w:pPr>
        <w:keepLines/>
      </w:pPr>
      <w:r>
        <w:rPr>
          <w:b/>
        </w:rPr>
        <w:t xml:space="preserve">Secondary CTA: </w:t>
      </w:r>
      <w:r>
        <w:t>Create a Watch Plan</w:t>
      </w:r>
    </w:p>
    <w:p>
      <w:pPr>
        <w:keepLines/>
      </w:pPr>
      <w:r>
        <w:rPr>
          <w:b/>
        </w:rPr>
        <w:t xml:space="preserve">Trust line: </w:t>
      </w:r>
      <w:r>
        <w:t>Spot only · No leverage · No automatic trading · Evidence behind every status</w:t>
      </w:r>
    </w:p>
    <w:p>
      <w:pPr>
        <w:spacing w:before="80" w:after="40"/>
        <w:keepLines/>
      </w:pPr>
      <w:r>
        <w:rPr>
          <w:rFonts w:ascii="Inter" w:hAnsi="Inter"/>
          <w:b/>
          <w:color w:val="C7A55B"/>
          <w:sz w:val="16"/>
        </w:rPr>
        <w:t>SOURCE NOTES</w:t>
      </w:r>
    </w:p>
    <w:p>
      <w:pPr>
        <w:pStyle w:val="Heading1"/>
        <w:keepNext/>
        <w:keepLines/>
      </w:pPr>
      <w:r>
        <w:t>Evidence and references</w:t>
      </w:r>
    </w:p>
    <w:p>
      <w:pPr>
        <w:keepLines/>
      </w:pPr>
      <w:r>
        <w:t>This document uses the following public sources for the verified current product and accelerator information. Planned HilalMarkets features are based on the user’s local implementation plan and are not yet verified on the public website or repository.</w:t>
      </w:r>
    </w:p>
    <w:p>
      <w:pPr>
        <w:spacing w:after="60"/>
        <w:keepLines/>
      </w:pPr>
      <w:hyperlink r:id="rId10">
        <w:r>
          <w:rPr>
            <w:color w:val="0F5C4D"/>
            <w:u w:val="single"/>
            <w:rFonts w:ascii="Inter" w:hAnsi="Inter"/>
          </w:rPr>
          <w:t>1. TraceEdge public repository</w:t>
        </w:r>
      </w:hyperlink>
    </w:p>
    <w:p>
      <w:pPr>
        <w:spacing w:after="60"/>
        <w:keepLines/>
      </w:pPr>
      <w:hyperlink r:id="rId11">
        <w:r>
          <w:rPr>
            <w:color w:val="0F5C4D"/>
            <w:u w:val="single"/>
            <w:rFonts w:ascii="Inter" w:hAnsi="Inter"/>
          </w:rPr>
          <w:t>2. TraceEdge public website</w:t>
        </w:r>
      </w:hyperlink>
    </w:p>
    <w:p>
      <w:pPr>
        <w:spacing w:after="60"/>
        <w:keepLines/>
      </w:pPr>
      <w:hyperlink r:id="rId12">
        <w:r>
          <w:rPr>
            <w:color w:val="0F5C4D"/>
            <w:u w:val="single"/>
            <w:rFonts w:ascii="Inter" w:hAnsi="Inter"/>
          </w:rPr>
          <w:t>3. TraceEdge architecture record</w:t>
        </w:r>
      </w:hyperlink>
    </w:p>
    <w:p>
      <w:pPr>
        <w:spacing w:after="60"/>
        <w:keepLines/>
      </w:pPr>
      <w:hyperlink r:id="rId13">
        <w:r>
          <w:rPr>
            <w:color w:val="0F5C4D"/>
            <w:u w:val="single"/>
            <w:rFonts w:ascii="Inter" w:hAnsi="Inter"/>
          </w:rPr>
          <w:t>4. Hub71+ Digital Assets</w:t>
        </w:r>
      </w:hyperlink>
    </w:p>
    <w:p>
      <w:pPr>
        <w:spacing w:after="60"/>
        <w:keepLines/>
      </w:pPr>
      <w:hyperlink r:id="rId14">
        <w:r>
          <w:rPr>
            <w:color w:val="0F5C4D"/>
            <w:u w:val="single"/>
            <w:rFonts w:ascii="Inter" w:hAnsi="Inter"/>
          </w:rPr>
          <w:t>5. Hub71+ Digital Assets application information</w:t>
        </w:r>
      </w:hyperlink>
    </w:p>
    <w:p>
      <w:pPr>
        <w:spacing w:after="60"/>
        <w:keepLines/>
      </w:pPr>
      <w:hyperlink r:id="rId15">
        <w:r>
          <w:rPr>
            <w:color w:val="0F5C4D"/>
            <w:u w:val="single"/>
            <w:rFonts w:ascii="Inter" w:hAnsi="Inter"/>
          </w:rPr>
          <w:t>6. Hub71 Access Programme</w:t>
        </w:r>
      </w:hyperlink>
    </w:p>
    <w:p>
      <w:pPr>
        <w:spacing w:after="60"/>
        <w:keepLines/>
      </w:pPr>
      <w:hyperlink r:id="rId16">
        <w:r>
          <w:rPr>
            <w:color w:val="0F5C4D"/>
            <w:u w:val="single"/>
            <w:rFonts w:ascii="Inter" w:hAnsi="Inter"/>
          </w:rPr>
          <w:t>7. DIFC Innovation Hub accelerator programmes</w:t>
        </w:r>
      </w:hyperlink>
    </w:p>
    <w:p>
      <w:pPr>
        <w:spacing w:after="60"/>
        <w:keepLines/>
      </w:pPr>
      <w:hyperlink r:id="rId17">
        <w:r>
          <w:rPr>
            <w:color w:val="0F5C4D"/>
            <w:u w:val="single"/>
            <w:rFonts w:ascii="Inter" w:hAnsi="Inter"/>
          </w:rPr>
          <w:t>8. Antler MENAP</w:t>
        </w:r>
      </w:hyperlink>
    </w:p>
    <w:p>
      <w:pPr>
        <w:spacing w:after="60"/>
        <w:keepLines/>
      </w:pPr>
      <w:hyperlink r:id="rId18">
        <w:r>
          <w:rPr>
            <w:color w:val="0F5C4D"/>
            <w:u w:val="single"/>
            <w:rFonts w:ascii="Inter" w:hAnsi="Inter"/>
          </w:rPr>
          <w:t>9. Y Combinator application</w:t>
        </w:r>
      </w:hyperlink>
    </w:p>
    <w:p>
      <w:pPr>
        <w:spacing w:after="60"/>
        <w:keepLines/>
      </w:pPr>
      <w:hyperlink r:id="rId19">
        <w:r>
          <w:rPr>
            <w:color w:val="0F5C4D"/>
            <w:u w:val="single"/>
            <w:rFonts w:ascii="Inter" w:hAnsi="Inter"/>
          </w:rPr>
          <w:t>10. Y Combinator standard deal</w:t>
        </w:r>
      </w:hyperlink>
    </w:p>
    <w:p>
      <w:pPr>
        <w:keepLines/>
      </w:pPr>
    </w:p>
    <w:tbl>
      <w:tblPr>
        <w:tblW w:type="auto" w:w="0"/>
        <w:jc w:val="center"/>
        <w:tblLayout w:type="fixed"/>
        <w:tblLook w:firstColumn="1" w:firstRow="1" w:lastColumn="0" w:lastRow="0" w:noHBand="0" w:noVBand="1" w:val="04A0"/>
      </w:tblPr>
      <w:tblGrid>
        <w:gridCol w:w="173"/>
        <w:gridCol w:w="9619"/>
      </w:tblGrid>
      <w:tr>
        <w:trPr>
          <w:cantSplit/>
        </w:trPr>
        <w:tc>
          <w:tcPr>
            <w:tcW w:type="dxa" w:w="5112"/>
            <w:shd w:fill="C7A55B"/>
            <w:tcBorders>
              <w:top w:val="nil"/>
              <w:left w:val="nil"/>
              <w:bottom w:val="nil"/>
              <w:right w:val="nil"/>
            </w:tcBorders>
            <w:tcMar>
              <w:top w:w="70" w:type="dxa"/>
              <w:start w:w="0" w:type="dxa"/>
              <w:bottom w:w="70" w:type="dxa"/>
              <w:end w:w="0" w:type="dxa"/>
            </w:tcMar>
          </w:tcPr>
          <w:p/>
        </w:tc>
        <w:tc>
          <w:tcPr>
            <w:tcW w:type="dxa" w:w="5112"/>
            <w:shd w:fill="F6F0DF"/>
            <w:tcBorders>
              <w:top w:val="nil"/>
              <w:left w:val="nil"/>
              <w:bottom w:val="nil"/>
              <w:right w:val="nil"/>
            </w:tcBorders>
            <w:tcMar>
              <w:top w:w="130" w:type="dxa"/>
              <w:start w:w="170" w:type="dxa"/>
              <w:bottom w:w="130" w:type="dxa"/>
              <w:end w:w="170" w:type="dxa"/>
            </w:tcMar>
          </w:tcPr>
          <w:p>
            <w:pPr>
              <w:spacing w:after="60"/>
            </w:pPr>
            <w:r>
              <w:rPr>
                <w:b/>
                <w:color w:val="172B27"/>
                <w:sz w:val="21"/>
              </w:rPr>
              <w:t>Confidentiality note</w:t>
            </w:r>
          </w:p>
          <w:p>
            <w:pPr>
              <w:spacing w:after="0"/>
            </w:pPr>
            <w:r>
              <w:t>This overview is suitable for internal alignment, adviser conversations, and early accelerator preparation. Before external circulation, replace hypotheses with current traction, final legal entity details, approved methodology governance, and verified product screenshots.</w:t>
            </w:r>
          </w:p>
        </w:tc>
      </w:tr>
    </w:tbl>
    <w:sectPr w:rsidR="00FC693F" w:rsidRPr="0006063C" w:rsidSect="00034616">
      <w:footerReference w:type="default" r:id="rId9"/>
      <w:pgSz w:w="12240" w:h="15840"/>
      <w:pgMar w:top="835"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Inter" w:hAnsi="Inter"/>
        <w:b/>
        <w:color w:val="5E6A66"/>
        <w:sz w:val="14"/>
      </w:rPr>
      <w:t xml:space="preserve">HILALMARKETS  |  BUSINESS OVERVIEW  |  JULY 2026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4" w:lineRule="auto"/>
    </w:pPr>
    <w:rPr>
      <w:rFonts w:ascii="Inter" w:hAnsi="Inter"/>
      <w:color w:val="1E2724"/>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Inter" w:hAnsi="Inter"/>
      <w:b/>
      <w:bCs/>
      <w:color w:val="172B27"/>
      <w:sz w:val="38"/>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Inter" w:hAnsi="Inter"/>
      <w:b/>
      <w:bCs/>
      <w:color w:val="0F5C4D"/>
      <w:sz w:val="25"/>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Inter" w:hAnsi="Inter"/>
      <w:b/>
      <w:bCs/>
      <w:color w:val="172B2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0"/>
      <w:contextualSpacing/>
    </w:pPr>
    <w:rPr>
      <w:rFonts w:asciiTheme="majorHAnsi" w:eastAsiaTheme="majorEastAsia" w:hAnsiTheme="majorHAnsi" w:cstheme="majorBidi" w:ascii="Inter" w:hAnsi="Inter"/>
      <w:b/>
      <w:color w:val="172B27"/>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Inter" w:hAnsi="Inter"/>
      <w:sz w:val="18"/>
    </w:rPr>
  </w:style>
  <w:style w:type="paragraph" w:styleId="ListBullet2">
    <w:name w:val="List Bullet 2"/>
    <w:basedOn w:val="Normal"/>
    <w:uiPriority w:val="99"/>
    <w:unhideWhenUsed/>
    <w:rsid w:val="00326F90"/>
    <w:pPr>
      <w:numPr>
        <w:numId w:val="2"/>
      </w:numPr>
      <w:spacing w:after="40"/>
      <w:contextualSpacing/>
    </w:pPr>
    <w:rPr>
      <w:rFonts w:ascii="Inter" w:hAnsi="Inter"/>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Inter" w:hAnsi="Inter"/>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AmroElzeiny/Trace-Edge" TargetMode="External"/><Relationship Id="rId11" Type="http://schemas.openxmlformats.org/officeDocument/2006/relationships/hyperlink" Target="https://trace-edge.com/" TargetMode="External"/><Relationship Id="rId12" Type="http://schemas.openxmlformats.org/officeDocument/2006/relationships/hyperlink" Target="https://github.com/AmroElzeiny/Trace-Edge/blob/main/docs/ARCHITECTURE.md" TargetMode="External"/><Relationship Id="rId13" Type="http://schemas.openxmlformats.org/officeDocument/2006/relationships/hyperlink" Target="https://www.hub71.com/program/hub71-plus-digital-assets" TargetMode="External"/><Relationship Id="rId14" Type="http://schemas.openxmlformats.org/officeDocument/2006/relationships/hyperlink" Target="https://www.hub71.com/program/hub71-plus-digital-assets/apply" TargetMode="External"/><Relationship Id="rId15" Type="http://schemas.openxmlformats.org/officeDocument/2006/relationships/hyperlink" Target="https://www.hub71.com/program/access-programme" TargetMode="External"/><Relationship Id="rId16" Type="http://schemas.openxmlformats.org/officeDocument/2006/relationships/hyperlink" Target="https://www.innovationhub.difc.ae/accelerators" TargetMode="External"/><Relationship Id="rId17" Type="http://schemas.openxmlformats.org/officeDocument/2006/relationships/hyperlink" Target="https://www.antler.co/location/menap" TargetMode="External"/><Relationship Id="rId18" Type="http://schemas.openxmlformats.org/officeDocument/2006/relationships/hyperlink" Target="https://www.ycombinator.com/apply" TargetMode="External"/><Relationship Id="rId19" Type="http://schemas.openxmlformats.org/officeDocument/2006/relationships/hyperlink" Target="https://www.ycombinator.com/de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HilalMarkets Business Overview &amp; Accelerator Brief</dc:title>
  <dc:subject>Company overview, product strategy, target market and accelerator participation</dc:subject>
  <dc:creator>HilalMarkets</dc:creator>
  <cp:keywords/>
  <dc:description>generated by python-docx</dc:description>
  <cp:lastModifiedBy/>
  <cp:revision>1</cp:revision>
  <dcterms:created xsi:type="dcterms:W3CDTF">2013-12-23T23:15:00Z</dcterms:created>
  <dcterms:modified xsi:type="dcterms:W3CDTF">2013-12-23T23:15:00Z</dcterms:modified>
  <cp:category/>
</cp:coreProperties>
</file>