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color w:val="000000"/>
          <w:sz w:val="36"/>
        </w:rPr>
        <w:t>Healthcare Analytics Dashboard</w:t>
      </w:r>
    </w:p>
    <w:p>
      <w:pPr>
        <w:jc w:val="center"/>
      </w:pPr>
      <w:r>
        <w:rPr>
          <w:rFonts w:ascii="Times New Roman" w:hAnsi="Times New Roman"/>
          <w:b/>
          <w:color w:val="000000"/>
          <w:sz w:val="32"/>
        </w:rPr>
        <w:t>A Power BI-Based Analytical Framework for Child Care,</w:t>
        <w:br/>
        <w:t>Custody, Transition, Discharge, and Reunification Data</w:t>
      </w:r>
    </w:p>
    <w:p>
      <w:pPr>
        <w:jc w:val="center"/>
      </w:pPr>
      <w:r>
        <w:rPr>
          <w:rFonts w:ascii="Times New Roman" w:hAnsi="Times New Roman"/>
          <w:b/>
          <w:color w:val="000000"/>
          <w:sz w:val="24"/>
        </w:rPr>
        <w:t>PROJECT RESEARCH PAPER</w:t>
      </w:r>
    </w:p>
    <w:p>
      <w:pPr>
        <w:pStyle w:val="Heading1"/>
      </w:pPr>
      <w:r>
        <w:rPr>
          <w:rFonts w:ascii="Times New Roman" w:hAnsi="Times New Roman"/>
          <w:color w:val="000000"/>
        </w:rPr>
        <w:t>Abstract</w:t>
      </w:r>
    </w:p>
    <w:p>
      <w:pPr>
        <w:jc w:val="both"/>
      </w:pPr>
      <w:r>
        <w:rPr>
          <w:rFonts w:ascii="Times New Roman" w:hAnsi="Times New Roman"/>
          <w:color w:val="000000"/>
        </w:rPr>
        <w:t>This paper presents the design and development of an interactive Healthcare Analytics Dashboard using Microsoft Power BI to organize and explore child-care, custody, healthcare, transition, discharge, and reunification-related data. The dashboard converts structured records into a consolidated analytical interface containing key performance indicators, annual discharge outcomes, HHS care by year, stage overview, monthly stage distribution, an HHS transition-rate gauge, CBP custody trends, stage distribution, detailed custody records, and a month-based slicer. In the final project view, the KPI cards show approximately 4K, 5K, 6K, 363K, 12K, and 4K; the displayed HHS Transition Rate is 74.55; and the CBP Custody Details table reports a displayed total of 6,061. The project demonstrates how business-intelligence and visualization techniques can support descriptive and exploratory analysis while keeping the interpretation limited to the available dataset and configured measures.</w:t>
      </w:r>
    </w:p>
    <w:p/>
    <w:p>
      <w:r>
        <w:rPr>
          <w:rFonts w:ascii="Times New Roman" w:hAnsi="Times New Roman"/>
          <w:b/>
          <w:color w:val="000000"/>
        </w:rPr>
        <w:t xml:space="preserve">Keywords: </w:t>
      </w:r>
      <w:r>
        <w:rPr>
          <w:rFonts w:ascii="Times New Roman" w:hAnsi="Times New Roman"/>
          <w:color w:val="000000"/>
        </w:rPr>
        <w:t>Power BI; healthcare analytics; child welfare; data visualization; business intelligence; dashboard; custody; reunification</w:t>
      </w:r>
    </w:p>
    <w:p>
      <w:pPr>
        <w:pStyle w:val="Heading1"/>
      </w:pPr>
      <w:r>
        <w:rPr>
          <w:rFonts w:ascii="Times New Roman" w:hAnsi="Times New Roman"/>
          <w:color w:val="000000"/>
        </w:rPr>
        <w:t>1. Introduction</w:t>
      </w:r>
    </w:p>
    <w:p>
      <w:r>
        <w:rPr>
          <w:rFonts w:ascii="Times New Roman" w:hAnsi="Times New Roman"/>
          <w:color w:val="000000"/>
        </w:rPr>
        <w:t>Organizations working with child welfare and healthcare information may need to examine several dimensions of a case at the same time, including custody status, care, transitions, placement stages, discharge outcomes, and reunification-related activity. When such information is stored only as rows and columns, identifying patterns across time or comparing measures can require substantial manual effort.</w:t>
      </w:r>
    </w:p>
    <w:p>
      <w:r>
        <w:rPr>
          <w:rFonts w:ascii="Times New Roman" w:hAnsi="Times New Roman"/>
          <w:color w:val="000000"/>
        </w:rPr>
        <w:t>Research has shown that child-welfare administrative systems and electronic health records can contain complementary information. Dexheimer et al. demonstrated the feasibility of linking electronic health record and child-welfare databases, highlighting the value of integrated information for children in protective custody [1]. Research on healthcare quality measures for children in foster care similarly found that electronic health records and child-welfare systems provide different but complementary information [2]. These findings provide motivation for analytical interfaces that make multiple measures easier to inspect and compare.</w:t>
      </w:r>
    </w:p>
    <w:p>
      <w:r>
        <w:rPr>
          <w:rFonts w:ascii="Times New Roman" w:hAnsi="Times New Roman"/>
          <w:color w:val="000000"/>
        </w:rPr>
        <w:t>This project applies a business-intelligence approach rather than attempting to make clinical or causal claims. Microsoft Power BI is used to transform the available structured dataset into an interactive dashboard that supports filtering, aggregation, trend analysis, and visual comparison.</w:t>
      </w:r>
    </w:p>
    <w:p>
      <w:pPr>
        <w:pStyle w:val="Heading1"/>
      </w:pPr>
      <w:r>
        <w:rPr>
          <w:rFonts w:ascii="Times New Roman" w:hAnsi="Times New Roman"/>
          <w:color w:val="000000"/>
        </w:rPr>
        <w:t>2. Problem Statement</w:t>
      </w:r>
    </w:p>
    <w:p>
      <w:r>
        <w:rPr>
          <w:rFonts w:ascii="Times New Roman" w:hAnsi="Times New Roman"/>
          <w:color w:val="000000"/>
        </w:rPr>
        <w:t>The underlying dataset contains records associated with different dates, stages, custody measures, healthcare measures, transitions, and discharge outcomes. Manual inspection of these records can make it difficult to obtain a rapid overall view, compare periods, and identify changes across stages. The problem addressed by this project is therefore the lack of a single, interactive analytical interface that organizes these measures into a clear and user-friendly view.</w:t>
      </w:r>
    </w:p>
    <w:p>
      <w:pPr>
        <w:pStyle w:val="Heading1"/>
      </w:pPr>
      <w:r>
        <w:rPr>
          <w:rFonts w:ascii="Times New Roman" w:hAnsi="Times New Roman"/>
          <w:color w:val="000000"/>
        </w:rPr>
        <w:t>3. Objectives</w:t>
      </w:r>
    </w:p>
    <w:p>
      <w:pPr>
        <w:pStyle w:val="ListBullet"/>
      </w:pPr>
      <w:r>
        <w:rPr>
          <w:rFonts w:ascii="Times New Roman" w:hAnsi="Times New Roman"/>
          <w:color w:val="000000"/>
        </w:rPr>
        <w:t>Organize child-care and reunification-related records into an analytical model suitable for visualization.</w:t>
      </w:r>
    </w:p>
    <w:p>
      <w:pPr>
        <w:pStyle w:val="ListBullet"/>
      </w:pPr>
      <w:r>
        <w:rPr>
          <w:rFonts w:ascii="Times New Roman" w:hAnsi="Times New Roman"/>
          <w:color w:val="000000"/>
        </w:rPr>
        <w:t>Create KPI cards that provide a rapid high-level summary of important measures.</w:t>
      </w:r>
    </w:p>
    <w:p>
      <w:pPr>
        <w:pStyle w:val="ListBullet"/>
      </w:pPr>
      <w:r>
        <w:rPr>
          <w:rFonts w:ascii="Times New Roman" w:hAnsi="Times New Roman"/>
          <w:color w:val="000000"/>
        </w:rPr>
        <w:t>Visualize annual discharge outcomes and HHS care by year.</w:t>
      </w:r>
    </w:p>
    <w:p>
      <w:pPr>
        <w:pStyle w:val="ListBullet"/>
      </w:pPr>
      <w:r>
        <w:rPr>
          <w:rFonts w:ascii="Times New Roman" w:hAnsi="Times New Roman"/>
          <w:color w:val="000000"/>
        </w:rPr>
        <w:t>Examine monthly stage distributions and stage-level proportions.</w:t>
      </w:r>
    </w:p>
    <w:p>
      <w:pPr>
        <w:pStyle w:val="ListBullet"/>
      </w:pPr>
      <w:r>
        <w:rPr>
          <w:rFonts w:ascii="Times New Roman" w:hAnsi="Times New Roman"/>
          <w:color w:val="000000"/>
        </w:rPr>
        <w:t>Present the configured HHS Transition Rate in a dedicated gauge.</w:t>
      </w:r>
    </w:p>
    <w:p>
      <w:pPr>
        <w:pStyle w:val="ListBullet"/>
      </w:pPr>
      <w:r>
        <w:rPr>
          <w:rFonts w:ascii="Times New Roman" w:hAnsi="Times New Roman"/>
          <w:color w:val="000000"/>
        </w:rPr>
        <w:t>Analyze CBP custody values over time using a trend visual.</w:t>
      </w:r>
    </w:p>
    <w:p>
      <w:pPr>
        <w:pStyle w:val="ListBullet"/>
      </w:pPr>
      <w:r>
        <w:rPr>
          <w:rFonts w:ascii="Times New Roman" w:hAnsi="Times New Roman"/>
          <w:color w:val="000000"/>
        </w:rPr>
        <w:t>Provide detailed custody records through a tabular view.</w:t>
      </w:r>
    </w:p>
    <w:p>
      <w:pPr>
        <w:pStyle w:val="ListBullet"/>
      </w:pPr>
      <w:r>
        <w:rPr>
          <w:rFonts w:ascii="Times New Roman" w:hAnsi="Times New Roman"/>
          <w:color w:val="000000"/>
        </w:rPr>
        <w:t>Enable month-based filtering through an interactive slicer.</w:t>
      </w:r>
    </w:p>
    <w:p>
      <w:pPr>
        <w:pStyle w:val="ListBullet"/>
      </w:pPr>
      <w:r>
        <w:rPr>
          <w:rFonts w:ascii="Times New Roman" w:hAnsi="Times New Roman"/>
          <w:color w:val="000000"/>
        </w:rPr>
        <w:t>Present the final dashboard in a consistent, professional, and easy-to-navigate layout.</w:t>
      </w:r>
    </w:p>
    <w:p>
      <w:pPr>
        <w:pStyle w:val="Heading1"/>
      </w:pPr>
      <w:r>
        <w:rPr>
          <w:rFonts w:ascii="Times New Roman" w:hAnsi="Times New Roman"/>
          <w:color w:val="000000"/>
        </w:rPr>
        <w:t>4. Related Work</w:t>
      </w:r>
    </w:p>
    <w:p>
      <w:r>
        <w:rPr>
          <w:rFonts w:ascii="Times New Roman" w:hAnsi="Times New Roman"/>
          <w:color w:val="000000"/>
        </w:rPr>
        <w:t>Data integration and analytics are increasingly relevant to child-welfare and healthcare information systems. Dexheimer et al. developed automated approaches for linking electronic health record data with child-welfare databases and reported that integrated data can help address gaps in access to critical health-history information [1].</w:t>
      </w:r>
    </w:p>
    <w:p>
      <w:r>
        <w:rPr>
          <w:rFonts w:ascii="Times New Roman" w:hAnsi="Times New Roman"/>
          <w:color w:val="000000"/>
        </w:rPr>
        <w:t>A feasibility study by Kelleher et al. examined healthcare quality measures for children and adolescents in foster care. The study found that electronic health records contained detailed healthcare information while child-welfare systems contained stronger information about custodial arrangements, demonstrating the complementary nature of the two data sources [2].</w:t>
      </w:r>
    </w:p>
    <w:p>
      <w:r>
        <w:rPr>
          <w:rFonts w:ascii="Times New Roman" w:hAnsi="Times New Roman"/>
          <w:color w:val="000000"/>
        </w:rPr>
        <w:t>More recent work has also investigated machine-learning approaches for child-welfare placement outcomes. Trudeau et al. developed and validated predictive models for placement success and discussed ethical considerations associated with decision-support applications [3]. Although the present project does not implement predictive modeling, this literature illustrates a potential direction for future analytical extensions.</w:t>
      </w:r>
    </w:p>
    <w:p>
      <w:pPr>
        <w:pStyle w:val="Heading1"/>
      </w:pPr>
      <w:r>
        <w:rPr>
          <w:rFonts w:ascii="Times New Roman" w:hAnsi="Times New Roman"/>
          <w:color w:val="000000"/>
        </w:rPr>
        <w:t>5. Methodology</w:t>
      </w:r>
    </w:p>
    <w:p>
      <w:r>
        <w:rPr>
          <w:rFonts w:ascii="Times New Roman" w:hAnsi="Times New Roman"/>
          <w:color w:val="000000"/>
        </w:rPr>
        <w:t>The project follows a structured data-to-dashboard workflow. The methodology is intentionally descriptive and visualization-oriented.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Pr>
          <w:p>
            <w:r>
              <w:rPr>
                <w:rFonts w:ascii="Times New Roman" w:hAnsi="Times New Roman"/>
                <w:b/>
                <w:color w:val="000000"/>
              </w:rPr>
              <w:t>Stage</w:t>
            </w:r>
          </w:p>
        </w:tc>
        <w:tc>
          <w:tcPr>
            <w:tcW w:type="dxa" w:w="3312"/>
            <w:shd w:fill="17365D"/>
          </w:tcPr>
          <w:p>
            <w:r>
              <w:rPr>
                <w:rFonts w:ascii="Times New Roman" w:hAnsi="Times New Roman"/>
                <w:b/>
                <w:color w:val="000000"/>
              </w:rPr>
              <w:t>Activity</w:t>
            </w:r>
          </w:p>
        </w:tc>
        <w:tc>
          <w:tcPr>
            <w:tcW w:type="dxa" w:w="3312"/>
            <w:shd w:fill="17365D"/>
          </w:tcPr>
          <w:p>
            <w:r>
              <w:rPr>
                <w:rFonts w:ascii="Times New Roman" w:hAnsi="Times New Roman"/>
                <w:b/>
                <w:color w:val="000000"/>
              </w:rPr>
              <w:t>Purpose</w:t>
            </w:r>
          </w:p>
        </w:tc>
      </w:tr>
      <w:tr>
        <w:tc>
          <w:tcPr>
            <w:tcW w:type="dxa" w:w="3312"/>
          </w:tcPr>
          <w:p>
            <w:r>
              <w:rPr>
                <w:rFonts w:ascii="Times New Roman" w:hAnsi="Times New Roman"/>
                <w:color w:val="000000"/>
              </w:rPr>
              <w:t>1</w:t>
            </w:r>
          </w:p>
        </w:tc>
        <w:tc>
          <w:tcPr>
            <w:tcW w:type="dxa" w:w="3312"/>
          </w:tcPr>
          <w:p>
            <w:r>
              <w:rPr>
                <w:rFonts w:ascii="Times New Roman" w:hAnsi="Times New Roman"/>
                <w:color w:val="000000"/>
              </w:rPr>
              <w:t>Data preparation</w:t>
            </w:r>
          </w:p>
        </w:tc>
        <w:tc>
          <w:tcPr>
            <w:tcW w:type="dxa" w:w="3312"/>
          </w:tcPr>
          <w:p>
            <w:r>
              <w:rPr>
                <w:rFonts w:ascii="Times New Roman" w:hAnsi="Times New Roman"/>
                <w:color w:val="000000"/>
              </w:rPr>
              <w:t>Organize date, stage, custody, care, transition, and discharge-related fields.</w:t>
            </w:r>
          </w:p>
        </w:tc>
      </w:tr>
      <w:tr>
        <w:tc>
          <w:tcPr>
            <w:tcW w:type="dxa" w:w="3312"/>
          </w:tcPr>
          <w:p>
            <w:r>
              <w:rPr>
                <w:rFonts w:ascii="Times New Roman" w:hAnsi="Times New Roman"/>
                <w:color w:val="000000"/>
              </w:rPr>
              <w:t>2</w:t>
            </w:r>
          </w:p>
        </w:tc>
        <w:tc>
          <w:tcPr>
            <w:tcW w:type="dxa" w:w="3312"/>
          </w:tcPr>
          <w:p>
            <w:r>
              <w:rPr>
                <w:rFonts w:ascii="Times New Roman" w:hAnsi="Times New Roman"/>
                <w:color w:val="000000"/>
              </w:rPr>
              <w:t>Time preparation</w:t>
            </w:r>
          </w:p>
        </w:tc>
        <w:tc>
          <w:tcPr>
            <w:tcW w:type="dxa" w:w="3312"/>
          </w:tcPr>
          <w:p>
            <w:r>
              <w:rPr>
                <w:rFonts w:ascii="Times New Roman" w:hAnsi="Times New Roman"/>
                <w:color w:val="000000"/>
              </w:rPr>
              <w:t>Prepare date fields for monthly and yearly grouping.</w:t>
            </w:r>
          </w:p>
        </w:tc>
      </w:tr>
      <w:tr>
        <w:tc>
          <w:tcPr>
            <w:tcW w:type="dxa" w:w="3312"/>
          </w:tcPr>
          <w:p>
            <w:r>
              <w:rPr>
                <w:rFonts w:ascii="Times New Roman" w:hAnsi="Times New Roman"/>
                <w:color w:val="000000"/>
              </w:rPr>
              <w:t>3</w:t>
            </w:r>
          </w:p>
        </w:tc>
        <w:tc>
          <w:tcPr>
            <w:tcW w:type="dxa" w:w="3312"/>
          </w:tcPr>
          <w:p>
            <w:r>
              <w:rPr>
                <w:rFonts w:ascii="Times New Roman" w:hAnsi="Times New Roman"/>
                <w:color w:val="000000"/>
              </w:rPr>
              <w:t>Measure preparation</w:t>
            </w:r>
          </w:p>
        </w:tc>
        <w:tc>
          <w:tcPr>
            <w:tcW w:type="dxa" w:w="3312"/>
          </w:tcPr>
          <w:p>
            <w:r>
              <w:rPr>
                <w:rFonts w:ascii="Times New Roman" w:hAnsi="Times New Roman"/>
                <w:color w:val="000000"/>
              </w:rPr>
              <w:t>Use configured sums, totals, and the project transition-rate measure.</w:t>
            </w:r>
          </w:p>
        </w:tc>
      </w:tr>
      <w:tr>
        <w:tc>
          <w:tcPr>
            <w:tcW w:type="dxa" w:w="3312"/>
          </w:tcPr>
          <w:p>
            <w:r>
              <w:rPr>
                <w:rFonts w:ascii="Times New Roman" w:hAnsi="Times New Roman"/>
                <w:color w:val="000000"/>
              </w:rPr>
              <w:t>4</w:t>
            </w:r>
          </w:p>
        </w:tc>
        <w:tc>
          <w:tcPr>
            <w:tcW w:type="dxa" w:w="3312"/>
          </w:tcPr>
          <w:p>
            <w:r>
              <w:rPr>
                <w:rFonts w:ascii="Times New Roman" w:hAnsi="Times New Roman"/>
                <w:color w:val="000000"/>
              </w:rPr>
              <w:t>Visual design</w:t>
            </w:r>
          </w:p>
        </w:tc>
        <w:tc>
          <w:tcPr>
            <w:tcW w:type="dxa" w:w="3312"/>
          </w:tcPr>
          <w:p>
            <w:r>
              <w:rPr>
                <w:rFonts w:ascii="Times New Roman" w:hAnsi="Times New Roman"/>
                <w:color w:val="000000"/>
              </w:rPr>
              <w:t>Select cards, charts, gauge, slicer, and table according to analytical purpose.</w:t>
            </w:r>
          </w:p>
        </w:tc>
      </w:tr>
      <w:tr>
        <w:tc>
          <w:tcPr>
            <w:tcW w:type="dxa" w:w="3312"/>
          </w:tcPr>
          <w:p>
            <w:r>
              <w:rPr>
                <w:rFonts w:ascii="Times New Roman" w:hAnsi="Times New Roman"/>
                <w:color w:val="000000"/>
              </w:rPr>
              <w:t>5</w:t>
            </w:r>
          </w:p>
        </w:tc>
        <w:tc>
          <w:tcPr>
            <w:tcW w:type="dxa" w:w="3312"/>
          </w:tcPr>
          <w:p>
            <w:r>
              <w:rPr>
                <w:rFonts w:ascii="Times New Roman" w:hAnsi="Times New Roman"/>
                <w:color w:val="000000"/>
              </w:rPr>
              <w:t>Interaction</w:t>
            </w:r>
          </w:p>
        </w:tc>
        <w:tc>
          <w:tcPr>
            <w:tcW w:type="dxa" w:w="3312"/>
          </w:tcPr>
          <w:p>
            <w:r>
              <w:rPr>
                <w:rFonts w:ascii="Times New Roman" w:hAnsi="Times New Roman"/>
                <w:color w:val="000000"/>
              </w:rPr>
              <w:t>Apply month-based filtering and Power BI visual interactions.</w:t>
            </w:r>
          </w:p>
        </w:tc>
      </w:tr>
      <w:tr>
        <w:tc>
          <w:tcPr>
            <w:tcW w:type="dxa" w:w="3312"/>
          </w:tcPr>
          <w:p>
            <w:r>
              <w:rPr>
                <w:rFonts w:ascii="Times New Roman" w:hAnsi="Times New Roman"/>
                <w:color w:val="000000"/>
              </w:rPr>
              <w:t>6</w:t>
            </w:r>
          </w:p>
        </w:tc>
        <w:tc>
          <w:tcPr>
            <w:tcW w:type="dxa" w:w="3312"/>
          </w:tcPr>
          <w:p>
            <w:r>
              <w:rPr>
                <w:rFonts w:ascii="Times New Roman" w:hAnsi="Times New Roman"/>
                <w:color w:val="000000"/>
              </w:rPr>
              <w:t>Validation</w:t>
            </w:r>
          </w:p>
        </w:tc>
        <w:tc>
          <w:tcPr>
            <w:tcW w:type="dxa" w:w="3312"/>
          </w:tcPr>
          <w:p>
            <w:r>
              <w:rPr>
                <w:rFonts w:ascii="Times New Roman" w:hAnsi="Times New Roman"/>
                <w:color w:val="000000"/>
              </w:rPr>
              <w:t>Review displayed totals, labels, ordering, readability, and overall dashboard consistency.</w:t>
            </w:r>
          </w:p>
        </w:tc>
      </w:tr>
    </w:tbl>
    <w:p>
      <w:pPr>
        <w:pStyle w:val="Heading1"/>
      </w:pPr>
      <w:r>
        <w:rPr>
          <w:rFonts w:ascii="Times New Roman" w:hAnsi="Times New Roman"/>
          <w:color w:val="000000"/>
        </w:rPr>
        <w:t>6. Dashboard Architecture and Design</w:t>
      </w:r>
    </w:p>
    <w:p>
      <w:r>
        <w:rPr>
          <w:rFonts w:ascii="Times New Roman" w:hAnsi="Times New Roman"/>
          <w:color w:val="000000"/>
        </w:rPr>
        <w:t>The final dashboard is organized as a single-page analytical interface. A title area identifies the dashboard, the upper section contains KPI cards, and the main canvas is divided into summary, trend, distribution, rate, and detail areas. A month slicer is positioned on the left so that users can filter the analytical view without navigating away from the main page.</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rFonts w:ascii="Times New Roman" w:hAnsi="Times New Roman"/>
                <w:b/>
                <w:color w:val="000000"/>
              </w:rPr>
              <w:t>Component</w:t>
            </w:r>
          </w:p>
        </w:tc>
        <w:tc>
          <w:tcPr>
            <w:tcW w:type="dxa" w:w="4968"/>
            <w:shd w:fill="17365D"/>
          </w:tcPr>
          <w:p>
            <w:r>
              <w:rPr>
                <w:rFonts w:ascii="Times New Roman" w:hAnsi="Times New Roman"/>
                <w:b/>
                <w:color w:val="000000"/>
              </w:rPr>
              <w:t>Analytical Role</w:t>
            </w:r>
          </w:p>
        </w:tc>
      </w:tr>
      <w:tr>
        <w:tc>
          <w:tcPr>
            <w:tcW w:type="dxa" w:w="4968"/>
          </w:tcPr>
          <w:p>
            <w:r>
              <w:rPr>
                <w:rFonts w:ascii="Times New Roman" w:hAnsi="Times New Roman"/>
                <w:color w:val="000000"/>
              </w:rPr>
              <w:t>KPI Cards</w:t>
            </w:r>
          </w:p>
        </w:tc>
        <w:tc>
          <w:tcPr>
            <w:tcW w:type="dxa" w:w="4968"/>
          </w:tcPr>
          <w:p>
            <w:r>
              <w:rPr>
                <w:rFonts w:ascii="Times New Roman" w:hAnsi="Times New Roman"/>
                <w:color w:val="000000"/>
              </w:rPr>
              <w:t>Six cards summarize major measures and provide an immediate overview.</w:t>
            </w:r>
          </w:p>
        </w:tc>
      </w:tr>
      <w:tr>
        <w:tc>
          <w:tcPr>
            <w:tcW w:type="dxa" w:w="4968"/>
          </w:tcPr>
          <w:p>
            <w:r>
              <w:rPr>
                <w:rFonts w:ascii="Times New Roman" w:hAnsi="Times New Roman"/>
                <w:color w:val="000000"/>
              </w:rPr>
              <w:t>Annual Discharge Outcomes</w:t>
            </w:r>
          </w:p>
        </w:tc>
        <w:tc>
          <w:tcPr>
            <w:tcW w:type="dxa" w:w="4968"/>
          </w:tcPr>
          <w:p>
            <w:r>
              <w:rPr>
                <w:rFonts w:ascii="Times New Roman" w:hAnsi="Times New Roman"/>
                <w:color w:val="000000"/>
              </w:rPr>
              <w:t>Waterfall-style visual showing configured increase, decrease, and total outcomes by year.</w:t>
            </w:r>
          </w:p>
        </w:tc>
      </w:tr>
      <w:tr>
        <w:tc>
          <w:tcPr>
            <w:tcW w:type="dxa" w:w="4968"/>
          </w:tcPr>
          <w:p>
            <w:r>
              <w:rPr>
                <w:rFonts w:ascii="Times New Roman" w:hAnsi="Times New Roman"/>
                <w:color w:val="000000"/>
              </w:rPr>
              <w:t>HHS Care by Year</w:t>
            </w:r>
          </w:p>
        </w:tc>
        <w:tc>
          <w:tcPr>
            <w:tcW w:type="dxa" w:w="4968"/>
          </w:tcPr>
          <w:p>
            <w:r>
              <w:rPr>
                <w:rFonts w:ascii="Times New Roman" w:hAnsi="Times New Roman"/>
                <w:color w:val="000000"/>
              </w:rPr>
              <w:t>Column chart comparing the sum of children in HHS care across the available periods.</w:t>
            </w:r>
          </w:p>
        </w:tc>
      </w:tr>
      <w:tr>
        <w:tc>
          <w:tcPr>
            <w:tcW w:type="dxa" w:w="4968"/>
          </w:tcPr>
          <w:p>
            <w:r>
              <w:rPr>
                <w:rFonts w:ascii="Times New Roman" w:hAnsi="Times New Roman"/>
                <w:color w:val="000000"/>
              </w:rPr>
              <w:t>Stage Overview</w:t>
            </w:r>
          </w:p>
        </w:tc>
        <w:tc>
          <w:tcPr>
            <w:tcW w:type="dxa" w:w="4968"/>
          </w:tcPr>
          <w:p>
            <w:r>
              <w:rPr>
                <w:rFonts w:ascii="Times New Roman" w:hAnsi="Times New Roman"/>
                <w:color w:val="000000"/>
              </w:rPr>
              <w:t>Compact visual summarizing stage-level measures.</w:t>
            </w:r>
          </w:p>
        </w:tc>
      </w:tr>
      <w:tr>
        <w:tc>
          <w:tcPr>
            <w:tcW w:type="dxa" w:w="4968"/>
          </w:tcPr>
          <w:p>
            <w:r>
              <w:rPr>
                <w:rFonts w:ascii="Times New Roman" w:hAnsi="Times New Roman"/>
                <w:color w:val="000000"/>
              </w:rPr>
              <w:t>Monthly Stage Distribution</w:t>
            </w:r>
          </w:p>
        </w:tc>
        <w:tc>
          <w:tcPr>
            <w:tcW w:type="dxa" w:w="4968"/>
          </w:tcPr>
          <w:p>
            <w:r>
              <w:rPr>
                <w:rFonts w:ascii="Times New Roman" w:hAnsi="Times New Roman"/>
                <w:color w:val="000000"/>
              </w:rPr>
              <w:t>Monthly comparison of stage-related measures.</w:t>
            </w:r>
          </w:p>
        </w:tc>
      </w:tr>
      <w:tr>
        <w:tc>
          <w:tcPr>
            <w:tcW w:type="dxa" w:w="4968"/>
          </w:tcPr>
          <w:p>
            <w:r>
              <w:rPr>
                <w:rFonts w:ascii="Times New Roman" w:hAnsi="Times New Roman"/>
                <w:color w:val="000000"/>
              </w:rPr>
              <w:t>HHS Transition Rate</w:t>
            </w:r>
          </w:p>
        </w:tc>
        <w:tc>
          <w:tcPr>
            <w:tcW w:type="dxa" w:w="4968"/>
          </w:tcPr>
          <w:p>
            <w:r>
              <w:rPr>
                <w:rFonts w:ascii="Times New Roman" w:hAnsi="Times New Roman"/>
                <w:color w:val="000000"/>
              </w:rPr>
              <w:t>Gauge displaying the configured transition-rate measure; final displayed value: 74.55.</w:t>
            </w:r>
          </w:p>
        </w:tc>
      </w:tr>
      <w:tr>
        <w:tc>
          <w:tcPr>
            <w:tcW w:type="dxa" w:w="4968"/>
          </w:tcPr>
          <w:p>
            <w:r>
              <w:rPr>
                <w:rFonts w:ascii="Times New Roman" w:hAnsi="Times New Roman"/>
                <w:color w:val="000000"/>
              </w:rPr>
              <w:t>CBP Custody Trend</w:t>
            </w:r>
          </w:p>
        </w:tc>
        <w:tc>
          <w:tcPr>
            <w:tcW w:type="dxa" w:w="4968"/>
          </w:tcPr>
          <w:p>
            <w:r>
              <w:rPr>
                <w:rFonts w:ascii="Times New Roman" w:hAnsi="Times New Roman"/>
                <w:color w:val="000000"/>
              </w:rPr>
              <w:t>Line chart showing custody measure changes across displayed years.</w:t>
            </w:r>
          </w:p>
        </w:tc>
      </w:tr>
      <w:tr>
        <w:tc>
          <w:tcPr>
            <w:tcW w:type="dxa" w:w="4968"/>
          </w:tcPr>
          <w:p>
            <w:r>
              <w:rPr>
                <w:rFonts w:ascii="Times New Roman" w:hAnsi="Times New Roman"/>
                <w:color w:val="000000"/>
              </w:rPr>
              <w:t>Stage Distribution</w:t>
            </w:r>
          </w:p>
        </w:tc>
        <w:tc>
          <w:tcPr>
            <w:tcW w:type="dxa" w:w="4968"/>
          </w:tcPr>
          <w:p>
            <w:r>
              <w:rPr>
                <w:rFonts w:ascii="Times New Roman" w:hAnsi="Times New Roman"/>
                <w:color w:val="000000"/>
              </w:rPr>
              <w:t>Donut chart showing the distribution across the available stage categories.</w:t>
            </w:r>
          </w:p>
        </w:tc>
      </w:tr>
      <w:tr>
        <w:tc>
          <w:tcPr>
            <w:tcW w:type="dxa" w:w="4968"/>
          </w:tcPr>
          <w:p>
            <w:r>
              <w:rPr>
                <w:rFonts w:ascii="Times New Roman" w:hAnsi="Times New Roman"/>
                <w:color w:val="000000"/>
              </w:rPr>
              <w:t>CBP Custody Details</w:t>
            </w:r>
          </w:p>
        </w:tc>
        <w:tc>
          <w:tcPr>
            <w:tcW w:type="dxa" w:w="4968"/>
          </w:tcPr>
          <w:p>
            <w:r>
              <w:rPr>
                <w:rFonts w:ascii="Times New Roman" w:hAnsi="Times New Roman"/>
                <w:color w:val="000000"/>
              </w:rPr>
              <w:t>Table containing dates and custody values, with a displayed total of 6,061.</w:t>
            </w:r>
          </w:p>
        </w:tc>
      </w:tr>
      <w:tr>
        <w:tc>
          <w:tcPr>
            <w:tcW w:type="dxa" w:w="4968"/>
          </w:tcPr>
          <w:p>
            <w:r>
              <w:rPr>
                <w:rFonts w:ascii="Times New Roman" w:hAnsi="Times New Roman"/>
                <w:color w:val="000000"/>
              </w:rPr>
              <w:t>Month Slicer</w:t>
            </w:r>
          </w:p>
        </w:tc>
        <w:tc>
          <w:tcPr>
            <w:tcW w:type="dxa" w:w="4968"/>
          </w:tcPr>
          <w:p>
            <w:r>
              <w:rPr>
                <w:rFonts w:ascii="Times New Roman" w:hAnsi="Times New Roman"/>
                <w:color w:val="000000"/>
              </w:rPr>
              <w:t>Interactive filter for January through December.</w:t>
            </w:r>
          </w:p>
        </w:tc>
      </w:tr>
    </w:tbl>
    <w:p>
      <w:pPr>
        <w:pStyle w:val="Heading1"/>
      </w:pPr>
      <w:r>
        <w:rPr>
          <w:rFonts w:ascii="Times New Roman" w:hAnsi="Times New Roman"/>
          <w:color w:val="000000"/>
        </w:rPr>
        <w:t>7. Final Dashboard View</w:t>
      </w:r>
    </w:p>
    <w:p>
      <w:pPr>
        <w:jc w:val="center"/>
      </w:pPr>
      <w:r>
        <w:rPr>
          <w:rFonts w:ascii="Times New Roman" w:hAnsi="Times New Roman"/>
          <w:color w:val="000000"/>
        </w:rPr>
        <w:drawing>
          <wp:inline xmlns:a="http://schemas.openxmlformats.org/drawingml/2006/main" xmlns:pic="http://schemas.openxmlformats.org/drawingml/2006/picture">
            <wp:extent cx="6126480" cy="3335676"/>
            <wp:docPr id="1" name="Picture 1"/>
            <wp:cNvGraphicFramePr>
              <a:graphicFrameLocks noChangeAspect="1"/>
            </wp:cNvGraphicFramePr>
            <a:graphic>
              <a:graphicData uri="http://schemas.openxmlformats.org/drawingml/2006/picture">
                <pic:pic>
                  <pic:nvPicPr>
                    <pic:cNvPr id="0" name="864b7319-d403-49a2-8707-ac2ef8152468.png"/>
                    <pic:cNvPicPr/>
                  </pic:nvPicPr>
                  <pic:blipFill>
                    <a:blip r:embed="rId11"/>
                    <a:stretch>
                      <a:fillRect/>
                    </a:stretch>
                  </pic:blipFill>
                  <pic:spPr>
                    <a:xfrm>
                      <a:off x="0" y="0"/>
                      <a:ext cx="6126480" cy="3335676"/>
                    </a:xfrm>
                    <a:prstGeom prst="rect"/>
                  </pic:spPr>
                </pic:pic>
              </a:graphicData>
            </a:graphic>
          </wp:inline>
        </w:drawing>
      </w:r>
    </w:p>
    <w:p>
      <w:pPr>
        <w:pStyle w:val="CaptionPro"/>
      </w:pPr>
      <w:r>
        <w:rPr>
          <w:rFonts w:ascii="Times New Roman" w:hAnsi="Times New Roman"/>
          <w:color w:val="000000"/>
        </w:rPr>
        <w:t>Figure 1. Final Power BI dashboard used for the project submission.</w:t>
      </w:r>
    </w:p>
    <w:p>
      <w:r>
        <w:rPr>
          <w:rFonts w:ascii="Times New Roman" w:hAnsi="Times New Roman"/>
          <w:color w:val="000000"/>
        </w:rPr>
        <w:t>The dashboard uses a restrained blue-and-white visual theme to maintain consistency across cards and charts. The left-side slicer provides filtering, while the central canvas prioritizes high-level metrics and trends. The detailed custody table complements the aggregate visuals by retaining access to date-level values.</w:t>
      </w:r>
    </w:p>
    <w:p>
      <w:pPr>
        <w:pStyle w:val="Heading1"/>
      </w:pPr>
      <w:r>
        <w:rPr>
          <w:rFonts w:ascii="Times New Roman" w:hAnsi="Times New Roman"/>
          <w:color w:val="000000"/>
        </w:rPr>
        <w:t>8. Results and Discussion</w:t>
      </w:r>
    </w:p>
    <w:p>
      <w:r>
        <w:rPr>
          <w:rFonts w:ascii="Times New Roman" w:hAnsi="Times New Roman"/>
          <w:color w:val="000000"/>
        </w:rPr>
        <w:t>The completed dashboard provides a consolidated view of the available measures. The six KPI cards present approximately 4K, 5K, 6K, 363K, 12K, and 4K, depending on the configured metric represented by each card. The HHS Transition Rate gauge displays 74.55, while the CBP Custody Details table shows a displayed total of 6,061.</w:t>
      </w:r>
    </w:p>
    <w:p>
      <w:r>
        <w:rPr>
          <w:rFonts w:ascii="Times New Roman" w:hAnsi="Times New Roman"/>
          <w:color w:val="000000"/>
        </w:rPr>
        <w:t>The annual discharge visual provides a year-oriented view of configured discharge outcomes, while the HHS Care by Year chart enables direct comparison between the displayed periods. The Monthly Stage Distribution visual provides a month-level comparison, and the CBP Custody Trend highlights changes in the custody measure across the displayed years.</w:t>
      </w:r>
    </w:p>
    <w:p>
      <w:r>
        <w:rPr>
          <w:rFonts w:ascii="Times New Roman" w:hAnsi="Times New Roman"/>
          <w:color w:val="000000"/>
        </w:rPr>
        <w:t>An important strength of the dashboard is the combination of aggregation and detail. KPI cards and charts provide a rapid overview, while the custody table allows users to inspect individual dates and values. The month slicer adds interactivity and allows the user to examine a selected month rather than relying only on the overall view.</w:t>
      </w:r>
    </w:p>
    <w:p>
      <w:r>
        <w:rPr>
          <w:rFonts w:ascii="Times New Roman" w:hAnsi="Times New Roman"/>
          <w:color w:val="000000"/>
        </w:rPr>
        <w:t>These outputs should be interpreted as descriptive dashboard results. They do not establish causal relationships, clinical effectiveness, or predictive performance. Any operational or policy decision based on the dashboard should be supported by validated definitions, data-quality checks, appropriate governance, and domain expertise.</w:t>
      </w:r>
    </w:p>
    <w:p>
      <w:pPr>
        <w:pStyle w:val="Heading1"/>
      </w:pPr>
      <w:r>
        <w:rPr>
          <w:rFonts w:ascii="Times New Roman" w:hAnsi="Times New Roman"/>
          <w:color w:val="000000"/>
        </w:rPr>
        <w:t>9. Advantages</w:t>
      </w:r>
    </w:p>
    <w:p>
      <w:pPr>
        <w:pStyle w:val="ListBullet"/>
      </w:pPr>
      <w:r>
        <w:rPr>
          <w:rFonts w:ascii="Times New Roman" w:hAnsi="Times New Roman"/>
          <w:color w:val="000000"/>
        </w:rPr>
        <w:t>Interactive and user-friendly single-page interface.</w:t>
      </w:r>
    </w:p>
    <w:p>
      <w:pPr>
        <w:pStyle w:val="ListBullet"/>
      </w:pPr>
      <w:r>
        <w:rPr>
          <w:rFonts w:ascii="Times New Roman" w:hAnsi="Times New Roman"/>
          <w:color w:val="000000"/>
        </w:rPr>
        <w:t>Rapid access to high-level summary measures.</w:t>
      </w:r>
    </w:p>
    <w:p>
      <w:pPr>
        <w:pStyle w:val="ListBullet"/>
      </w:pPr>
      <w:r>
        <w:rPr>
          <w:rFonts w:ascii="Times New Roman" w:hAnsi="Times New Roman"/>
          <w:color w:val="000000"/>
        </w:rPr>
        <w:t>Combination of trend, comparison, distribution, rate, and detail visuals.</w:t>
      </w:r>
    </w:p>
    <w:p>
      <w:pPr>
        <w:pStyle w:val="ListBullet"/>
      </w:pPr>
      <w:r>
        <w:rPr>
          <w:rFonts w:ascii="Times New Roman" w:hAnsi="Times New Roman"/>
          <w:color w:val="000000"/>
        </w:rPr>
        <w:t>Month-based filtering for interactive exploration.</w:t>
      </w:r>
    </w:p>
    <w:p>
      <w:pPr>
        <w:pStyle w:val="ListBullet"/>
      </w:pPr>
      <w:r>
        <w:rPr>
          <w:rFonts w:ascii="Times New Roman" w:hAnsi="Times New Roman"/>
          <w:color w:val="000000"/>
        </w:rPr>
        <w:t>Reduced dependence on manual inspection of large tables.</w:t>
      </w:r>
    </w:p>
    <w:p>
      <w:pPr>
        <w:pStyle w:val="ListBullet"/>
      </w:pPr>
      <w:r>
        <w:rPr>
          <w:rFonts w:ascii="Times New Roman" w:hAnsi="Times New Roman"/>
          <w:color w:val="000000"/>
        </w:rPr>
        <w:t>Consistent visual structure that supports quick interpretation.</w:t>
      </w:r>
    </w:p>
    <w:p>
      <w:pPr>
        <w:pStyle w:val="ListBullet"/>
      </w:pPr>
      <w:r>
        <w:rPr>
          <w:rFonts w:ascii="Times New Roman" w:hAnsi="Times New Roman"/>
          <w:color w:val="000000"/>
        </w:rPr>
        <w:t>Expandable foundation for future analytical and reporting requirements.</w:t>
      </w:r>
    </w:p>
    <w:p>
      <w:pPr>
        <w:pStyle w:val="Heading1"/>
      </w:pPr>
      <w:r>
        <w:rPr>
          <w:rFonts w:ascii="Times New Roman" w:hAnsi="Times New Roman"/>
          <w:color w:val="000000"/>
        </w:rPr>
        <w:t>10. Limitations</w:t>
      </w:r>
    </w:p>
    <w:p>
      <w:pPr>
        <w:pStyle w:val="ListBullet"/>
      </w:pPr>
      <w:r>
        <w:rPr>
          <w:rFonts w:ascii="Times New Roman" w:hAnsi="Times New Roman"/>
          <w:color w:val="000000"/>
        </w:rPr>
        <w:t>The dashboard is primarily a descriptive analytics and visualization system.</w:t>
      </w:r>
    </w:p>
    <w:p>
      <w:pPr>
        <w:pStyle w:val="ListBullet"/>
      </w:pPr>
      <w:r>
        <w:rPr>
          <w:rFonts w:ascii="Times New Roman" w:hAnsi="Times New Roman"/>
          <w:color w:val="000000"/>
        </w:rPr>
        <w:t>Results depend on the quality, completeness, coverage, and definitions of the underlying dataset.</w:t>
      </w:r>
    </w:p>
    <w:p>
      <w:pPr>
        <w:pStyle w:val="ListBullet"/>
      </w:pPr>
      <w:r>
        <w:rPr>
          <w:rFonts w:ascii="Times New Roman" w:hAnsi="Times New Roman"/>
          <w:color w:val="000000"/>
        </w:rPr>
        <w:t>Displayed measures reflect the Power BI model and configured aggregations.</w:t>
      </w:r>
    </w:p>
    <w:p>
      <w:pPr>
        <w:pStyle w:val="ListBullet"/>
      </w:pPr>
      <w:r>
        <w:rPr>
          <w:rFonts w:ascii="Times New Roman" w:hAnsi="Times New Roman"/>
          <w:color w:val="000000"/>
        </w:rPr>
        <w:t>The project does not independently validate the source data.</w:t>
      </w:r>
    </w:p>
    <w:p>
      <w:pPr>
        <w:pStyle w:val="ListBullet"/>
      </w:pPr>
      <w:r>
        <w:rPr>
          <w:rFonts w:ascii="Times New Roman" w:hAnsi="Times New Roman"/>
          <w:color w:val="000000"/>
        </w:rPr>
        <w:t>No causal inference or clinical recommendation is made from the dashboard.</w:t>
      </w:r>
    </w:p>
    <w:p>
      <w:pPr>
        <w:pStyle w:val="ListBullet"/>
      </w:pPr>
      <w:r>
        <w:rPr>
          <w:rFonts w:ascii="Times New Roman" w:hAnsi="Times New Roman"/>
          <w:color w:val="000000"/>
        </w:rPr>
        <w:t>Some stage labels and measure names are abbreviated in visuals because of available dashboard space.</w:t>
      </w:r>
    </w:p>
    <w:p>
      <w:pPr>
        <w:pStyle w:val="Heading1"/>
      </w:pPr>
      <w:r>
        <w:rPr>
          <w:rFonts w:ascii="Times New Roman" w:hAnsi="Times New Roman"/>
          <w:color w:val="000000"/>
        </w:rPr>
        <w:t>11. Future Scope</w:t>
      </w:r>
    </w:p>
    <w:p>
      <w:r>
        <w:rPr>
          <w:rFonts w:ascii="Times New Roman" w:hAnsi="Times New Roman"/>
          <w:color w:val="000000"/>
        </w:rPr>
        <w:t>Future development can extend the dashboard beyond the current descriptive layer. Possible enhancements include automated data refresh, drill-through pages, additional time-intelligence measures, richer quality indicators, role-based access, geographic analysis where appropriate, and improved metadata documentation.</w:t>
      </w:r>
    </w:p>
    <w:p>
      <w:r>
        <w:rPr>
          <w:rFonts w:ascii="Times New Roman" w:hAnsi="Times New Roman"/>
          <w:color w:val="000000"/>
        </w:rPr>
        <w:t>Predictive analytics could also be explored after establishing reliable data definitions and sufficient historical data. Such extensions should include model validation, fairness assessment, privacy controls, human oversight, and clear documentation of appropriate and inappropriate uses. Research on predictive placement modeling demonstrates both the technical potential and the importance of ethical considerations in child-welfare decision-support systems [3].</w:t>
      </w:r>
    </w:p>
    <w:p>
      <w:pPr>
        <w:pStyle w:val="Heading1"/>
      </w:pPr>
      <w:r>
        <w:rPr>
          <w:rFonts w:ascii="Times New Roman" w:hAnsi="Times New Roman"/>
          <w:color w:val="000000"/>
        </w:rPr>
        <w:t>12. Conclusion</w:t>
      </w:r>
    </w:p>
    <w:p>
      <w:r>
        <w:rPr>
          <w:rFonts w:ascii="Times New Roman" w:hAnsi="Times New Roman"/>
          <w:color w:val="000000"/>
        </w:rPr>
        <w:t>This project demonstrates the development of a Power BI-based Healthcare Analytics Dashboard for exploring child-care, custody, healthcare, transition, discharge, and reunification-related information. By combining KPI cards, interactive filtering, trend charts, distribution visuals, a transition-rate gauge, and detailed records, the dashboard converts structured data into an accessible analytical interface.</w:t>
      </w:r>
    </w:p>
    <w:p>
      <w:r>
        <w:rPr>
          <w:rFonts w:ascii="Times New Roman" w:hAnsi="Times New Roman"/>
          <w:color w:val="000000"/>
        </w:rPr>
        <w:t>The final system provides a practical example of how business-intelligence tools can support exploratory analysis while maintaining a clear boundary between visualization and clinical or causal interpretation. The dashboard therefore serves as a foundation that can be enhanced with stronger data governance, additional analytical measures, and validated advanced analytics in future work.</w:t>
      </w:r>
    </w:p>
    <w:p>
      <w:pPr>
        <w:pStyle w:val="Heading1"/>
      </w:pPr>
      <w:r>
        <w:rPr>
          <w:rFonts w:ascii="Times New Roman" w:hAnsi="Times New Roman"/>
          <w:color w:val="000000"/>
        </w:rPr>
        <w:t>References</w:t>
      </w:r>
    </w:p>
    <w:p>
      <w:pPr>
        <w:spacing w:after="100"/>
        <w:ind w:left="360" w:hanging="360"/>
      </w:pPr>
      <w:r>
        <w:rPr>
          <w:rFonts w:ascii="Times New Roman" w:hAnsi="Times New Roman"/>
          <w:color w:val="000000"/>
        </w:rPr>
        <w:t>[1] J. W. Dexheimer, S. J. Beal, P. Divekar, E. S. Hall, V. Patel, and M. V. Greiner, “Automated Patient Linking for Electronic Health Record and Child Welfare Databases,” Journal of Technology in Human Services, vol. 37, no. 4, pp. 286–292, 2019, doi: 10.1080/15228835.2019.1578327.</w:t>
      </w:r>
    </w:p>
    <w:p>
      <w:pPr>
        <w:spacing w:after="100"/>
        <w:ind w:left="360" w:hanging="360"/>
      </w:pPr>
      <w:r>
        <w:rPr>
          <w:rFonts w:ascii="Times New Roman" w:hAnsi="Times New Roman"/>
          <w:color w:val="000000"/>
        </w:rPr>
        <w:t>[2] K. Kelleher et al., “Health care quality measures for children and adolescents in Foster Care: feasibility testing in electronic records,” BMC Pediatrics, vol. 18, 2018, article 78, doi: 10.1186/s12887-018-1064-4.</w:t>
      </w:r>
    </w:p>
    <w:p>
      <w:pPr>
        <w:spacing w:after="100"/>
        <w:ind w:left="360" w:hanging="360"/>
      </w:pPr>
      <w:r>
        <w:rPr>
          <w:rFonts w:ascii="Times New Roman" w:hAnsi="Times New Roman"/>
          <w:color w:val="000000"/>
        </w:rPr>
        <w:t>[3] K. J. Trudeau, J. Yang, J. Di, Y. Lu, and D. R. Kraus, “Predicting successful placements for youth in child welfare with machine learning,” Children and Youth Services Review, vol. 153, 2023, article 107117, doi: 10.1016/j.childyouth.2023.107117.</w:t>
      </w:r>
    </w:p>
    <w:p>
      <w:pPr>
        <w:spacing w:after="100"/>
        <w:ind w:left="360" w:hanging="360"/>
      </w:pPr>
      <w:r>
        <w:rPr>
          <w:rFonts w:ascii="Times New Roman" w:hAnsi="Times New Roman"/>
          <w:color w:val="000000"/>
        </w:rPr>
        <w:t>[4] Microsoft, “Power BI documentation,” Microsoft Learn, 2026. Accessed for general Power BI dashboard and visualization terminology.</w:t>
      </w:r>
    </w:p>
    <w:p/>
    <w:p>
      <w:pPr>
        <w:jc w:val="center"/>
      </w:pPr>
      <w:r>
        <w:rPr>
          <w:rFonts w:ascii="Times New Roman" w:hAnsi="Times New Roman"/>
          <w:b/>
          <w:color w:val="000000"/>
        </w:rPr>
        <w:t>End of Research Paper</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Pro"/>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Pro"/>
      <w:jc w:val="right"/>
    </w:pPr>
    <w:r>
      <w:t>HEALTHCARE ANALYTICS DASHBOARD  |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Pro">
    <w:name w:val="CaptionPro"/>
    <w:pPr>
      <w:spacing w:after="160"/>
      <w:jc w:val="center"/>
    </w:pPr>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